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6C1E8"/>
          <w:sz w:val="68"/>
        </w:rPr>
        <w:t>DOCKPROOF</w:t>
      </w:r>
    </w:p>
    <w:p>
      <w:pPr>
        <w:jc w:val="center"/>
      </w:pPr>
      <w:r>
        <w:rPr>
          <w:b/>
          <w:color w:val="0B1F33"/>
          <w:sz w:val="44"/>
        </w:rPr>
        <w:t>Evidence-First AI Receiving Manager</w:t>
      </w:r>
    </w:p>
    <w:p>
      <w:pPr>
        <w:jc w:val="center"/>
      </w:pPr>
      <w:r>
        <w:rPr>
          <w:color w:val="5B6570"/>
          <w:sz w:val="26"/>
        </w:rPr>
        <w:t>CUBE Buildathon • Round 2 • RCV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BF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16C1E8"/>
                <w:sz w:val="21"/>
              </w:rPr>
              <w:t>Design principle</w:t>
            </w:r>
          </w:p>
          <w:p>
            <w:pPr>
              <w:spacing w:after="0"/>
            </w:pPr>
            <w:r>
              <w:rPr>
                <w:color w:val="1F2937"/>
                <w:sz w:val="18"/>
              </w:rPr>
              <w:t>AI observes. Rules decide. Evidence proves. Uncertainty is a valid result.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75304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75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i/>
          <w:color w:val="5B6570"/>
          <w:sz w:val="18"/>
        </w:rPr>
        <w:t>Master implementation specification for Codex, Cursor, Antigravity and other AI coding agents</w:t>
      </w:r>
    </w:p>
    <w:p>
      <w:r>
        <w:br w:type="page"/>
      </w:r>
    </w:p>
    <w:p>
      <w:pPr>
        <w:pStyle w:val="Heading1"/>
        <w:keepNext/>
      </w:pPr>
      <w:r>
        <w:t>1. Source of Truth and Document Purpose</w:t>
      </w:r>
    </w:p>
    <w:p>
      <w:r>
        <w:t>This document is the implementation source of truth for DockProof, a production-oriented Receiving Manager for the CUBE Buildathon. It was restructured from scratch using the official Participant Handbook, the assigned RCV repository, and the organizer-provided receiving_sample.csv. External technical references are included only where they support implementation choices.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BF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16C1E8"/>
                <w:sz w:val="21"/>
              </w:rPr>
              <w:t>Authority hierarchy</w:t>
            </w:r>
          </w:p>
          <w:p>
            <w:pPr>
              <w:spacing w:after="0"/>
            </w:pPr>
            <w:r>
              <w:rPr>
                <w:color w:val="1F2937"/>
                <w:sz w:val="18"/>
              </w:rPr>
              <w:t>1) CUBE handbook + selected track statement → 2) assigned RCV repository and RULES.md → 3) organizer sample dataset schema → 4) external technical research → 5) implementation inference. When sources conflict, preserve the organizer source and raise a finding rather than silently rewriting it.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1.1 Reviewed organizer assets</w:t>
      </w:r>
    </w:p>
    <w:p>
      <w:pPr>
        <w:pStyle w:val="ListBullet"/>
        <w:spacing w:after="60"/>
        <w:ind w:left="360"/>
      </w:pPr>
      <w:r>
        <w:rPr>
          <w:b/>
        </w:rPr>
        <w:t xml:space="preserve">Participant Handbook — </w:t>
      </w:r>
      <w:r>
        <w:t>Round 2 rules, 100-point rubric, evidence contract, held-out evaluation guidance, submission requirements and Round 3 integration expectations.</w:t>
      </w:r>
    </w:p>
    <w:p>
      <w:pPr>
        <w:pStyle w:val="ListBullet"/>
        <w:spacing w:after="60"/>
        <w:ind w:left="360"/>
      </w:pPr>
      <w:r>
        <w:rPr>
          <w:b/>
        </w:rPr>
        <w:t xml:space="preserve">Assigned repository — </w:t>
      </w:r>
      <w:r>
        <w:t>chapalaumesh209/cube26-rcv-0068-chapalaumesh209; README.md, RULES.md, GITHUB-GUIDE.md and data/README.md.</w:t>
      </w:r>
    </w:p>
    <w:p>
      <w:pPr>
        <w:pStyle w:val="ListBullet"/>
        <w:spacing w:after="60"/>
        <w:ind w:left="360"/>
      </w:pPr>
      <w:r>
        <w:rPr>
          <w:b/>
        </w:rPr>
        <w:t xml:space="preserve">receiving_sample.csv — </w:t>
      </w:r>
      <w:r>
        <w:t>100 synthetic reference rows used to design the application schema and workflow. It is not the visual image dataset and is not ground truth for model training.</w:t>
      </w:r>
    </w:p>
    <w:p>
      <w:pPr>
        <w:pStyle w:val="ListBullet"/>
        <w:spacing w:after="60"/>
        <w:ind w:left="360"/>
      </w:pPr>
      <w:r>
        <w:rPr>
          <w:b/>
        </w:rPr>
        <w:t xml:space="preserve">External research — </w:t>
      </w:r>
      <w:r>
        <w:t>Kaputt, Amazon Berkeley Objects (ABO), RPC, Gemini multimodal/structured-output documentation, and OWASP LLM security guidance.</w:t>
      </w:r>
    </w:p>
    <w:p>
      <w:pPr>
        <w:pStyle w:val="Heading2"/>
        <w:keepNext/>
      </w:pPr>
      <w:r>
        <w:t>1.2 What this document does not assume</w:t>
      </w:r>
    </w:p>
    <w:p>
      <w:pPr>
        <w:pStyle w:val="ListBullet"/>
        <w:spacing w:after="60"/>
        <w:ind w:left="360"/>
      </w:pPr>
      <w:r>
        <w:t>No camera hardware, IoT device, barcode scanner or warehouse automation hardware is required for Round 2.</w:t>
      </w:r>
    </w:p>
    <w:p>
      <w:pPr>
        <w:pStyle w:val="ListBullet"/>
        <w:spacing w:after="60"/>
        <w:ind w:left="360"/>
      </w:pPr>
      <w:r>
        <w:t>The repository does not ship the actual receiving photographs; photo_refs are placeholders.</w:t>
      </w:r>
    </w:p>
    <w:p>
      <w:pPr>
        <w:pStyle w:val="ListBullet"/>
        <w:spacing w:after="60"/>
        <w:ind w:left="360"/>
      </w:pPr>
      <w:r>
        <w:t>The 100-row sample CSV is synthetic and must not be treated as real Amazon rules, fees or visual ground truth.</w:t>
      </w:r>
    </w:p>
    <w:p>
      <w:pPr>
        <w:pStyle w:val="ListBullet"/>
        <w:spacing w:after="60"/>
        <w:ind w:left="360"/>
      </w:pPr>
      <w:r>
        <w:t>The system does not claim that a VLM can perfectly recognize every long-tail SKU; it must measure performance and return UNCERTAIN when evidence is insufficient.</w:t>
      </w:r>
    </w:p>
    <w:p>
      <w:pPr>
        <w:pStyle w:val="ListBullet"/>
        <w:spacing w:after="60"/>
        <w:ind w:left="360"/>
      </w:pPr>
      <w:r>
        <w:t>The application does not solve the other four Managers in Round 2; it only exposes a clean evidence contract for future Pod integration.</w:t>
      </w:r>
    </w:p>
    <w:p>
      <w:pPr>
        <w:pStyle w:val="Heading2"/>
        <w:keepNext/>
      </w:pPr>
      <w:r>
        <w:t>1.3 Product statement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BF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0B1F33"/>
                <w:sz w:val="21"/>
              </w:rPr>
              <w:t>DockProof</w:t>
            </w:r>
          </w:p>
          <w:p>
            <w:pPr>
              <w:spacing w:after="0"/>
            </w:pPr>
            <w:r>
              <w:rPr>
                <w:color w:val="1F2937"/>
                <w:sz w:val="18"/>
              </w:rPr>
              <w:t>A software-only receiving inspection agent that combines purchase-order facts, catalogue references and receiving photographs to determine what arrived, what is wrong, what is uncertain, and what evidence supports the result.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2. CUBE Requirements and Score Alignment</w:t>
      </w:r>
    </w:p>
    <w:p>
      <w:r>
        <w:t>The handbook makes five scoring areas explicit. The system is designed backwards from those criteria so the product is measurable and defensible instead of merely visually impressive.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2EA"/>
          <w:left w:val="single" w:sz="6" w:space="0" w:color="D7E2EA"/>
          <w:bottom w:val="single" w:sz="6" w:space="0" w:color="D7E2EA"/>
          <w:right w:val="single" w:sz="6" w:space="0" w:color="D7E2EA"/>
          <w:insideH w:val="single" w:sz="6" w:space="0" w:color="D7E2EA"/>
          <w:insideV w:val="single" w:sz="6" w:space="0" w:color="D7E2EA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Criterion</w:t>
            </w:r>
          </w:p>
        </w:tc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Points</w:t>
            </w:r>
          </w:p>
        </w:tc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Implementation response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Problem Understanding &amp; Solution Relevance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15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Explicit receiving workflow, assumptions, operator roles, problem boundaries, operational rationale.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Agent Functionality &amp; Decision Quality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25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All RCV checks, multimodal ingestion, structured outputs, edge cases, deterministic final decision.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Evaluation, Accuracy &amp; Uncertainty Handling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25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50 unseen units where applicable, two human labels, per-check metrics, FP/FN, UNCERTAIN rate, failure modes.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Evidence, Traceability &amp; Engineering Quality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20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Fixed evidence contract, image regions, model/version, timestamps, latency, overrides, content hash, RLS, fail-open path.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UX, Demo &amp; Documentation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15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Operator-first UI, input→decision→evidence flow, deployment, README, ARCHITECTURE.md, demo and LinkedIn submission artifacts.</w:t>
            </w:r>
          </w:p>
        </w:tc>
      </w:tr>
    </w:tbl>
    <w:p/>
    <w:p>
      <w:pPr>
        <w:pStyle w:val="Heading2"/>
        <w:keepNext/>
      </w:pPr>
      <w:r>
        <w:t>2.1 Non-negotiable organizer engineering rules</w:t>
      </w:r>
    </w:p>
    <w:p>
      <w:pPr>
        <w:spacing w:after="60"/>
        <w:ind w:left="173" w:hanging="173"/>
      </w:pPr>
      <w:r>
        <w:rPr>
          <w:b/>
        </w:rPr>
        <w:t xml:space="preserve">1. </w:t>
      </w:r>
      <w:r>
        <w:rPr>
          <w:b/>
        </w:rPr>
        <w:t xml:space="preserve">Tenant isolation first — </w:t>
      </w:r>
      <w:r>
        <w:t>every table must be scoped to organization; test both data rows and image access.</w:t>
      </w:r>
    </w:p>
    <w:p>
      <w:pPr>
        <w:spacing w:after="60"/>
        <w:ind w:left="173" w:hanging="173"/>
      </w:pPr>
      <w:r>
        <w:rPr>
          <w:b/>
        </w:rPr>
        <w:t xml:space="preserve">2. </w:t>
      </w:r>
      <w:r>
        <w:rPr>
          <w:b/>
        </w:rPr>
        <w:t xml:space="preserve">One model call per unit — </w:t>
      </w:r>
      <w:r>
        <w:t>batch all visual checks in one multimodal inference request.</w:t>
      </w:r>
    </w:p>
    <w:p>
      <w:pPr>
        <w:spacing w:after="60"/>
        <w:ind w:left="173" w:hanging="173"/>
      </w:pPr>
      <w:r>
        <w:rPr>
          <w:b/>
        </w:rPr>
        <w:t xml:space="preserve">3. </w:t>
      </w:r>
      <w:r>
        <w:rPr>
          <w:b/>
        </w:rPr>
        <w:t xml:space="preserve">Fail open — </w:t>
      </w:r>
      <w:r>
        <w:t>persist the receipt even if model inference fails or times out; mark the inspection pending and keep the operator moving.</w:t>
      </w:r>
    </w:p>
    <w:p>
      <w:pPr>
        <w:spacing w:after="60"/>
        <w:ind w:left="173" w:hanging="173"/>
      </w:pPr>
      <w:r>
        <w:rPr>
          <w:b/>
        </w:rPr>
        <w:t xml:space="preserve">4. </w:t>
      </w:r>
      <w:r>
        <w:rPr>
          <w:b/>
        </w:rPr>
        <w:t xml:space="preserve">UNCERTAIN is first-class — </w:t>
      </w:r>
      <w:r>
        <w:t>never turn insufficient evidence into PASS.</w:t>
      </w:r>
    </w:p>
    <w:p>
      <w:pPr>
        <w:spacing w:after="60"/>
        <w:ind w:left="173" w:hanging="173"/>
      </w:pPr>
      <w:r>
        <w:rPr>
          <w:b/>
        </w:rPr>
        <w:t xml:space="preserve">5. </w:t>
      </w:r>
      <w:r>
        <w:rPr>
          <w:b/>
        </w:rPr>
        <w:t xml:space="preserve">Use authoritative rules — </w:t>
      </w:r>
      <w:r>
        <w:t>do not let the model invent external operational requirements; for RCV, facts are primarily PO/catalogue facts and visual evidence.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BF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B42318"/>
                <w:sz w:val="21"/>
              </w:rPr>
              <w:t>Build rule</w:t>
            </w:r>
          </w:p>
          <w:p>
            <w:pPr>
              <w:spacing w:after="0"/>
            </w:pPr>
            <w:r>
              <w:rPr>
                <w:color w:val="1F2937"/>
                <w:sz w:val="18"/>
              </w:rPr>
              <w:t>Do not optimize for an attractive green PASS screen. Optimize for a defensible chain: expected state → observed state → evidence → check verdict → overall outcome → human action.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3. Product Definition</w:t>
      </w:r>
    </w:p>
    <w:p>
      <w:pPr>
        <w:pStyle w:val="Heading2"/>
        <w:keepNext/>
      </w:pPr>
      <w:r>
        <w:t>3.1 Primary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2EA"/>
          <w:left w:val="single" w:sz="6" w:space="0" w:color="D7E2EA"/>
          <w:bottom w:val="single" w:sz="6" w:space="0" w:color="D7E2EA"/>
          <w:right w:val="single" w:sz="6" w:space="0" w:color="D7E2EA"/>
          <w:insideH w:val="single" w:sz="6" w:space="0" w:color="D7E2EA"/>
          <w:insideV w:val="single" w:sz="6" w:space="0" w:color="D7E2EA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Permissions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Receiving Operator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Capture/inspect a shipment and resolve exceptions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Create shipments, upload photos, start inspections, view results, accept or request review.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Receiving Lead / Reviewer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Handle ambiguous or high-risk cases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All operator actions plus override, adjudication, evidence correction with audit trail.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Operations Admin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Manage tenant data and configuration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Manage users/roles, catalogue, organization settings, policies and integrations.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Evaluator / Demo User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Inspect product behavior without operational mutations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Read-only access to seeded demo and evaluation views.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System Worker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Run asynchronous inspection jobs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No interactive login; service identity only, scoped to job execution.</w:t>
            </w:r>
          </w:p>
        </w:tc>
      </w:tr>
    </w:tbl>
    <w:p/>
    <w:p>
      <w:pPr>
        <w:pStyle w:val="Heading2"/>
        <w:keepNext/>
      </w:pPr>
      <w:r>
        <w:t>3.2 Core jobs to be done</w:t>
      </w:r>
    </w:p>
    <w:p>
      <w:pPr>
        <w:pStyle w:val="ListBullet"/>
        <w:spacing w:after="60"/>
        <w:ind w:left="360"/>
      </w:pPr>
      <w:r>
        <w:t>Verify whether inbound goods match the purchase order.</w:t>
      </w:r>
    </w:p>
    <w:p>
      <w:pPr>
        <w:pStyle w:val="ListBullet"/>
        <w:spacing w:after="60"/>
        <w:ind w:left="360"/>
      </w:pPr>
      <w:r>
        <w:t>Quantify what is visibly present and distinguish shortage/overage from incomplete visual evidence.</w:t>
      </w:r>
    </w:p>
    <w:p>
      <w:pPr>
        <w:pStyle w:val="ListBullet"/>
        <w:spacing w:after="60"/>
        <w:ind w:left="360"/>
      </w:pPr>
      <w:r>
        <w:t>Verify colour/variant without collapsing “same family” and “same SKU” into one concept.</w:t>
      </w:r>
    </w:p>
    <w:p>
      <w:pPr>
        <w:pStyle w:val="ListBullet"/>
        <w:spacing w:after="60"/>
        <w:ind w:left="360"/>
      </w:pPr>
      <w:r>
        <w:t>Detect visible carton and unit damage, with image-grounded evidence.</w:t>
      </w:r>
    </w:p>
    <w:p>
      <w:pPr>
        <w:pStyle w:val="ListBullet"/>
        <w:spacing w:after="60"/>
        <w:ind w:left="360"/>
      </w:pPr>
      <w:r>
        <w:t>Verify components only where their presence or absence is visually supportable.</w:t>
      </w:r>
    </w:p>
    <w:p>
      <w:pPr>
        <w:pStyle w:val="ListBullet"/>
        <w:spacing w:after="60"/>
        <w:ind w:left="360"/>
      </w:pPr>
      <w:r>
        <w:t>Create a durable evidence record that can later be consumed by Prep and Recovery in Round 3.</w:t>
      </w:r>
    </w:p>
    <w:p>
      <w:pPr>
        <w:pStyle w:val="Heading2"/>
        <w:keepNext/>
      </w:pPr>
      <w:r>
        <w:t>3.3 Explicit non-goals</w:t>
      </w:r>
    </w:p>
    <w:p>
      <w:pPr>
        <w:pStyle w:val="ListBullet"/>
        <w:spacing w:after="60"/>
        <w:ind w:left="360"/>
      </w:pPr>
      <w:r>
        <w:t>No autonomous supplier claims or financial recovery in Round 2.</w:t>
      </w:r>
    </w:p>
    <w:p>
      <w:pPr>
        <w:pStyle w:val="ListBullet"/>
        <w:spacing w:after="60"/>
        <w:ind w:left="360"/>
      </w:pPr>
      <w:r>
        <w:t>No WMS/ERP integration required for the core submission.</w:t>
      </w:r>
    </w:p>
    <w:p>
      <w:pPr>
        <w:pStyle w:val="ListBullet"/>
        <w:spacing w:after="60"/>
        <w:ind w:left="360"/>
      </w:pPr>
      <w:r>
        <w:t>No physical conveyor/camera/robotics integration.</w:t>
      </w:r>
    </w:p>
    <w:p>
      <w:pPr>
        <w:pStyle w:val="ListBullet"/>
        <w:spacing w:after="60"/>
        <w:ind w:left="360"/>
      </w:pPr>
      <w:r>
        <w:t>No fine-tuning pipeline required for the MVP.</w:t>
      </w:r>
    </w:p>
    <w:p>
      <w:pPr>
        <w:pStyle w:val="ListBullet"/>
        <w:spacing w:after="60"/>
        <w:ind w:left="360"/>
      </w:pPr>
      <w:r>
        <w:t>No hidden inference about obscured units or components.</w:t>
      </w:r>
    </w:p>
    <w:p>
      <w:r>
        <w:br w:type="page"/>
      </w:r>
    </w:p>
    <w:p>
      <w:pPr>
        <w:pStyle w:val="Heading1"/>
        <w:keepNext/>
      </w:pPr>
      <w:r>
        <w:t>4. Operational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08476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08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4.1 End-to-end flow</w:t>
      </w:r>
    </w:p>
    <w:p>
      <w:pPr>
        <w:spacing w:after="60"/>
        <w:ind w:left="173" w:hanging="173"/>
      </w:pPr>
      <w:r>
        <w:rPr>
          <w:b/>
        </w:rPr>
        <w:t xml:space="preserve">1. </w:t>
      </w:r>
      <w:r>
        <w:rPr>
          <w:b/>
        </w:rPr>
        <w:t xml:space="preserve">Create/import shipment — </w:t>
      </w:r>
      <w:r>
        <w:t>operator selects an existing PO or imports a structured receiving record.</w:t>
      </w:r>
    </w:p>
    <w:p>
      <w:pPr>
        <w:spacing w:after="60"/>
        <w:ind w:left="173" w:hanging="173"/>
      </w:pPr>
      <w:r>
        <w:rPr>
          <w:b/>
        </w:rPr>
        <w:t xml:space="preserve">2. </w:t>
      </w:r>
      <w:r>
        <w:rPr>
          <w:b/>
        </w:rPr>
        <w:t xml:space="preserve">Resolve expected state — </w:t>
      </w:r>
      <w:r>
        <w:t>system assembles PO line, SKU, product title, expected quantity, carton structure, variant/colour and required components.</w:t>
      </w:r>
    </w:p>
    <w:p>
      <w:pPr>
        <w:spacing w:after="60"/>
        <w:ind w:left="173" w:hanging="173"/>
      </w:pPr>
      <w:r>
        <w:rPr>
          <w:b/>
        </w:rPr>
        <w:t xml:space="preserve">3. </w:t>
      </w:r>
      <w:r>
        <w:rPr>
          <w:b/>
        </w:rPr>
        <w:t xml:space="preserve">Capture evidence — </w:t>
      </w:r>
      <w:r>
        <w:t>operator uploads one or more receiving photographs; the system validates file type, size, readability and tenancy.</w:t>
      </w:r>
    </w:p>
    <w:p>
      <w:pPr>
        <w:spacing w:after="60"/>
        <w:ind w:left="173" w:hanging="173"/>
      </w:pPr>
      <w:r>
        <w:rPr>
          <w:b/>
        </w:rPr>
        <w:t xml:space="preserve">4. </w:t>
      </w:r>
      <w:r>
        <w:rPr>
          <w:b/>
        </w:rPr>
        <w:t xml:space="preserve">Run a single batched inspection — </w:t>
      </w:r>
      <w:r>
        <w:t>VLM analyzes all supplied images against the expected state and catalogue references; its output is immediately normalized into schema-validated facts.</w:t>
      </w:r>
    </w:p>
    <w:p>
      <w:pPr>
        <w:spacing w:after="60"/>
        <w:ind w:left="173" w:hanging="173"/>
      </w:pPr>
      <w:r>
        <w:rPr>
          <w:b/>
        </w:rPr>
        <w:t xml:space="preserve">5. </w:t>
      </w:r>
      <w:r>
        <w:rPr>
          <w:b/>
        </w:rPr>
        <w:t xml:space="preserve">Apply deterministic rules — </w:t>
      </w:r>
      <w:r>
        <w:t>quantity and carton math, variant matching thresholds, evidence sufficiency gates and overall decision are computed in application code.</w:t>
      </w:r>
    </w:p>
    <w:p>
      <w:pPr>
        <w:spacing w:after="60"/>
        <w:ind w:left="173" w:hanging="173"/>
      </w:pPr>
      <w:r>
        <w:rPr>
          <w:b/>
        </w:rPr>
        <w:t xml:space="preserve">6. </w:t>
      </w:r>
      <w:r>
        <w:rPr>
          <w:b/>
        </w:rPr>
        <w:t xml:space="preserve">Review when needed — </w:t>
      </w:r>
      <w:r>
        <w:t>UNCERTAIN, high-risk or failed checks can be accepted, resolved or overridden by an authorized human.</w:t>
      </w:r>
    </w:p>
    <w:p>
      <w:pPr>
        <w:spacing w:after="60"/>
        <w:ind w:left="173" w:hanging="173"/>
      </w:pPr>
      <w:r>
        <w:rPr>
          <w:b/>
        </w:rPr>
        <w:t xml:space="preserve">7. </w:t>
      </w:r>
      <w:r>
        <w:rPr>
          <w:b/>
        </w:rPr>
        <w:t xml:space="preserve">Persist and publish evidence — </w:t>
      </w:r>
      <w:r>
        <w:t>inspection record, evidence references, model metadata, content hash and overrides are retained, and the stable versioned evidence record is exposed to downstream Round-3 agents.</w:t>
      </w:r>
    </w:p>
    <w:p>
      <w:r>
        <w:br w:type="page"/>
      </w:r>
    </w:p>
    <w:p>
      <w:pPr>
        <w:pStyle w:val="Heading1"/>
        <w:keepNext/>
      </w:pPr>
      <w:r>
        <w:t>5. Canonical Data Architecture</w:t>
      </w:r>
    </w:p>
    <w:p>
      <w:pPr>
        <w:pStyle w:val="Heading2"/>
        <w:keepNext/>
      </w:pPr>
      <w:r>
        <w:t>5.1 Organizer CSV is the starting schema</w:t>
      </w:r>
    </w:p>
    <w:p>
      <w:r>
        <w:t>The organizer-provided receiving_sample.csv contains 100 synthetic rows and 25 columns. The application should preserve these meanings rather than inventing a disconnected internal record model. Operational tables can normalize the data, but the imported source mapping must remain explicit.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2EA"/>
          <w:left w:val="single" w:sz="6" w:space="0" w:color="D7E2EA"/>
          <w:bottom w:val="single" w:sz="6" w:space="0" w:color="D7E2EA"/>
          <w:right w:val="single" w:sz="6" w:space="0" w:color="D7E2EA"/>
          <w:insideH w:val="single" w:sz="6" w:space="0" w:color="D7E2EA"/>
          <w:insideV w:val="single" w:sz="6" w:space="0" w:color="D7E2EA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CSV field</w:t>
            </w:r>
          </w:p>
        </w:tc>
        <w:tc>
          <w:tcPr>
            <w:tcW w:type="dxa" w:w="2541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Application meaning</w:t>
            </w:r>
          </w:p>
        </w:tc>
        <w:tc>
          <w:tcPr>
            <w:tcW w:type="dxa" w:w="2541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Required?</w:t>
            </w:r>
          </w:p>
        </w:tc>
        <w:tc>
          <w:tcPr>
            <w:tcW w:type="dxa" w:w="2541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Primary use</w:t>
            </w:r>
          </w:p>
        </w:tc>
      </w:tr>
      <w:tr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record_id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RCV inspection record identifier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Yes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Audit and evidence contract</w:t>
            </w:r>
          </w:p>
        </w:tc>
      </w:tr>
      <w:tr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unit_id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Cross-manager unit identity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Yes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Round-3 join key</w:t>
            </w:r>
          </w:p>
        </w:tc>
      </w:tr>
      <w:tr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org_id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Tenant identifier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Yes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RLS / authorization</w:t>
            </w:r>
          </w:p>
        </w:tc>
      </w:tr>
      <w:tr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po_number / po_line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Expected purchase-order line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Yes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Expected state</w:t>
            </w:r>
          </w:p>
        </w:tc>
      </w:tr>
      <w:tr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supplier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Supplier name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Yes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Operational context</w:t>
            </w:r>
          </w:p>
        </w:tc>
      </w:tr>
      <w:tr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sku / asin / product_title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Expected product identity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Yes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Identity check</w:t>
            </w:r>
          </w:p>
        </w:tc>
      </w:tr>
      <w:tr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spec_colour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Expected colour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No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Variant check</w:t>
            </w:r>
          </w:p>
        </w:tc>
      </w:tr>
      <w:tr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spec_variant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Expected variant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No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Variant check</w:t>
            </w:r>
          </w:p>
        </w:tc>
      </w:tr>
      <w:tr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spec_components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Required components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No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Completeness check</w:t>
            </w:r>
          </w:p>
        </w:tc>
      </w:tr>
      <w:tr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cartons_ordered / cartons_received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Carton expectation vs observation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Yes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Carton reconciliation</w:t>
            </w:r>
          </w:p>
        </w:tc>
      </w:tr>
      <w:tr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units_per_carton_ordered / units_per_carton_counted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Pack structure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Yes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Units/carton check</w:t>
            </w:r>
          </w:p>
        </w:tc>
      </w:tr>
      <w:tr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qty_ordered / qty_received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Total quantity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Yes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Quantity check</w:t>
            </w:r>
          </w:p>
        </w:tc>
      </w:tr>
      <w:tr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identity_match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Synthetic/reference identity state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Yes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Baseline fixture / eval mapping</w:t>
            </w:r>
          </w:p>
        </w:tc>
      </w:tr>
      <w:tr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carton_damage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Carton damage label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Yes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Damage fixture / eval mapping</w:t>
            </w:r>
          </w:p>
        </w:tc>
      </w:tr>
      <w:tr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unit_damage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Unit damage label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Yes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Damage fixture / eval mapping</w:t>
            </w:r>
          </w:p>
        </w:tc>
      </w:tr>
      <w:tr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quality_flags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Quality exceptions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No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Variant/components/defect mapping</w:t>
            </w:r>
          </w:p>
        </w:tc>
      </w:tr>
      <w:tr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photo_refs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Receiving image references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No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Image ingestion</w:t>
            </w:r>
          </w:p>
        </w:tc>
      </w:tr>
      <w:tr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operator_id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Actor label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Yes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Audit</w:t>
            </w:r>
          </w:p>
        </w:tc>
      </w:tr>
      <w:tr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captured_at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Capture timestamp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Yes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Audit / traceability</w:t>
            </w:r>
          </w:p>
        </w:tc>
      </w:tr>
    </w:tbl>
    <w:p/>
    <w:p>
      <w:pPr>
        <w:pStyle w:val="Heading2"/>
        <w:keepNext/>
      </w:pPr>
      <w:r>
        <w:t>5.2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2EA"/>
          <w:left w:val="single" w:sz="6" w:space="0" w:color="D7E2EA"/>
          <w:bottom w:val="single" w:sz="6" w:space="0" w:color="D7E2EA"/>
          <w:right w:val="single" w:sz="6" w:space="0" w:color="D7E2EA"/>
          <w:insideH w:val="single" w:sz="6" w:space="0" w:color="D7E2EA"/>
          <w:insideV w:val="single" w:sz="6" w:space="0" w:color="D7E2EA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Core fields</w:t>
            </w:r>
          </w:p>
        </w:tc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organizations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id, name, status, created_at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Tenant boundary; RLS enabled and forced.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users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id, organization_id, email, role, status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Role-based access.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products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id, organization_id, sku, asin, title, variant, colour, components_json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Product catalogue in tenant scope.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product_references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id, product_id, image_object_key, source, checksum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Reference images for visual matching.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purchase_orders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id, organization_id, po_number, supplier, status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Expected state.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purchase_order_lines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id, po_id, sku, expected_qty, cartons, units_per_carton, spec_json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One or more SKU lines.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shipments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id, organization_id, shipment_ref, po_id, status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Receiving event container.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units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id, shipment_id, unit_id, sku, status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Cross-manager unit identity.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receiving_images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id, organization_id, shipment_id, unit_id, object_key, sha256, mime, width, height, captured_at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Private image asset metadata.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inspections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id, organization_id, unit_id, status, overall_verdict, started_at, completed_at, model_version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Inspection lifecycle.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inspection_checks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id, inspection_id, check_key, verdict, confidence, detail_json, latency_ms, model_version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Per-check evidence and outcome.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evidence_items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id, inspection_id, image_id, region, observation, source_type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Traceability layer.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overrides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id, inspection_id, actor_id, original_verdict, new_verdict, reason, created_at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Never overwrite history.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audit_events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id, organization_id, actor_id, event_type, object_type, object_id, payload_hash, created_at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Security and operational audit.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eval_cases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id, suite_version, unit_id, inputs, gold_labels, agent_output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Held-out evaluation.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6. Authentication, Authorization and Tenant Isolation</w:t>
      </w:r>
    </w:p>
    <w:p>
      <w:pPr>
        <w:pStyle w:val="Heading2"/>
        <w:keepNext/>
      </w:pPr>
      <w:r>
        <w:t>6.1 Login model</w:t>
      </w:r>
    </w:p>
    <w:p>
      <w:pPr>
        <w:pStyle w:val="ListBullet"/>
        <w:spacing w:after="60"/>
        <w:ind w:left="360"/>
      </w:pPr>
      <w:r>
        <w:t>Email + password or an OAuth/OIDC provider may be used. The build should prefer a managed identity provider rather than custom password handling.</w:t>
      </w:r>
    </w:p>
    <w:p>
      <w:pPr>
        <w:pStyle w:val="ListBullet"/>
        <w:spacing w:after="60"/>
        <w:ind w:left="360"/>
      </w:pPr>
      <w:r>
        <w:t>Every authenticated session resolves to exactly one user and one organization.</w:t>
      </w:r>
    </w:p>
    <w:p>
      <w:pPr>
        <w:pStyle w:val="ListBullet"/>
        <w:spacing w:after="60"/>
        <w:ind w:left="360"/>
      </w:pPr>
      <w:r>
        <w:t>The backend must derive organization_id from the authenticated session/claims, never from a client-supplied hidden field.</w:t>
      </w:r>
    </w:p>
    <w:p>
      <w:pPr>
        <w:pStyle w:val="ListBullet"/>
        <w:spacing w:after="60"/>
        <w:ind w:left="360"/>
      </w:pPr>
      <w:r>
        <w:t>Unverified/inactive users must not access operational data.</w:t>
      </w:r>
    </w:p>
    <w:p>
      <w:pPr>
        <w:pStyle w:val="ListBullet"/>
        <w:spacing w:after="60"/>
        <w:ind w:left="360"/>
      </w:pPr>
      <w:r>
        <w:t>Role is checked server-side for every mutation; UI hiding is not a security control.</w:t>
      </w:r>
    </w:p>
    <w:p>
      <w:pPr>
        <w:pStyle w:val="Heading2"/>
        <w:keepNext/>
      </w:pPr>
      <w:r>
        <w:t>6.2 Login 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1182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color w:val="F0F5FA"/>
                <w:sz w:val="16"/>
              </w:rPr>
              <w:t>Browser</w:t>
              <w:br/>
              <w:t xml:space="preserve">  -&gt; Auth provider login</w:t>
              <w:br/>
              <w:t xml:space="preserve">  -&gt; access/ID token established</w:t>
              <w:br/>
              <w:t xml:space="preserve">  -&gt; backend session validation</w:t>
              <w:br/>
              <w:t xml:space="preserve">  -&gt; resolve user + organization_id + role</w:t>
              <w:br/>
              <w:t xml:space="preserve">  -&gt; load tenant-scoped dashboard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Logout</w:t>
      </w:r>
    </w:p>
    <w:p>
      <w:pPr>
        <w:spacing w:after="60"/>
        <w:ind w:left="173" w:hanging="173"/>
      </w:pPr>
      <w:r>
        <w:rPr>
          <w:b/>
        </w:rPr>
        <w:t xml:space="preserve">1. </w:t>
      </w:r>
      <w:r>
        <w:t>User selects profile menu → Sign out.</w:t>
      </w:r>
    </w:p>
    <w:p>
      <w:pPr>
        <w:spacing w:after="60"/>
        <w:ind w:left="173" w:hanging="173"/>
      </w:pPr>
      <w:r>
        <w:rPr>
          <w:b/>
        </w:rPr>
        <w:t xml:space="preserve">2. </w:t>
      </w:r>
      <w:r>
        <w:t>Client clears local session state and redirects to /login.</w:t>
      </w:r>
    </w:p>
    <w:p>
      <w:pPr>
        <w:spacing w:after="60"/>
        <w:ind w:left="173" w:hanging="173"/>
      </w:pPr>
      <w:r>
        <w:rPr>
          <w:b/>
        </w:rPr>
        <w:t xml:space="preserve">3. </w:t>
      </w:r>
      <w:r>
        <w:t>Server-side session/cookie is invalidated where applicable.</w:t>
      </w:r>
    </w:p>
    <w:p>
      <w:pPr>
        <w:spacing w:after="60"/>
        <w:ind w:left="173" w:hanging="173"/>
      </w:pPr>
      <w:r>
        <w:rPr>
          <w:b/>
        </w:rPr>
        <w:t xml:space="preserve">4. </w:t>
      </w:r>
      <w:r>
        <w:t>Long-lived refresh tokens are revoked or rotated according to the identity provider.</w:t>
      </w:r>
    </w:p>
    <w:p>
      <w:pPr>
        <w:spacing w:after="60"/>
        <w:ind w:left="173" w:hanging="173"/>
      </w:pPr>
      <w:r>
        <w:rPr>
          <w:b/>
        </w:rPr>
        <w:t xml:space="preserve">5. </w:t>
      </w:r>
      <w:r>
        <w:t>Pending asynchronous jobs are not deleted; they continue under the service identity and remain associated with the original tenant.</w:t>
      </w:r>
    </w:p>
    <w:p>
      <w:pPr>
        <w:pStyle w:val="Heading2"/>
        <w:keepNext/>
      </w:pPr>
      <w:r>
        <w:t>6.4 Authorization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2EA"/>
          <w:left w:val="single" w:sz="6" w:space="0" w:color="D7E2EA"/>
          <w:bottom w:val="single" w:sz="6" w:space="0" w:color="D7E2EA"/>
          <w:right w:val="single" w:sz="6" w:space="0" w:color="D7E2EA"/>
          <w:insideH w:val="single" w:sz="6" w:space="0" w:color="D7E2EA"/>
          <w:insideV w:val="single" w:sz="6" w:space="0" w:color="D7E2EA"/>
        </w:tblBorders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2033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Operator</w:t>
            </w:r>
          </w:p>
        </w:tc>
        <w:tc>
          <w:tcPr>
            <w:tcW w:type="dxa" w:w="2033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Reviewer</w:t>
            </w:r>
          </w:p>
        </w:tc>
        <w:tc>
          <w:tcPr>
            <w:tcW w:type="dxa" w:w="2033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Admin</w:t>
            </w:r>
          </w:p>
        </w:tc>
        <w:tc>
          <w:tcPr>
            <w:tcW w:type="dxa" w:w="2033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Evaluator</w:t>
            </w:r>
          </w:p>
        </w:tc>
      </w:tr>
      <w:tr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View own tenant receiving records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Yes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Yes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Yes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Read-only demo</w:t>
            </w:r>
          </w:p>
        </w:tc>
      </w:tr>
      <w:tr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Create/import PO/shipment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Yes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Yes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Yes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No</w:t>
            </w:r>
          </w:p>
        </w:tc>
      </w:tr>
      <w:tr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Upload receiving images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Yes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Yes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Yes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No</w:t>
            </w:r>
          </w:p>
        </w:tc>
      </w:tr>
      <w:tr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Run inspection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Yes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Yes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Yes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Demo only</w:t>
            </w:r>
          </w:p>
        </w:tc>
      </w:tr>
      <w:tr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Accept AI decision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Yes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Yes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Yes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No</w:t>
            </w:r>
          </w:p>
        </w:tc>
      </w:tr>
      <w:tr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Override decision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No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Yes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Yes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No</w:t>
            </w:r>
          </w:p>
        </w:tc>
      </w:tr>
      <w:tr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Edit catalogue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No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Limited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Yes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No</w:t>
            </w:r>
          </w:p>
        </w:tc>
      </w:tr>
      <w:tr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Run evaluation suite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No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Yes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Yes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Read-only results</w:t>
            </w:r>
          </w:p>
        </w:tc>
      </w:tr>
      <w:tr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Manage users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No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No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Yes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No</w:t>
            </w:r>
          </w:p>
        </w:tc>
      </w:tr>
      <w:tr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View other organization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Never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Never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Never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Never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BF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B42318"/>
                <w:sz w:val="21"/>
              </w:rPr>
              <w:t>Tenant isolation test</w:t>
            </w:r>
          </w:p>
          <w:p>
            <w:pPr>
              <w:spacing w:after="0"/>
            </w:pPr>
            <w:r>
              <w:rPr>
                <w:color w:val="1F2937"/>
                <w:sz w:val="18"/>
              </w:rPr>
              <w:t>Seed org_demo_alpha and org_demo_bravo. A user from Alpha must see zero Bravo rows and receive no image bytes even when guessing a Bravo object key.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7. Receiving Input and Ingestion</w:t>
      </w:r>
    </w:p>
    <w:p>
      <w:pPr>
        <w:pStyle w:val="Heading2"/>
        <w:keepNext/>
      </w:pPr>
      <w:r>
        <w:t>7.1 Input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2EA"/>
          <w:left w:val="single" w:sz="6" w:space="0" w:color="D7E2EA"/>
          <w:bottom w:val="single" w:sz="6" w:space="0" w:color="D7E2EA"/>
          <w:right w:val="single" w:sz="6" w:space="0" w:color="D7E2EA"/>
          <w:insideH w:val="single" w:sz="6" w:space="0" w:color="D7E2EA"/>
          <w:insideV w:val="single" w:sz="6" w:space="0" w:color="D7E2EA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Mode</w:t>
            </w:r>
          </w:p>
        </w:tc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Input</w:t>
            </w:r>
          </w:p>
        </w:tc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PO selection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Existing PO number + line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Recommended production path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Structured import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CSV/JSON matching internal schema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Fast demo and batch onboarding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Photo upload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JPEG/PNG/WebP receiving image(s)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Vision evidence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Fixture playback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Pre-linked test scenario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Evaluation/demo only</w:t>
            </w:r>
          </w:p>
        </w:tc>
      </w:tr>
    </w:tbl>
    <w:p/>
    <w:p>
      <w:pPr>
        <w:pStyle w:val="Heading2"/>
        <w:keepNext/>
      </w:pPr>
      <w:r>
        <w:t>7.2 Image ingestion rules</w:t>
      </w:r>
    </w:p>
    <w:p>
      <w:pPr>
        <w:pStyle w:val="ListBullet"/>
        <w:spacing w:after="60"/>
        <w:ind w:left="360"/>
      </w:pPr>
      <w:r>
        <w:t>Accept only approved image MIME types; reject executable or double-extension files.</w:t>
      </w:r>
    </w:p>
    <w:p>
      <w:pPr>
        <w:pStyle w:val="ListBullet"/>
        <w:spacing w:after="60"/>
        <w:ind w:left="360"/>
      </w:pPr>
      <w:r>
        <w:t>Enforce maximum size and pixel dimensions at the API boundary.</w:t>
      </w:r>
    </w:p>
    <w:p>
      <w:pPr>
        <w:pStyle w:val="ListBullet"/>
        <w:spacing w:after="60"/>
        <w:ind w:left="360"/>
      </w:pPr>
      <w:r>
        <w:t>Compute SHA-256 at ingestion and persist it as content_hash/image checksum.</w:t>
      </w:r>
    </w:p>
    <w:p>
      <w:pPr>
        <w:pStyle w:val="ListBullet"/>
        <w:spacing w:after="60"/>
        <w:ind w:left="360"/>
      </w:pPr>
      <w:r>
        <w:t>Store images privately under a tenant-scoped object key; use short-lived signed URLs for viewing.</w:t>
      </w:r>
    </w:p>
    <w:p>
      <w:pPr>
        <w:pStyle w:val="ListBullet"/>
        <w:spacing w:after="60"/>
        <w:ind w:left="360"/>
      </w:pPr>
      <w:r>
        <w:t>Generate a perceptual hash only as a duplicate hint; it is not a security boundary.</w:t>
      </w:r>
    </w:p>
    <w:p>
      <w:pPr>
        <w:pStyle w:val="ListBullet"/>
        <w:spacing w:after="60"/>
        <w:ind w:left="360"/>
      </w:pPr>
      <w:r>
        <w:t>Persist upload metadata before invoking the model.</w:t>
      </w:r>
    </w:p>
    <w:p>
      <w:pPr>
        <w:pStyle w:val="ListBullet"/>
        <w:spacing w:after="60"/>
        <w:ind w:left="360"/>
      </w:pPr>
      <w:r>
        <w:t>Run an image-quality precheck for severe blur, extreme darkness, invalid orientation and insufficient resolution.</w:t>
      </w:r>
    </w:p>
    <w:p>
      <w:pPr>
        <w:pStyle w:val="ListBullet"/>
        <w:spacing w:after="60"/>
        <w:ind w:left="360"/>
      </w:pPr>
      <w:r>
        <w:t>Do not automatically delete the original image after processing.</w:t>
      </w:r>
    </w:p>
    <w:p>
      <w:pPr>
        <w:pStyle w:val="Heading2"/>
        <w:keepNext/>
      </w:pPr>
      <w:r>
        <w:t>7.3 Image-quality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2EA"/>
          <w:left w:val="single" w:sz="6" w:space="0" w:color="D7E2EA"/>
          <w:bottom w:val="single" w:sz="6" w:space="0" w:color="D7E2EA"/>
          <w:right w:val="single" w:sz="6" w:space="0" w:color="D7E2EA"/>
          <w:insideH w:val="single" w:sz="6" w:space="0" w:color="D7E2EA"/>
          <w:insideV w:val="single" w:sz="6" w:space="0" w:color="D7E2EA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Signal</w:t>
            </w:r>
          </w:p>
        </w:tc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PASS</w:t>
            </w:r>
          </w:p>
        </w:tc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UNCERTAIN / REVIEW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Resolution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Enough pixels to inspect product/label/defect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Too small to establish the requested check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Exposure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Details visible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Major clipping or extreme darkness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Blur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Edges/details readable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Motion blur hides identity/damage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Occlusion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Relevant surfaces visible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Required units/components hidden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Coverage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All referenced cartons/areas represented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One or more expected evidence views absent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8. AI/VLM Inspection Architecture</w:t>
      </w:r>
    </w:p>
    <w:p>
      <w:r>
        <w:t>The organizer rule is one model call per unit carrying all checks. The implementation therefore uses one multimodal observation call followed by deterministic adjudication.</w:t>
      </w:r>
    </w:p>
    <w:p>
      <w:pPr>
        <w:pStyle w:val="Heading2"/>
        <w:keepNext/>
      </w:pPr>
      <w:r>
        <w:t>8.1 One batched call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1182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color w:val="F0F5FA"/>
                <w:sz w:val="16"/>
              </w:rPr>
              <w:t>INPUT</w:t>
              <w:br/>
              <w:t>- PO line / expected state</w:t>
              <w:br/>
              <w:t>- Relevant product metadata</w:t>
              <w:br/>
              <w:t>- Top-K catalogue/reference candidates</w:t>
              <w:br/>
              <w:t>- All receiving images for the unit</w:t>
              <w:br/>
              <w:br/>
              <w:t>ONE VLM CALL</w:t>
              <w:br/>
              <w:t>- identity observation</w:t>
              <w:br/>
              <w:t>- quantity observation</w:t>
              <w:br/>
              <w:t>- carton count</w:t>
              <w:br/>
              <w:t>- units/carton observation</w:t>
              <w:br/>
              <w:t>- colour / variant observation</w:t>
              <w:br/>
              <w:t>- carton damage</w:t>
              <w:br/>
              <w:t>- unit damage</w:t>
              <w:br/>
              <w:t>- component visibility / presence</w:t>
              <w:br/>
              <w:t>- evidence regions</w:t>
              <w:br/>
              <w:t>- uncertainty reasons</w:t>
              <w:br/>
              <w:br/>
              <w:t>OUTPUT</w:t>
              <w:br/>
              <w:t>Schema-validated JSON only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 Model responsibilities vs application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2EA"/>
          <w:left w:val="single" w:sz="6" w:space="0" w:color="D7E2EA"/>
          <w:bottom w:val="single" w:sz="6" w:space="0" w:color="D7E2EA"/>
          <w:right w:val="single" w:sz="6" w:space="0" w:color="D7E2EA"/>
          <w:insideH w:val="single" w:sz="6" w:space="0" w:color="D7E2EA"/>
          <w:insideV w:val="single" w:sz="6" w:space="0" w:color="D7E2EA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AI/VLM does</w:t>
            </w:r>
          </w:p>
        </w:tc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Application does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Identity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Describe observed product/label cues; compare with references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Resolve catalogue candidates, enforce SKU rules, compute final match status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Quantity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Identify visible units/pack counts; state occlusion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Compare expected vs confirmed, apply visible-vs-total logic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Cartons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Count visible cartons; describe damage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Compare expected/observed carton counts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Variant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Read visible colour/variant cues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Match against expected attributes and catalogue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Damage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Describe visible crush/water/tear/defect regions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Map observations to verdict, preserve evidence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Components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Report visibly present/absent components and occlusion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Decide PASS/FAIL/UNCERTAIN based on visibility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Overall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Never own final business verdict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Deterministic decision engine owns final outcome</w:t>
            </w:r>
          </w:p>
        </w:tc>
      </w:tr>
    </w:tbl>
    <w:p/>
    <w:p>
      <w:pPr>
        <w:pStyle w:val="Heading2"/>
        <w:keepNext/>
      </w:pPr>
      <w:r>
        <w:t>8.3 Structured output schema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1182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color w:val="F0F5FA"/>
                <w:sz w:val="16"/>
              </w:rPr>
              <w:t>{</w:t>
              <w:br/>
              <w:t xml:space="preserve">  "unit_id": "UNIT-0042",</w:t>
              <w:br/>
              <w:t xml:space="preserve">  "observations": {</w:t>
              <w:br/>
              <w:t xml:space="preserve">    "identity": {...},</w:t>
              <w:br/>
              <w:t xml:space="preserve">    "quantity": {...},</w:t>
              <w:br/>
              <w:t xml:space="preserve">    "cartons": {...},</w:t>
              <w:br/>
              <w:t xml:space="preserve">    "units_per_carton": {...},</w:t>
              <w:br/>
              <w:t xml:space="preserve">    "variant": {...},</w:t>
              <w:br/>
              <w:t xml:space="preserve">    "carton_damage": {...},</w:t>
              <w:br/>
              <w:t xml:space="preserve">    "unit_damage": {...},</w:t>
              <w:br/>
              <w:t xml:space="preserve">    "components": {...}</w:t>
              <w:br/>
              <w:t xml:space="preserve">  },</w:t>
              <w:br/>
              <w:t xml:space="preserve">  "evidence": [ ... ],</w:t>
              <w:br/>
              <w:t xml:space="preserve">  "quality": {"image_quality":"good", "occluded":true},</w:t>
              <w:br/>
              <w:t xml:space="preserve">  "model_metadata": {"model_version":"..."}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8.4 Prompting policy</w:t>
      </w:r>
    </w:p>
    <w:p>
      <w:pPr>
        <w:pStyle w:val="ListBullet"/>
        <w:spacing w:after="60"/>
        <w:ind w:left="360"/>
      </w:pPr>
      <w:r>
        <w:t>Tell the model to report only visible/explicitly provided evidence.</w:t>
      </w:r>
    </w:p>
    <w:p>
      <w:pPr>
        <w:pStyle w:val="ListBullet"/>
        <w:spacing w:after="60"/>
        <w:ind w:left="360"/>
      </w:pPr>
      <w:r>
        <w:t>Do not ask it to infer hidden inventory or assume unseen components are absent.</w:t>
      </w:r>
    </w:p>
    <w:p>
      <w:pPr>
        <w:pStyle w:val="ListBullet"/>
        <w:spacing w:after="60"/>
        <w:ind w:left="360"/>
      </w:pPr>
      <w:r>
        <w:t>Require a reason whenever a check is UNCERTAIN.</w:t>
      </w:r>
    </w:p>
    <w:p>
      <w:pPr>
        <w:pStyle w:val="ListBullet"/>
        <w:spacing w:after="60"/>
        <w:ind w:left="360"/>
      </w:pPr>
      <w:r>
        <w:t>Require image identifiers and normalized regions for visual findings.</w:t>
      </w:r>
    </w:p>
    <w:p>
      <w:pPr>
        <w:pStyle w:val="ListBullet"/>
        <w:spacing w:after="60"/>
        <w:ind w:left="360"/>
      </w:pPr>
      <w:r>
        <w:t>Use enumerated verdicts and JSON schema; reject schema-invalid responses.</w:t>
      </w:r>
    </w:p>
    <w:p>
      <w:pPr>
        <w:pStyle w:val="ListBullet"/>
        <w:spacing w:after="60"/>
        <w:ind w:left="360"/>
      </w:pPr>
      <w:r>
        <w:t>Keep system instructions free of secrets, privileged role data or tenant internals.</w:t>
      </w:r>
    </w:p>
    <w:p>
      <w:pPr>
        <w:spacing w:after="40"/>
      </w:pPr>
      <w:r>
        <w:rPr>
          <w:b/>
          <w:sz w:val="17"/>
        </w:rPr>
        <w:t>Google Gemini image understanding documentation</w:t>
      </w:r>
      <w:r>
        <w:rPr>
          <w:sz w:val="17"/>
        </w:rPr>
        <w:t xml:space="preserve"> — https://ai.google.dev/gemini-api/docs/image-understanding</w:t>
      </w:r>
    </w:p>
    <w:p>
      <w:pPr>
        <w:spacing w:after="80"/>
        <w:ind w:left="288"/>
      </w:pPr>
      <w:r>
        <w:rPr>
          <w:sz w:val="16"/>
        </w:rPr>
        <w:t>Current documentation describes image input, object detection/segmentation and structured JSON responses.</w:t>
      </w:r>
    </w:p>
    <w:p>
      <w:pPr>
        <w:spacing w:after="40"/>
      </w:pPr>
      <w:r>
        <w:rPr>
          <w:b/>
          <w:sz w:val="17"/>
        </w:rPr>
        <w:t>Google Gemini structured outputs</w:t>
      </w:r>
      <w:r>
        <w:rPr>
          <w:sz w:val="17"/>
        </w:rPr>
        <w:t xml:space="preserve"> — https://ai.google.dev/gemini-api/docs/structured-output</w:t>
      </w:r>
    </w:p>
    <w:p>
      <w:pPr>
        <w:spacing w:after="80"/>
        <w:ind w:left="288"/>
      </w:pPr>
      <w:r>
        <w:rPr>
          <w:sz w:val="16"/>
        </w:rPr>
        <w:t>Use JSON Schema/Pydantic/Zod for predictable output; validate semantics in application code.</w:t>
      </w:r>
    </w:p>
    <w:p>
      <w:r>
        <w:br w:type="page"/>
      </w:r>
    </w:p>
    <w:p>
      <w:pPr>
        <w:pStyle w:val="Heading1"/>
        <w:keepNext/>
      </w:pPr>
      <w:r>
        <w:t>9. Product / SKU / Variant Matching</w:t>
      </w:r>
    </w:p>
    <w:p>
      <w:pPr>
        <w:pStyle w:val="Heading2"/>
        <w:keepNext/>
      </w:pPr>
      <w:r>
        <w:t>9.1 Reference hierarchy</w:t>
      </w:r>
    </w:p>
    <w:p>
      <w:pPr>
        <w:spacing w:after="60"/>
        <w:ind w:left="173" w:hanging="173"/>
      </w:pPr>
      <w:r>
        <w:rPr>
          <w:b/>
        </w:rPr>
        <w:t xml:space="preserve">1. </w:t>
      </w:r>
      <w:r>
        <w:rPr>
          <w:b/>
        </w:rPr>
        <w:t xml:space="preserve">Exact identifier evidence — </w:t>
      </w:r>
      <w:r>
        <w:t>barcode/label text, if readable and explicitly present.</w:t>
      </w:r>
    </w:p>
    <w:p>
      <w:pPr>
        <w:spacing w:after="60"/>
        <w:ind w:left="173" w:hanging="173"/>
      </w:pPr>
      <w:r>
        <w:rPr>
          <w:b/>
        </w:rPr>
        <w:t xml:space="preserve">2. </w:t>
      </w:r>
      <w:r>
        <w:rPr>
          <w:b/>
        </w:rPr>
        <w:t xml:space="preserve">Catalogue metadata — </w:t>
      </w:r>
      <w:r>
        <w:t>SKU, ASIN, product title, variant and colour constraints.</w:t>
      </w:r>
    </w:p>
    <w:p>
      <w:pPr>
        <w:spacing w:after="60"/>
        <w:ind w:left="173" w:hanging="173"/>
      </w:pPr>
      <w:r>
        <w:rPr>
          <w:b/>
        </w:rPr>
        <w:t xml:space="preserve">3. </w:t>
      </w:r>
      <w:r>
        <w:rPr>
          <w:b/>
        </w:rPr>
        <w:t xml:space="preserve">Reference imagery — </w:t>
      </w:r>
      <w:r>
        <w:t>visual comparison against known catalogue images.</w:t>
      </w:r>
    </w:p>
    <w:p>
      <w:pPr>
        <w:spacing w:after="60"/>
        <w:ind w:left="173" w:hanging="173"/>
      </w:pPr>
      <w:r>
        <w:rPr>
          <w:b/>
        </w:rPr>
        <w:t xml:space="preserve">4. </w:t>
      </w:r>
      <w:r>
        <w:rPr>
          <w:b/>
        </w:rPr>
        <w:t xml:space="preserve">Top-K retrieval — </w:t>
      </w:r>
      <w:r>
        <w:t>retrieve a small candidate set before the batched VLM call; do not send the entire catalogue.</w:t>
      </w:r>
    </w:p>
    <w:p>
      <w:pPr>
        <w:spacing w:after="60"/>
        <w:ind w:left="173" w:hanging="173"/>
      </w:pPr>
      <w:r>
        <w:rPr>
          <w:b/>
        </w:rPr>
        <w:t xml:space="preserve">5. </w:t>
      </w:r>
      <w:r>
        <w:rPr>
          <w:b/>
        </w:rPr>
        <w:t xml:space="preserve">Human review — </w:t>
      </w:r>
      <w:r>
        <w:t>required when candidates are visually similar and evidence does not separate them reliably.</w:t>
      </w:r>
    </w:p>
    <w:p>
      <w:pPr>
        <w:pStyle w:val="Heading2"/>
        <w:keepNext/>
      </w:pPr>
      <w:r>
        <w:t>9.2 Matching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2EA"/>
          <w:left w:val="single" w:sz="6" w:space="0" w:color="D7E2EA"/>
          <w:bottom w:val="single" w:sz="6" w:space="0" w:color="D7E2EA"/>
          <w:right w:val="single" w:sz="6" w:space="0" w:color="D7E2EA"/>
          <w:insideH w:val="single" w:sz="6" w:space="0" w:color="D7E2EA"/>
          <w:insideV w:val="single" w:sz="6" w:space="0" w:color="D7E2EA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Action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PASS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Evidence supports the expected SKU/variant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Continue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FAIL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Evidence supports a mismatch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Exception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UNCERTAIN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Evidence cannot reliably separate candidates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Review / request more evidence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PENDING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Inspection not completed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Operator continues; retry later</w:t>
            </w:r>
          </w:p>
        </w:tc>
      </w:tr>
    </w:tbl>
    <w:p/>
    <w:p>
      <w:pPr>
        <w:pStyle w:val="Heading2"/>
        <w:keepNext/>
      </w:pPr>
      <w:r>
        <w:t>9.3 Variant logic</w:t>
      </w:r>
    </w:p>
    <w:p>
      <w:pPr>
        <w:pStyle w:val="ListBullet"/>
        <w:spacing w:after="60"/>
        <w:ind w:left="360"/>
      </w:pPr>
      <w:r>
        <w:t>Do not equate “similar appearance” with exact variant match.</w:t>
      </w:r>
    </w:p>
    <w:p>
      <w:pPr>
        <w:pStyle w:val="ListBullet"/>
        <w:spacing w:after="60"/>
        <w:ind w:left="360"/>
      </w:pPr>
      <w:r>
        <w:t>Colour and variant are separate checks when the PO specifies both.</w:t>
      </w:r>
    </w:p>
    <w:p>
      <w:pPr>
        <w:pStyle w:val="ListBullet"/>
        <w:spacing w:after="60"/>
        <w:ind w:left="360"/>
      </w:pPr>
      <w:r>
        <w:t>If a variant attribute is not visible and no explicit structured evidence is provided, return UNCERTAIN.</w:t>
      </w:r>
    </w:p>
    <w:p>
      <w:pPr>
        <w:pStyle w:val="ListBullet"/>
        <w:spacing w:after="60"/>
        <w:ind w:left="360"/>
      </w:pPr>
      <w:r>
        <w:t>If the product family is correct but the ordered colour/size/model is wrong, identity can PASS while variant FAILS.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BF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B42318"/>
                <w:sz w:val="21"/>
              </w:rPr>
              <w:t>Guardrail</w:t>
            </w:r>
          </w:p>
          <w:p>
            <w:pPr>
              <w:spacing w:after="0"/>
            </w:pPr>
            <w:r>
              <w:rPr>
                <w:color w:val="1F2937"/>
                <w:sz w:val="18"/>
              </w:rPr>
              <w:t>The model can propose candidates. Only the application can declare that a received SKU is the exact SKU ordered.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10. Quantity, Carton Count and Units-per-Carton Logic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080510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80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10.1 Quantitative reconciliation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1182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color w:val="F0F5FA"/>
                <w:sz w:val="16"/>
              </w:rPr>
              <w:t>expected_total = sum(po_line.expected_qty)</w:t>
              <w:br/>
              <w:t>observed_total = confirmed_visible_units + explicitly_verified_hidden_units</w:t>
              <w:br/>
              <w:t>quantity_delta = observed_total - expected_total</w:t>
              <w:br/>
              <w:br/>
              <w:t>carton_delta = cartons_received - cartons_ordered</w:t>
              <w:br/>
              <w:t>unit_per_carton_delta = units_per_carton_counted - units_per_carton_ordered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10.2 Visibility rule</w:t>
      </w:r>
    </w:p>
    <w:p>
      <w:pPr>
        <w:pStyle w:val="ListBullet"/>
        <w:spacing w:after="60"/>
        <w:ind w:left="360"/>
      </w:pPr>
      <w:r>
        <w:t>Visible count is not automatically total count.</w:t>
      </w:r>
    </w:p>
    <w:p>
      <w:pPr>
        <w:pStyle w:val="ListBullet"/>
        <w:spacing w:after="60"/>
        <w:ind w:left="360"/>
      </w:pPr>
      <w:r>
        <w:t>When cartons are closed and internal units cannot be seen, count cartons and use documented pack structure only if the structure is explicitly provided and the workflow permits it.</w:t>
      </w:r>
    </w:p>
    <w:p>
      <w:pPr>
        <w:pStyle w:val="ListBullet"/>
        <w:spacing w:after="60"/>
        <w:ind w:left="360"/>
      </w:pPr>
      <w:r>
        <w:t>If the model cannot establish whether hidden units exist, the affected quantity check is UNCERTAIN.</w:t>
      </w:r>
    </w:p>
    <w:p>
      <w:pPr>
        <w:pStyle w:val="ListBullet"/>
        <w:spacing w:after="60"/>
        <w:ind w:left="360"/>
      </w:pPr>
      <w:r>
        <w:t>Never subtract/assume hidden items merely because the model cannot see them.</w:t>
      </w:r>
    </w:p>
    <w:p>
      <w:pPr>
        <w:pStyle w:val="ListBullet"/>
        <w:spacing w:after="60"/>
        <w:ind w:left="360"/>
      </w:pPr>
      <w:r>
        <w:t>The provided organizer sample contains quantity mismatches but no received&gt;ordered overage rows; therefore an explicit overage fixture must be added to the independent evaluation set.</w:t>
      </w:r>
    </w:p>
    <w:p>
      <w:pPr>
        <w:pStyle w:val="Heading2"/>
        <w:keepNext/>
      </w:pPr>
      <w:r>
        <w:t>10.3 Overall quantity decision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2EA"/>
          <w:left w:val="single" w:sz="6" w:space="0" w:color="D7E2EA"/>
          <w:bottom w:val="single" w:sz="6" w:space="0" w:color="D7E2EA"/>
          <w:right w:val="single" w:sz="6" w:space="0" w:color="D7E2EA"/>
          <w:insideH w:val="single" w:sz="6" w:space="0" w:color="D7E2EA"/>
          <w:insideV w:val="single" w:sz="6" w:space="0" w:color="D7E2EA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Expected</w:t>
            </w:r>
          </w:p>
        </w:tc>
        <w:tc>
          <w:tcPr>
            <w:tcW w:type="dxa" w:w="2541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Visible/verified</w:t>
            </w:r>
          </w:p>
        </w:tc>
        <w:tc>
          <w:tcPr>
            <w:tcW w:type="dxa" w:w="2541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Condition</w:t>
            </w:r>
          </w:p>
        </w:tc>
        <w:tc>
          <w:tcPr>
            <w:tcW w:type="dxa" w:w="2541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Verdict</w:t>
            </w:r>
          </w:p>
        </w:tc>
      </w:tr>
      <w:tr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24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24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All required areas visible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PASS</w:t>
            </w:r>
          </w:p>
        </w:tc>
      </w:tr>
      <w:tr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24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22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Two units clearly missing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FAIL</w:t>
            </w:r>
          </w:p>
        </w:tc>
      </w:tr>
      <w:tr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24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26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Two extra units clearly visible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FAIL</w:t>
            </w:r>
          </w:p>
        </w:tc>
      </w:tr>
      <w:tr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24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18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Six units may be hidden by occlusion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UNCERTAIN</w:t>
            </w:r>
          </w:p>
        </w:tc>
      </w:tr>
      <w:tr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24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22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Image quality too poor to establish exact count</w:t>
            </w:r>
          </w:p>
        </w:tc>
        <w:tc>
          <w:tcPr>
            <w:tcW w:type="dxa" w:w="254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UNCERTAIN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11. Damage and Quality Inspection</w:t>
      </w:r>
    </w:p>
    <w:p>
      <w:pPr>
        <w:pStyle w:val="Heading2"/>
        <w:keepNext/>
      </w:pPr>
      <w:r>
        <w:t>11.1 Required damage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2EA"/>
          <w:left w:val="single" w:sz="6" w:space="0" w:color="D7E2EA"/>
          <w:bottom w:val="single" w:sz="6" w:space="0" w:color="D7E2EA"/>
          <w:right w:val="single" w:sz="6" w:space="0" w:color="D7E2EA"/>
          <w:insideH w:val="single" w:sz="6" w:space="0" w:color="D7E2EA"/>
          <w:insideV w:val="single" w:sz="6" w:space="0" w:color="D7E2EA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Examples of visible evidence</w:t>
            </w:r>
          </w:p>
        </w:tc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Verdict principle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Crushing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Collapsed corner, deformation, compression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FAIL only when the image supports visible damage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Water damage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Visible wetting, water staining, leakage, swelling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FAIL only for visible water-related evidence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Tears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Rips, open seams, punctures, torn packaging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FAIL only when visible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Other obvious defects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Broken/open/visibly defective item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FAIL if defect is clear and within scope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Ambiguous condition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Insufficient view, blur, occlusion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UNCERTAIN</w:t>
            </w:r>
          </w:p>
        </w:tc>
      </w:tr>
    </w:tbl>
    <w:p/>
    <w:p>
      <w:pPr>
        <w:pStyle w:val="Heading2"/>
        <w:keepNext/>
      </w:pPr>
      <w:r>
        <w:t>11.2 Evidence requirements for damage</w:t>
      </w:r>
    </w:p>
    <w:p>
      <w:pPr>
        <w:pStyle w:val="ListBullet"/>
        <w:spacing w:after="60"/>
        <w:ind w:left="360"/>
      </w:pPr>
      <w:r>
        <w:t>Each visual damage finding should reference one or more source image IDs.</w:t>
      </w:r>
    </w:p>
    <w:p>
      <w:pPr>
        <w:pStyle w:val="ListBullet"/>
        <w:spacing w:after="60"/>
        <w:ind w:left="360"/>
      </w:pPr>
      <w:r>
        <w:t>Store a normalized region or bounding box whenever the model can provide it.</w:t>
      </w:r>
    </w:p>
    <w:p>
      <w:pPr>
        <w:pStyle w:val="ListBullet"/>
        <w:spacing w:after="60"/>
        <w:ind w:left="360"/>
      </w:pPr>
      <w:r>
        <w:t>Store an observation phrase describing what is actually visible, not a causal story.</w:t>
      </w:r>
    </w:p>
    <w:p>
      <w:pPr>
        <w:pStyle w:val="ListBullet"/>
        <w:spacing w:after="60"/>
        <w:ind w:left="360"/>
      </w:pPr>
      <w:r>
        <w:t>Do not claim severity, root cause or supplier fault unless such facts are separately supplied by structured evidence.</w:t>
      </w:r>
    </w:p>
    <w:p>
      <w:pPr>
        <w:pStyle w:val="Heading2"/>
        <w:keepNext/>
      </w:pPr>
      <w:r>
        <w:t>11.3 Public development data</w:t>
      </w:r>
    </w:p>
    <w:p>
      <w:pPr>
        <w:pStyle w:val="ListBullet"/>
        <w:spacing w:after="60"/>
        <w:ind w:left="360"/>
      </w:pPr>
      <w:r>
        <w:rPr>
          <w:b/>
        </w:rPr>
        <w:t xml:space="preserve">Kaputt — </w:t>
      </w:r>
      <w:r>
        <w:t>highly relevant retail-logistics defect benchmark for development/evaluation of visual defect capabilities. Its published benchmark includes 238,421 images, 48,376 unique items and 29,316 defective instances.</w:t>
      </w:r>
    </w:p>
    <w:p>
      <w:pPr>
        <w:pStyle w:val="ListBullet"/>
        <w:spacing w:after="60"/>
        <w:ind w:left="360"/>
      </w:pPr>
      <w:r>
        <w:rPr>
          <w:b/>
        </w:rPr>
        <w:t xml:space="preserve">ABO — </w:t>
      </w:r>
      <w:r>
        <w:t>catalogue/reference imagery and metadata for product identification.</w:t>
      </w:r>
    </w:p>
    <w:p>
      <w:pPr>
        <w:pStyle w:val="ListBullet"/>
        <w:spacing w:after="60"/>
        <w:ind w:left="360"/>
      </w:pPr>
      <w:r>
        <w:rPr>
          <w:b/>
        </w:rPr>
        <w:t xml:space="preserve">RPC — </w:t>
      </w:r>
      <w:r>
        <w:t>multi-product retail scenes useful for detection/counting development.</w:t>
      </w:r>
    </w:p>
    <w:p>
      <w:r>
        <w:rPr>
          <w:i/>
          <w:color w:val="5B6570"/>
          <w:sz w:val="16"/>
        </w:rPr>
        <w:t>Dataset licensing and terms must be checked before any production/commercial use. For the hackathon, document external datasets as development/evaluation inputs, not as a blanket production data license.</w:t>
      </w:r>
    </w:p>
    <w:p>
      <w:r>
        <w:br w:type="page"/>
      </w:r>
    </w:p>
    <w:p>
      <w:pPr>
        <w:pStyle w:val="Heading1"/>
        <w:keepNext/>
      </w:pPr>
      <w:r>
        <w:t>12. Missing Components Logic</w:t>
      </w:r>
    </w:p>
    <w:p>
      <w:pPr>
        <w:pStyle w:val="Heading2"/>
        <w:keepNext/>
      </w:pPr>
      <w:r>
        <w:t>12.1 Components are a visibility problem, not an inference problem</w:t>
      </w:r>
    </w:p>
    <w:p>
      <w:r>
        <w:t>The system should reason from the component checklist supplied by the PO/catalogue. It must not assume that an item is absent merely because the component is not visible in one image.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2EA"/>
          <w:left w:val="single" w:sz="6" w:space="0" w:color="D7E2EA"/>
          <w:bottom w:val="single" w:sz="6" w:space="0" w:color="D7E2EA"/>
          <w:right w:val="single" w:sz="6" w:space="0" w:color="D7E2EA"/>
          <w:insideH w:val="single" w:sz="6" w:space="0" w:color="D7E2EA"/>
          <w:insideV w:val="single" w:sz="6" w:space="0" w:color="D7E2EA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Situation</w:t>
            </w:r>
          </w:p>
        </w:tc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Why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Component compartment clearly visible and empty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FAIL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Absence is visually established.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Component visibly present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PASS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Presence is visually established.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Component area hidden/occluded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UNCERTAIN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Absence cannot be established.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Component requirement missing from expected state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UNCERTAIN / NOT_APPLICABLE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System lacks a defined expected component set.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Multiple views collectively establish absence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FAIL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Evidence may be sufficient across images.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BF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B42318"/>
                <w:sz w:val="21"/>
              </w:rPr>
              <w:t>Rule</w:t>
            </w:r>
          </w:p>
          <w:p>
            <w:pPr>
              <w:spacing w:after="0"/>
            </w:pPr>
            <w:r>
              <w:rPr>
                <w:color w:val="1F2937"/>
                <w:sz w:val="18"/>
              </w:rPr>
              <w:t>A missing component claim must identify the visual evidence that establishes absence; “not seen” is not enough when the area is hidden.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13. PASS / FAIL / UNCERTAIN / PENDING Decision Engine</w:t>
      </w:r>
    </w:p>
    <w:p>
      <w:pPr>
        <w:pStyle w:val="Heading2"/>
        <w:keepNext/>
      </w:pPr>
      <w:r>
        <w:t>13.1 Status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2EA"/>
          <w:left w:val="single" w:sz="6" w:space="0" w:color="D7E2EA"/>
          <w:bottom w:val="single" w:sz="6" w:space="0" w:color="D7E2EA"/>
          <w:right w:val="single" w:sz="6" w:space="0" w:color="D7E2EA"/>
          <w:insideH w:val="single" w:sz="6" w:space="0" w:color="D7E2EA"/>
          <w:insideV w:val="single" w:sz="6" w:space="0" w:color="D7E2EA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5083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Values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Inspection lifecycle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pending, running, completed, failed_retryable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Check verdict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pass, fail, uncertain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Overall outcome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pass, exception, uncertain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Review state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not_required, pending_review, accepted, overridden</w:t>
            </w:r>
          </w:p>
        </w:tc>
      </w:tr>
    </w:tbl>
    <w:p/>
    <w:p>
      <w:pPr>
        <w:pStyle w:val="Heading2"/>
        <w:keepNext/>
      </w:pPr>
      <w:r>
        <w:t>13.2 Overall decision rule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1182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color w:val="F0F5FA"/>
                <w:sz w:val="16"/>
              </w:rPr>
              <w:t>IF inspection is not complete:</w:t>
              <w:br/>
              <w:t xml:space="preserve">    overall = PENDING</w:t>
              <w:br/>
              <w:t>ELSE IF any check.verdict == FAIL:</w:t>
              <w:br/>
              <w:t xml:space="preserve">    overall = EXCEPTION</w:t>
              <w:br/>
              <w:t>ELSE IF any check.verdict == UNCERTAIN:</w:t>
              <w:br/>
              <w:t xml:space="preserve">    overall = UNCERTAIN</w:t>
              <w:br/>
              <w:t>ELSE:</w:t>
              <w:br/>
              <w:t xml:space="preserve">    overall = PASS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13.3 No masked failures</w:t>
      </w:r>
    </w:p>
    <w:p>
      <w:pPr>
        <w:pStyle w:val="ListBullet"/>
        <w:spacing w:after="60"/>
        <w:ind w:left="360"/>
      </w:pPr>
      <w:r>
        <w:t>A single failed quantity, identity, variant, carton damage or component check prevents overall PASS.</w:t>
      </w:r>
    </w:p>
    <w:p>
      <w:pPr>
        <w:pStyle w:val="ListBullet"/>
        <w:spacing w:after="60"/>
        <w:ind w:left="360"/>
      </w:pPr>
      <w:r>
        <w:t>A single UNCERTAIN check prevents overall PASS unless the business rule explicitly marks that check not applicable; RCV should default to conservative handling.</w:t>
      </w:r>
    </w:p>
    <w:p>
      <w:pPr>
        <w:pStyle w:val="ListBullet"/>
        <w:spacing w:after="60"/>
        <w:ind w:left="360"/>
      </w:pPr>
      <w:r>
        <w:t>PENDING is not a final decision and must never be presented as PASS.</w:t>
      </w:r>
    </w:p>
    <w:p>
      <w:r>
        <w:br w:type="page"/>
      </w:r>
    </w:p>
    <w:p>
      <w:pPr>
        <w:pStyle w:val="Heading1"/>
        <w:keepNext/>
      </w:pPr>
      <w:r>
        <w:t>14. Evidence Contract and Auditability</w:t>
      </w:r>
    </w:p>
    <w:p>
      <w:pPr>
        <w:pStyle w:val="Heading2"/>
        <w:keepNext/>
      </w:pPr>
      <w:r>
        <w:t>14.1 Fixed evidence contract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1182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color w:val="F0F5FA"/>
                <w:sz w:val="16"/>
              </w:rPr>
              <w:t>{</w:t>
              <w:br/>
              <w:t xml:space="preserve">  "record_id": "RCV-...",</w:t>
              <w:br/>
              <w:t xml:space="preserve">  "schema_version": "rcv.v1",</w:t>
              <w:br/>
              <w:t xml:space="preserve">  "organization_id": "org_demo_alpha",</w:t>
              <w:br/>
              <w:t xml:space="preserve">  "client_id": "...",</w:t>
              <w:br/>
              <w:t xml:space="preserve">  "agent": {"name":"DockProof","version":"..."},</w:t>
              <w:br/>
              <w:t xml:space="preserve">  "subject": {"unit_id":"UNIT-...","sku":"..."},</w:t>
              <w:br/>
              <w:t xml:space="preserve">  "captured_at": "...",</w:t>
              <w:br/>
              <w:t xml:space="preserve">  "operator_label": "...",</w:t>
              <w:br/>
              <w:t xml:space="preserve">  "images": [ ... ],</w:t>
              <w:br/>
              <w:t xml:space="preserve">  "checks": [</w:t>
              <w:br/>
              <w:t xml:space="preserve">    {</w:t>
              <w:br/>
              <w:t xml:space="preserve">      "check_key":"quantity",</w:t>
              <w:br/>
              <w:t xml:space="preserve">      "verdict":"fail",</w:t>
              <w:br/>
              <w:t xml:space="preserve">      "confidence":0.94,</w:t>
              <w:br/>
              <w:t xml:space="preserve">      "detail":{...},</w:t>
              <w:br/>
              <w:t xml:space="preserve">      "model_version":"...",</w:t>
              <w:br/>
              <w:t xml:space="preserve">      "latency_ms":1234</w:t>
              <w:br/>
              <w:t xml:space="preserve">    }</w:t>
              <w:br/>
              <w:t xml:space="preserve">  ],</w:t>
              <w:br/>
              <w:t xml:space="preserve">  "outcome": {</w:t>
              <w:br/>
              <w:t xml:space="preserve">    "decision":"exception",</w:t>
              <w:br/>
              <w:t xml:space="preserve">    "decided_by":"system",</w:t>
              <w:br/>
              <w:t xml:space="preserve">    "decided_at":"..."</w:t>
              <w:br/>
              <w:t xml:space="preserve">  },</w:t>
              <w:br/>
              <w:t xml:space="preserve">  "overrides": [ ... ],</w:t>
              <w:br/>
              <w:t xml:space="preserve">  "status":"completed",</w:t>
              <w:br/>
              <w:t xml:space="preserve">  "content_hash":"sha256:..."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14.2 Evidence quality rules</w:t>
      </w:r>
    </w:p>
    <w:p>
      <w:pPr>
        <w:pStyle w:val="ListBullet"/>
        <w:spacing w:after="60"/>
        <w:ind w:left="360"/>
      </w:pPr>
      <w:r>
        <w:t>Every important decision must be reproducible from stored expected state + observations + evidence references.</w:t>
      </w:r>
    </w:p>
    <w:p>
      <w:pPr>
        <w:pStyle w:val="ListBullet"/>
        <w:spacing w:after="60"/>
        <w:ind w:left="360"/>
      </w:pPr>
      <w:r>
        <w:t>Model version and latency are recorded per inspection/check.</w:t>
      </w:r>
    </w:p>
    <w:p>
      <w:pPr>
        <w:pStyle w:val="ListBullet"/>
        <w:spacing w:after="60"/>
        <w:ind w:left="360"/>
      </w:pPr>
      <w:r>
        <w:t>Overrides are additive audit rows, never destructive edits.</w:t>
      </w:r>
    </w:p>
    <w:p>
      <w:pPr>
        <w:pStyle w:val="ListBullet"/>
        <w:spacing w:after="60"/>
        <w:ind w:left="360"/>
      </w:pPr>
      <w:r>
        <w:t>Content hash proves integrity of the stored record bytes; do not describe it as immutable or blockchain-anchored unless such technology is actually implemented.</w:t>
      </w:r>
    </w:p>
    <w:p>
      <w:pPr>
        <w:pStyle w:val="ListBullet"/>
        <w:spacing w:after="60"/>
        <w:ind w:left="360"/>
      </w:pPr>
      <w:r>
        <w:t>Evidence image access must be authorization-checked independently of record visibility.</w:t>
      </w:r>
    </w:p>
    <w:p>
      <w:r>
        <w:br w:type="page"/>
      </w:r>
    </w:p>
    <w:p>
      <w:pPr>
        <w:pStyle w:val="Heading1"/>
        <w:keepNext/>
      </w:pPr>
      <w:r>
        <w:t>15. Human Review and Override</w:t>
      </w:r>
    </w:p>
    <w:p>
      <w:pPr>
        <w:pStyle w:val="Heading2"/>
        <w:keepNext/>
      </w:pPr>
      <w:r>
        <w:t>15.1 Review triggers</w:t>
      </w:r>
    </w:p>
    <w:p>
      <w:pPr>
        <w:pStyle w:val="ListBullet"/>
        <w:spacing w:after="60"/>
        <w:ind w:left="360"/>
      </w:pPr>
      <w:r>
        <w:t>Any UNCERTAIN check.</w:t>
      </w:r>
    </w:p>
    <w:p>
      <w:pPr>
        <w:pStyle w:val="ListBullet"/>
        <w:spacing w:after="60"/>
        <w:ind w:left="360"/>
      </w:pPr>
      <w:r>
        <w:t>High-impact FAIL such as identity mismatch.</w:t>
      </w:r>
    </w:p>
    <w:p>
      <w:pPr>
        <w:pStyle w:val="ListBullet"/>
        <w:spacing w:after="60"/>
        <w:ind w:left="360"/>
      </w:pPr>
      <w:r>
        <w:t>Low-quality photo or occlusion that prevents required inspection.</w:t>
      </w:r>
    </w:p>
    <w:p>
      <w:pPr>
        <w:pStyle w:val="ListBullet"/>
        <w:spacing w:after="60"/>
        <w:ind w:left="360"/>
      </w:pPr>
      <w:r>
        <w:t>Model error/timeout resulting in PENDING.</w:t>
      </w:r>
    </w:p>
    <w:p>
      <w:pPr>
        <w:pStyle w:val="ListBullet"/>
        <w:spacing w:after="60"/>
        <w:ind w:left="360"/>
      </w:pPr>
      <w:r>
        <w:t>Two competing catalogue candidates with small visual separation.</w:t>
      </w:r>
    </w:p>
    <w:p>
      <w:pPr>
        <w:pStyle w:val="Heading2"/>
        <w:keepNext/>
      </w:pPr>
      <w:r>
        <w:t>15.2 Review workflow</w:t>
      </w:r>
    </w:p>
    <w:p>
      <w:pPr>
        <w:spacing w:after="60"/>
        <w:ind w:left="173" w:hanging="173"/>
      </w:pPr>
      <w:r>
        <w:rPr>
          <w:b/>
        </w:rPr>
        <w:t xml:space="preserve">1. </w:t>
      </w:r>
      <w:r>
        <w:t>Reviewer opens inspection detail page.</w:t>
      </w:r>
    </w:p>
    <w:p>
      <w:pPr>
        <w:spacing w:after="60"/>
        <w:ind w:left="173" w:hanging="173"/>
      </w:pPr>
      <w:r>
        <w:rPr>
          <w:b/>
        </w:rPr>
        <w:t xml:space="preserve">2. </w:t>
      </w:r>
      <w:r>
        <w:t>System shows expected state, AI observations, evidence regions and original timestamps.</w:t>
      </w:r>
    </w:p>
    <w:p>
      <w:pPr>
        <w:spacing w:after="60"/>
        <w:ind w:left="173" w:hanging="173"/>
      </w:pPr>
      <w:r>
        <w:rPr>
          <w:b/>
        </w:rPr>
        <w:t xml:space="preserve">3. </w:t>
      </w:r>
      <w:r>
        <w:t>Reviewer selects accept/resolve/override.</w:t>
      </w:r>
    </w:p>
    <w:p>
      <w:pPr>
        <w:spacing w:after="60"/>
        <w:ind w:left="173" w:hanging="173"/>
      </w:pPr>
      <w:r>
        <w:rPr>
          <w:b/>
        </w:rPr>
        <w:t xml:space="preserve">4. </w:t>
      </w:r>
      <w:r>
        <w:t>Override requires a reason.</w:t>
      </w:r>
    </w:p>
    <w:p>
      <w:pPr>
        <w:spacing w:after="60"/>
        <w:ind w:left="173" w:hanging="173"/>
      </w:pPr>
      <w:r>
        <w:rPr>
          <w:b/>
        </w:rPr>
        <w:t xml:space="preserve">5. </w:t>
      </w:r>
      <w:r>
        <w:t>Original AI outcome remains unchanged in history.</w:t>
      </w:r>
    </w:p>
    <w:p>
      <w:pPr>
        <w:spacing w:after="60"/>
        <w:ind w:left="173" w:hanging="173"/>
      </w:pPr>
      <w:r>
        <w:rPr>
          <w:b/>
        </w:rPr>
        <w:t xml:space="preserve">6. </w:t>
      </w:r>
      <w:r>
        <w:t>New operator outcome is stored as a separate override event.</w:t>
      </w:r>
    </w:p>
    <w:p>
      <w:pPr>
        <w:spacing w:after="60"/>
        <w:ind w:left="173" w:hanging="173"/>
      </w:pPr>
      <w:r>
        <w:rPr>
          <w:b/>
        </w:rPr>
        <w:t xml:space="preserve">7. </w:t>
      </w:r>
      <w:r>
        <w:t>Final downstream record clearly exposes both AI and human decisions.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1182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color w:val="F0F5FA"/>
                <w:sz w:val="16"/>
              </w:rPr>
              <w:t>AI outcome: UNCERTAIN</w:t>
              <w:br/>
              <w:t>Human action: OVERRIDE → PASS</w:t>
              <w:br/>
              <w:t>Reason: "Second receiving image confirms the remaining units."</w:t>
              <w:br/>
              <w:br/>
              <w:t>Audit history preserves both records.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16. Reliability, Fail-Open Behavior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2EA"/>
          <w:left w:val="single" w:sz="6" w:space="0" w:color="D7E2EA"/>
          <w:bottom w:val="single" w:sz="6" w:space="0" w:color="D7E2EA"/>
          <w:right w:val="single" w:sz="6" w:space="0" w:color="D7E2EA"/>
          <w:insideH w:val="single" w:sz="6" w:space="0" w:color="D7E2EA"/>
          <w:insideV w:val="single" w:sz="6" w:space="0" w:color="D7E2EA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Failure</w:t>
            </w:r>
          </w:p>
        </w:tc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System behavior</w:t>
            </w:r>
          </w:p>
        </w:tc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Operator experience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VLM timeout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Persist capture; mark inspection pending; retry asynchronously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Can continue other receiving work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Malformed model JSON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Persist raw diagnostic metadata; do not consume invalid output; mark retryable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Sees “Inspection pending”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Catalogue unavailable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Use cached tenant catalogue snapshot if valid; otherwise mark identity pending/uncertain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Other checks may still complete if safe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Object storage read failure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Do not fabricate evidence; retain record and mark evidence unavailable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Review later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Database transient failure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Retry transaction; surface explicit error if persistence cannot be guaranteed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Never report success without persisted record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Unauthorized image request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Return 403/404 without revealing existence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No data leakage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Duplicate upload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Detect via checksum; link or reject according to policy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Avoid repeated model work</w:t>
            </w:r>
          </w:p>
        </w:tc>
      </w:tr>
    </w:tbl>
    <w:p/>
    <w:p>
      <w:pPr>
        <w:pStyle w:val="Heading2"/>
        <w:keepNext/>
      </w:pPr>
      <w:r>
        <w:t>16.1 Queue model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1182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color w:val="F0F5FA"/>
                <w:sz w:val="16"/>
              </w:rPr>
              <w:t>POST /inspections</w:t>
              <w:br/>
              <w:t xml:space="preserve">  1. persist inspection(status=pending)</w:t>
              <w:br/>
              <w:t xml:space="preserve">  2. enqueue job</w:t>
              <w:br/>
              <w:t xml:space="preserve">  3. return inspection_id</w:t>
              <w:br/>
              <w:br/>
              <w:t>worker</w:t>
              <w:br/>
              <w:t xml:space="preserve">  4. lock job</w:t>
              <w:br/>
              <w:t xml:space="preserve">  5. assemble all inputs</w:t>
              <w:br/>
              <w:t xml:space="preserve">  6. one VLM call</w:t>
              <w:br/>
              <w:t xml:space="preserve">  7. validate JSON</w:t>
              <w:br/>
              <w:t xml:space="preserve">  8. deterministic adjudication</w:t>
              <w:br/>
              <w:t xml:space="preserve">  9. write evidence/checks/outcome</w:t>
              <w:br/>
              <w:t xml:space="preserve"> 10. mark completed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17. API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2EA"/>
          <w:left w:val="single" w:sz="6" w:space="0" w:color="D7E2EA"/>
          <w:bottom w:val="single" w:sz="6" w:space="0" w:color="D7E2EA"/>
          <w:right w:val="single" w:sz="6" w:space="0" w:color="D7E2EA"/>
          <w:insideH w:val="single" w:sz="6" w:space="0" w:color="D7E2EA"/>
          <w:insideV w:val="single" w:sz="6" w:space="0" w:color="D7E2EA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POST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/api/v1/auth/session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Resolve authenticated user/org context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GET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/api/v1/shipments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Tenant-scoped receiving inbox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POST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/api/v1/shipments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Create/import shipment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GET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/api/v1/shipments/{id}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Shipment detail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POST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/api/v1/shipments/{id}/images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Upload receiving image metadata + object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POST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/api/v1/inspections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Create inspection + enqueue AI job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GET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/api/v1/inspections/{id}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Inspection status/result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POST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/api/v1/inspections/{id}/review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Human review/override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GET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/api/v1/inspections/{id}/evidence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Evidence bundle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GET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/api/v1/catalog/products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Tenant catalogue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POST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/api/v1/catalog/import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Import catalogue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POST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/api/v1/evaluations/run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Run held-out suite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GET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/api/v1/evaluations/{id}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Evaluation result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GET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/api/v1/audit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Tenant-scoped audit log</w:t>
            </w:r>
          </w:p>
        </w:tc>
      </w:tr>
    </w:tbl>
    <w:p/>
    <w:p>
      <w:pPr>
        <w:pStyle w:val="Heading2"/>
        <w:keepNext/>
      </w:pPr>
      <w:r>
        <w:t>17.1 API invariants</w:t>
      </w:r>
    </w:p>
    <w:p>
      <w:pPr>
        <w:pStyle w:val="ListBullet"/>
        <w:spacing w:after="60"/>
        <w:ind w:left="360"/>
      </w:pPr>
      <w:r>
        <w:t>Every route derives organization_id from authenticated context.</w:t>
      </w:r>
    </w:p>
    <w:p>
      <w:pPr>
        <w:pStyle w:val="ListBullet"/>
        <w:spacing w:after="60"/>
        <w:ind w:left="360"/>
      </w:pPr>
      <w:r>
        <w:t>Every object lookup checks tenant ownership before data is returned.</w:t>
      </w:r>
    </w:p>
    <w:p>
      <w:pPr>
        <w:pStyle w:val="ListBullet"/>
        <w:spacing w:after="60"/>
        <w:ind w:left="360"/>
      </w:pPr>
      <w:r>
        <w:t>No API accepts “org_id” from an untrusted browser as the authority.</w:t>
      </w:r>
    </w:p>
    <w:p>
      <w:pPr>
        <w:pStyle w:val="ListBullet"/>
        <w:spacing w:after="60"/>
        <w:ind w:left="360"/>
      </w:pPr>
      <w:r>
        <w:t>LLM output is never passed directly to SQL, shell commands, HTML or privileged actions without validation.</w:t>
      </w:r>
    </w:p>
    <w:p>
      <w:pPr>
        <w:pStyle w:val="ListBullet"/>
        <w:spacing w:after="60"/>
        <w:ind w:left="360"/>
      </w:pPr>
      <w:r>
        <w:t>All state transitions are server-authoritative.</w:t>
      </w:r>
    </w:p>
    <w:p>
      <w:r>
        <w:br w:type="page"/>
      </w:r>
    </w:p>
    <w:p>
      <w:pPr>
        <w:pStyle w:val="Heading1"/>
        <w:keepNext/>
      </w:pPr>
      <w:r>
        <w:t>18. UX / UI Specification</w:t>
      </w:r>
    </w:p>
    <w:p>
      <w:pPr>
        <w:pStyle w:val="Heading2"/>
        <w:keepNext/>
      </w:pPr>
      <w:r>
        <w:t>18.1 Navigation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1182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color w:val="F0F5FA"/>
                <w:sz w:val="16"/>
              </w:rPr>
              <w:t>Receiving</w:t>
              <w:br/>
              <w:t>Shipments</w:t>
              <w:br/>
              <w:t>Inspections</w:t>
              <w:br/>
              <w:t>Review Queue</w:t>
              <w:br/>
              <w:t>Evidence</w:t>
              <w:br/>
              <w:t>Evaluation</w:t>
              <w:br/>
              <w:t>Catalogue</w:t>
              <w:br/>
              <w:t>Settings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18.2 Receiving inbox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2EA"/>
          <w:left w:val="single" w:sz="6" w:space="0" w:color="D7E2EA"/>
          <w:bottom w:val="single" w:sz="6" w:space="0" w:color="D7E2EA"/>
          <w:right w:val="single" w:sz="6" w:space="0" w:color="D7E2EA"/>
          <w:insideH w:val="single" w:sz="6" w:space="0" w:color="D7E2EA"/>
          <w:insideV w:val="single" w:sz="6" w:space="0" w:color="D7E2EA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UI block</w:t>
            </w:r>
          </w:p>
        </w:tc>
        <w:tc>
          <w:tcPr>
            <w:tcW w:type="dxa" w:w="5083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Behavior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KPI strip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Awaiting review, Pass, Exceptions, Uncertain/Pending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Filter bar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Supplier, PO, SKU, date, status, reviewer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Shipment table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Shipment, supplier, PO, status, captured time, issue count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Quick actions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Open, review, retry pending, export evidence</w:t>
            </w:r>
          </w:p>
        </w:tc>
      </w:tr>
    </w:tbl>
    <w:p/>
    <w:p>
      <w:pPr>
        <w:pStyle w:val="Heading2"/>
        <w:keepNext/>
      </w:pPr>
      <w:r>
        <w:t>18.3 Inspection detail page</w:t>
      </w:r>
    </w:p>
    <w:p>
      <w:pPr>
        <w:pStyle w:val="ListBullet"/>
        <w:spacing w:after="60"/>
        <w:ind w:left="360"/>
      </w:pPr>
      <w:r>
        <w:t>Left: expected PO state — SKU, title, colour, variant, quantity, cartons, units/carton, components.</w:t>
      </w:r>
    </w:p>
    <w:p>
      <w:pPr>
        <w:pStyle w:val="ListBullet"/>
        <w:spacing w:after="60"/>
        <w:ind w:left="360"/>
      </w:pPr>
      <w:r>
        <w:t>Center: receiving evidence gallery with zoom and evidence regions.</w:t>
      </w:r>
    </w:p>
    <w:p>
      <w:pPr>
        <w:pStyle w:val="ListBullet"/>
        <w:spacing w:after="60"/>
        <w:ind w:left="360"/>
      </w:pPr>
      <w:r>
        <w:t>Right: per-check verdicts with confidence and concise explanation.</w:t>
      </w:r>
    </w:p>
    <w:p>
      <w:pPr>
        <w:pStyle w:val="ListBullet"/>
        <w:spacing w:after="60"/>
        <w:ind w:left="360"/>
      </w:pPr>
      <w:r>
        <w:t>Bottom: evidence timeline, model metadata, latency, content hash and human actions.</w:t>
      </w:r>
    </w:p>
    <w:p>
      <w:pPr>
        <w:pStyle w:val="ListBullet"/>
        <w:spacing w:after="60"/>
        <w:ind w:left="360"/>
      </w:pPr>
      <w:r>
        <w:t>Primary action changes with status: Analyze, Review, Accept, Override, Retry.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BF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16C1E8"/>
                <w:sz w:val="21"/>
              </w:rPr>
              <w:t>UX principle</w:t>
            </w:r>
          </w:p>
          <w:p>
            <w:pPr>
              <w:spacing w:after="0"/>
            </w:pPr>
            <w:r>
              <w:rPr>
                <w:color w:val="1F2937"/>
                <w:sz w:val="18"/>
              </w:rPr>
              <w:t>The first 10 seconds of the demo should answer: What was expected? What arrived? What failed? What evidence proves it? What should the operator do now?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19. Dataset Strategy and Evaluation Architecture</w:t>
      </w:r>
    </w:p>
    <w:p>
      <w:pPr>
        <w:pStyle w:val="Heading2"/>
        <w:keepNext/>
      </w:pPr>
      <w:r>
        <w:t>19.1 Organizer-provided dataset: what it is</w:t>
      </w:r>
    </w:p>
    <w:p>
      <w:r>
        <w:t>The current receiving_sample.csv is a synthetic 100-row reference dataset. It provides the operational vocabulary and a useful spread of statuses, but it contains no actual receiving images. It should drive schema/UI fixtures, not model training ground truth.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2EA"/>
          <w:left w:val="single" w:sz="6" w:space="0" w:color="D7E2EA"/>
          <w:bottom w:val="single" w:sz="6" w:space="0" w:color="D7E2EA"/>
          <w:right w:val="single" w:sz="6" w:space="0" w:color="D7E2EA"/>
          <w:insideH w:val="single" w:sz="6" w:space="0" w:color="D7E2EA"/>
          <w:insideV w:val="single" w:sz="6" w:space="0" w:color="D7E2EA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Observed property</w:t>
            </w:r>
          </w:p>
        </w:tc>
        <w:tc>
          <w:tcPr>
            <w:tcW w:type="dxa" w:w="5083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Current sample finding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Rows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100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Columns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25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Organizations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2: org_demo_alpha / org_demo_bravo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Unique SKUs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10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Purchase orders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26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Suppliers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3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Operators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6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Identity match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94 yes / 3 no / 3 uncertain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Carton damage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74 none / 11 crushing / 6 tears / 4 water / 5 uncertain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Unit damage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89 none / 3 crushing / 2 tears / 2 water / 4 uncertain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Quality flags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90 empty; remaining include missing_components, obvious_defect, wrong_colour, wrong_variant and a combined wrong_colour;obvious_defect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Quantity mismatches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15; current sample has shortages only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Received &gt; ordered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0 in current sample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Carton count mismatches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7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Units/carton mismatches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8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BF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B42318"/>
                <w:sz w:val="21"/>
              </w:rPr>
              <w:t>Critical dataset gap</w:t>
            </w:r>
          </w:p>
          <w:p>
            <w:pPr>
              <w:spacing w:after="0"/>
            </w:pPr>
            <w:r>
              <w:rPr>
                <w:color w:val="1F2937"/>
                <w:sz w:val="18"/>
              </w:rPr>
              <w:t>The organizer sample does not provide actual photos and does not include a received&gt;ordered overage row. We must add explicit overage and photo fixtures to the held-out evaluation design rather than pretending the CSV already covers them.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19.2 Public development datasets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2EA"/>
          <w:left w:val="single" w:sz="6" w:space="0" w:color="D7E2EA"/>
          <w:bottom w:val="single" w:sz="6" w:space="0" w:color="D7E2EA"/>
          <w:right w:val="single" w:sz="6" w:space="0" w:color="D7E2EA"/>
          <w:insideH w:val="single" w:sz="6" w:space="0" w:color="D7E2EA"/>
          <w:insideV w:val="single" w:sz="6" w:space="0" w:color="D7E2EA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Dataset</w:t>
            </w:r>
          </w:p>
        </w:tc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Use in DockProof</w:t>
            </w:r>
          </w:p>
        </w:tc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Caution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Kaputt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Retail-logistics defect development: crushing/deformation, spillage/water-like damage, tears/penetration and reference-based defect reasoning.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Check current access and license/terms before use outside research/hackathon.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Amazon Berkeley Objects (ABO)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Product catalogue/reference imagery and metadata for identity/variant matching.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Use only according to dataset license; current official page states CC BY 4.0.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RPC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Multi-product recognition/counting development.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Official page states CC BY-NC-SA 4.0; treat as research/development data.</w:t>
            </w:r>
          </w:p>
        </w:tc>
      </w:tr>
    </w:tbl>
    <w:p/>
    <w:p>
      <w:pPr>
        <w:spacing w:after="40"/>
      </w:pPr>
      <w:r>
        <w:rPr>
          <w:b/>
          <w:sz w:val="17"/>
        </w:rPr>
        <w:t>Kaputt — Amazon Science</w:t>
      </w:r>
      <w:r>
        <w:rPr>
          <w:sz w:val="17"/>
        </w:rPr>
        <w:t xml:space="preserve"> — https://www.amazon.science/blog/novel-kaputt-dataset-sets-new-benchmark-for-large-scale-visual-defect-detection</w:t>
      </w:r>
    </w:p>
    <w:p>
      <w:pPr>
        <w:spacing w:after="40"/>
      </w:pPr>
      <w:r>
        <w:rPr>
          <w:b/>
          <w:sz w:val="17"/>
        </w:rPr>
        <w:t>Amazon Berkeley Objects</w:t>
      </w:r>
      <w:r>
        <w:rPr>
          <w:sz w:val="17"/>
        </w:rPr>
        <w:t xml:space="preserve"> — https://amazon-berkeley-objects.s3.amazonaws.com/index.html</w:t>
      </w:r>
    </w:p>
    <w:p>
      <w:pPr>
        <w:spacing w:after="40"/>
      </w:pPr>
      <w:r>
        <w:rPr>
          <w:b/>
          <w:sz w:val="17"/>
        </w:rPr>
        <w:t>Retail Product Checkout (RPC)</w:t>
      </w:r>
      <w:r>
        <w:rPr>
          <w:sz w:val="17"/>
        </w:rPr>
        <w:t xml:space="preserve"> — https://rpc-dataset.github.io/</w:t>
      </w:r>
    </w:p>
    <w:p>
      <w:r>
        <w:br w:type="page"/>
      </w:r>
    </w:p>
    <w:p>
      <w:pPr>
        <w:pStyle w:val="Heading1"/>
        <w:keepNext/>
      </w:pPr>
      <w:r>
        <w:t>20. 50-Unit Held-Out Evaluation Plan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08476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u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08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20.1 Unit selection</w:t>
      </w:r>
    </w:p>
    <w:p>
      <w:pPr>
        <w:pStyle w:val="ListBullet"/>
        <w:spacing w:after="60"/>
        <w:ind w:left="360"/>
      </w:pPr>
      <w:r>
        <w:t>At least 50 unseen units for the vision evaluation where applicable, as instructed by the handbook.</w:t>
      </w:r>
    </w:p>
    <w:p>
      <w:pPr>
        <w:pStyle w:val="ListBullet"/>
        <w:spacing w:after="60"/>
        <w:ind w:left="360"/>
      </w:pPr>
      <w:r>
        <w:t>No unit in the held-out set may have been used to tune thresholds or prompts after labeling is frozen.</w:t>
      </w:r>
    </w:p>
    <w:p>
      <w:pPr>
        <w:pStyle w:val="ListBullet"/>
        <w:spacing w:after="60"/>
        <w:ind w:left="360"/>
      </w:pPr>
      <w:r>
        <w:t>Balance the set across identity, quantity, variant, carton damage, unit damage, components and ambiguity.</w:t>
      </w:r>
    </w:p>
    <w:p>
      <w:pPr>
        <w:pStyle w:val="ListBullet"/>
        <w:spacing w:after="60"/>
        <w:ind w:left="360"/>
      </w:pPr>
      <w:r>
        <w:t>Include good/poor lighting, different angles, slight blur, occlusion and visually similar products.</w:t>
      </w:r>
    </w:p>
    <w:p>
      <w:pPr>
        <w:pStyle w:val="ListBullet"/>
        <w:spacing w:after="60"/>
        <w:ind w:left="360"/>
      </w:pPr>
      <w:r>
        <w:t>Include at least one explicit extra-units scenario, which the current sample CSV lacks.</w:t>
      </w:r>
    </w:p>
    <w:p>
      <w:pPr>
        <w:pStyle w:val="Heading2"/>
        <w:keepNext/>
      </w:pPr>
      <w:r>
        <w:t>20.2 Human labeling</w:t>
      </w:r>
    </w:p>
    <w:p>
      <w:pPr>
        <w:spacing w:after="60"/>
        <w:ind w:left="173" w:hanging="173"/>
      </w:pPr>
      <w:r>
        <w:rPr>
          <w:b/>
        </w:rPr>
        <w:t xml:space="preserve">1. </w:t>
      </w:r>
      <w:r>
        <w:t>Human A labels independently from the agent and without seeing Human B labels.</w:t>
      </w:r>
    </w:p>
    <w:p>
      <w:pPr>
        <w:spacing w:after="60"/>
        <w:ind w:left="173" w:hanging="173"/>
      </w:pPr>
      <w:r>
        <w:rPr>
          <w:b/>
        </w:rPr>
        <w:t xml:space="preserve">2. </w:t>
      </w:r>
      <w:r>
        <w:t>Human B labels independently using the same rubric.</w:t>
      </w:r>
    </w:p>
    <w:p>
      <w:pPr>
        <w:spacing w:after="60"/>
        <w:ind w:left="173" w:hanging="173"/>
      </w:pPr>
      <w:r>
        <w:rPr>
          <w:b/>
        </w:rPr>
        <w:t xml:space="preserve">3. </w:t>
      </w:r>
      <w:r>
        <w:t>Compute agreement such as Cohen’s kappa where applicable.</w:t>
      </w:r>
    </w:p>
    <w:p>
      <w:pPr>
        <w:spacing w:after="60"/>
        <w:ind w:left="173" w:hanging="173"/>
      </w:pPr>
      <w:r>
        <w:rPr>
          <w:b/>
        </w:rPr>
        <w:t xml:space="preserve">4. </w:t>
      </w:r>
      <w:r>
        <w:t>Adjudicate disagreements before agent predictions are compared to the final gold label.</w:t>
      </w:r>
    </w:p>
    <w:p>
      <w:pPr>
        <w:spacing w:after="60"/>
        <w:ind w:left="173" w:hanging="173"/>
      </w:pPr>
      <w:r>
        <w:rPr>
          <w:b/>
        </w:rPr>
        <w:t xml:space="preserve">5. </w:t>
      </w:r>
      <w:r>
        <w:t>Freeze gold labels and record labeler guidance/version.</w:t>
      </w:r>
    </w:p>
    <w:p>
      <w:pPr>
        <w:pStyle w:val="Heading2"/>
        <w:keepNext/>
      </w:pPr>
      <w:r>
        <w:t>20.3 Evaluation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2EA"/>
          <w:left w:val="single" w:sz="6" w:space="0" w:color="D7E2EA"/>
          <w:bottom w:val="single" w:sz="6" w:space="0" w:color="D7E2EA"/>
          <w:right w:val="single" w:sz="6" w:space="0" w:color="D7E2EA"/>
          <w:insideH w:val="single" w:sz="6" w:space="0" w:color="D7E2EA"/>
          <w:insideV w:val="single" w:sz="6" w:space="0" w:color="D7E2EA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5083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Why it matters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Per-check accuracy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Shows whether each required capability actually works.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Precision / false positives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Measures overcalling defects/mismatches.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Recall / false negatives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Measures missed discrepancies.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UNCERTAIN rate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Shows how often the system appropriately abstains.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Coverage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Shows how much of the test set receives a non-pending decision.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Latency / unit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Operational usability and cost signal.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Cost / unit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Model economics and future scale.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Failure modes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Explains where and why the system breaks.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21. Complete RCV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2EA"/>
          <w:left w:val="single" w:sz="6" w:space="0" w:color="D7E2EA"/>
          <w:bottom w:val="single" w:sz="6" w:space="0" w:color="D7E2EA"/>
          <w:right w:val="single" w:sz="6" w:space="0" w:color="D7E2EA"/>
          <w:insideH w:val="single" w:sz="6" w:space="0" w:color="D7E2EA"/>
          <w:insideV w:val="single" w:sz="6" w:space="0" w:color="D7E2EA"/>
        </w:tblBorders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033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2033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Expected checks</w:t>
            </w:r>
          </w:p>
        </w:tc>
        <w:tc>
          <w:tcPr>
            <w:tcW w:type="dxa" w:w="2033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Expected overall</w:t>
            </w:r>
          </w:p>
        </w:tc>
        <w:tc>
          <w:tcPr>
            <w:tcW w:type="dxa" w:w="2033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Primary evidence</w:t>
            </w:r>
          </w:p>
        </w:tc>
      </w:tr>
      <w:tr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RCV-01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Correct shipment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Identity/qty/cartons/variant/damage/components all pass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PASS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Clear PO + complete photos</w:t>
            </w:r>
          </w:p>
        </w:tc>
      </w:tr>
      <w:tr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RCV-02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Short shipment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Quantity fail; other checks may pass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EXCEPTION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Countable units / carton evidence</w:t>
            </w:r>
          </w:p>
        </w:tc>
      </w:tr>
      <w:tr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RCV-03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Extra units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Quantity fail; extra units identified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EXCEPTION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Clearly visible overage</w:t>
            </w:r>
          </w:p>
        </w:tc>
      </w:tr>
      <w:tr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RCV-04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Wrong SKU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Identity fail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EXCEPTION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Reference/candidate mismatch</w:t>
            </w:r>
          </w:p>
        </w:tc>
      </w:tr>
      <w:tr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RCV-05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Wrong variant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Variant fail; identity may pass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EXCEPTION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Colour/size/model evidence</w:t>
            </w:r>
          </w:p>
        </w:tc>
      </w:tr>
      <w:tr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RCV-06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Crushed carton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Carton damage fail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EXCEPTION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Highlighted crushed region</w:t>
            </w:r>
          </w:p>
        </w:tc>
      </w:tr>
      <w:tr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RCV-07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Water-damaged carton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Carton damage fail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EXCEPTION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Visible staining/liquid evidence</w:t>
            </w:r>
          </w:p>
        </w:tc>
      </w:tr>
      <w:tr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RCV-08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Torn packaging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Carton/unit damage fail as applicable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EXCEPTION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Visible tear/open seam</w:t>
            </w:r>
          </w:p>
        </w:tc>
      </w:tr>
      <w:tr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RCV-09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Missing component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Fail only if absence established; otherwise uncertain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EXCEPTION or UNCERTAIN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Component area visible/occluded</w:t>
            </w:r>
          </w:p>
        </w:tc>
      </w:tr>
      <w:tr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RCV-10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Ambiguous case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Affected checks uncertain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UNCERTAIN</w:t>
            </w:r>
          </w:p>
        </w:tc>
        <w:tc>
          <w:tcPr>
            <w:tcW w:type="dxa" w:w="203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Low-quality/occluded/visually similar case</w:t>
            </w:r>
          </w:p>
        </w:tc>
      </w:tr>
    </w:tbl>
    <w:p/>
    <w:p>
      <w:pPr>
        <w:pStyle w:val="Heading2"/>
        <w:keepNext/>
      </w:pPr>
      <w:r>
        <w:t>21.1 Additional adversarial tests</w:t>
      </w:r>
    </w:p>
    <w:p>
      <w:pPr>
        <w:pStyle w:val="ListBullet"/>
        <w:spacing w:after="60"/>
        <w:ind w:left="360"/>
      </w:pPr>
      <w:r>
        <w:t>Two visually similar SKUs with near-identical packaging.</w:t>
      </w:r>
    </w:p>
    <w:p>
      <w:pPr>
        <w:pStyle w:val="ListBullet"/>
        <w:spacing w:after="60"/>
        <w:ind w:left="360"/>
      </w:pPr>
      <w:r>
        <w:t>Correct SKU label but wrong physical colour.</w:t>
      </w:r>
    </w:p>
    <w:p>
      <w:pPr>
        <w:pStyle w:val="ListBullet"/>
        <w:spacing w:after="60"/>
        <w:ind w:left="360"/>
      </w:pPr>
      <w:r>
        <w:t>Two cartons, one damaged and one clean.</w:t>
      </w:r>
    </w:p>
    <w:p>
      <w:pPr>
        <w:pStyle w:val="ListBullet"/>
        <w:spacing w:after="60"/>
        <w:ind w:left="360"/>
      </w:pPr>
      <w:r>
        <w:t>Closed carton where internal count is not visible.</w:t>
      </w:r>
    </w:p>
    <w:p>
      <w:pPr>
        <w:pStyle w:val="ListBullet"/>
        <w:spacing w:after="60"/>
        <w:ind w:left="360"/>
      </w:pPr>
      <w:r>
        <w:t>Open carton with partial occlusion.</w:t>
      </w:r>
    </w:p>
    <w:p>
      <w:pPr>
        <w:pStyle w:val="ListBullet"/>
        <w:spacing w:after="60"/>
        <w:ind w:left="360"/>
      </w:pPr>
      <w:r>
        <w:t>Duplicate photo upload.</w:t>
      </w:r>
    </w:p>
    <w:p>
      <w:pPr>
        <w:pStyle w:val="ListBullet"/>
        <w:spacing w:after="60"/>
        <w:ind w:left="360"/>
      </w:pPr>
      <w:r>
        <w:t>Image with severe blur.</w:t>
      </w:r>
    </w:p>
    <w:p>
      <w:pPr>
        <w:pStyle w:val="ListBullet"/>
        <w:spacing w:after="60"/>
        <w:ind w:left="360"/>
      </w:pPr>
      <w:r>
        <w:t>Model timeout after image upload.</w:t>
      </w:r>
    </w:p>
    <w:p>
      <w:pPr>
        <w:pStyle w:val="ListBullet"/>
        <w:spacing w:after="60"/>
        <w:ind w:left="360"/>
      </w:pPr>
      <w:r>
        <w:t>Model returns schema-valid but semantically impossible quantity.</w:t>
      </w:r>
    </w:p>
    <w:p>
      <w:pPr>
        <w:pStyle w:val="ListBullet"/>
        <w:spacing w:after="60"/>
        <w:ind w:left="360"/>
      </w:pPr>
      <w:r>
        <w:t>Cross-tenant attempt to access another organization’s image.</w:t>
      </w:r>
    </w:p>
    <w:p>
      <w:r>
        <w:br w:type="page"/>
      </w:r>
    </w:p>
    <w:p>
      <w:pPr>
        <w:pStyle w:val="Heading1"/>
        <w:keepNext/>
      </w:pPr>
      <w:r>
        <w:t>22. Automated Test and Evaluation Harness</w:t>
      </w:r>
    </w:p>
    <w:p>
      <w:pPr>
        <w:pStyle w:val="Heading2"/>
        <w:keepNext/>
      </w:pPr>
      <w:r>
        <w:t>22.1 Suggested structure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1182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color w:val="F0F5FA"/>
                <w:sz w:val="16"/>
              </w:rPr>
              <w:t>tests/</w:t>
              <w:br/>
              <w:t xml:space="preserve">  unit/</w:t>
              <w:br/>
              <w:t xml:space="preserve">    decision_engine.test.*</w:t>
              <w:br/>
              <w:t xml:space="preserve">    quantity_rules.test.*</w:t>
              <w:br/>
              <w:t xml:space="preserve">    evidence_schema.test.*</w:t>
              <w:br/>
              <w:t xml:space="preserve">  integration/</w:t>
              <w:br/>
              <w:t xml:space="preserve">    tenant_isolation.test.*</w:t>
              <w:br/>
              <w:t xml:space="preserve">    image_access.test.*</w:t>
              <w:br/>
              <w:t xml:space="preserve">    inspection_pipeline.test.*</w:t>
              <w:br/>
              <w:t xml:space="preserve">  evaluation/</w:t>
              <w:br/>
              <w:t xml:space="preserve">    heldout_50/</w:t>
              <w:br/>
              <w:t xml:space="preserve">      cases.json</w:t>
              <w:br/>
              <w:t xml:space="preserve">      labels_human_a.json</w:t>
              <w:br/>
              <w:t xml:space="preserve">      labels_human_b.json</w:t>
              <w:br/>
              <w:t xml:space="preserve">      adjudicated.json</w:t>
              <w:br/>
              <w:t xml:space="preserve">      predictions.json</w:t>
              <w:br/>
              <w:t xml:space="preserve">      report.json</w:t>
              <w:br/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22.2 Regression gates</w:t>
      </w:r>
    </w:p>
    <w:p>
      <w:pPr>
        <w:pStyle w:val="ListBullet"/>
        <w:spacing w:after="60"/>
        <w:ind w:left="360"/>
      </w:pPr>
      <w:r>
        <w:t>Every required RCV scenario has a fixture and expected state.</w:t>
      </w:r>
    </w:p>
    <w:p>
      <w:pPr>
        <w:pStyle w:val="ListBullet"/>
        <w:spacing w:after="60"/>
        <w:ind w:left="360"/>
      </w:pPr>
      <w:r>
        <w:t>Decision engine unit tests pass before UI deployment.</w:t>
      </w:r>
    </w:p>
    <w:p>
      <w:pPr>
        <w:pStyle w:val="ListBullet"/>
        <w:spacing w:after="60"/>
        <w:ind w:left="360"/>
      </w:pPr>
      <w:r>
        <w:t>Tenant isolation tests pass before release.</w:t>
      </w:r>
    </w:p>
    <w:p>
      <w:pPr>
        <w:pStyle w:val="ListBullet"/>
        <w:spacing w:after="60"/>
        <w:ind w:left="360"/>
      </w:pPr>
      <w:r>
        <w:t>No schema-invalid model output reaches the decision engine.</w:t>
      </w:r>
    </w:p>
    <w:p>
      <w:pPr>
        <w:pStyle w:val="ListBullet"/>
        <w:spacing w:after="60"/>
        <w:ind w:left="360"/>
      </w:pPr>
      <w:r>
        <w:t>A VLM timeout still leaves a persisted pending record.</w:t>
      </w:r>
    </w:p>
    <w:p>
      <w:pPr>
        <w:pStyle w:val="ListBullet"/>
        <w:spacing w:after="60"/>
        <w:ind w:left="360"/>
      </w:pPr>
      <w:r>
        <w:t>Override events preserve original AI outcomes.</w:t>
      </w:r>
    </w:p>
    <w:p>
      <w:pPr>
        <w:pStyle w:val="ListBullet"/>
        <w:spacing w:after="60"/>
        <w:ind w:left="360"/>
      </w:pPr>
      <w:r>
        <w:t>Held-out evaluation results are generated from code, not manually entered.</w:t>
      </w:r>
    </w:p>
    <w:p>
      <w:r>
        <w:br w:type="page"/>
      </w:r>
    </w:p>
    <w:p>
      <w:pPr>
        <w:pStyle w:val="Heading1"/>
        <w:keepNext/>
      </w:pPr>
      <w:r>
        <w:t>23. Security and AI Safety</w:t>
      </w:r>
    </w:p>
    <w:p>
      <w:pPr>
        <w:pStyle w:val="Heading2"/>
        <w:keepNext/>
      </w:pPr>
      <w:r>
        <w:t>23.1 Application security</w:t>
      </w:r>
    </w:p>
    <w:p>
      <w:pPr>
        <w:pStyle w:val="ListBullet"/>
        <w:spacing w:after="60"/>
        <w:ind w:left="360"/>
      </w:pPr>
      <w:r>
        <w:t>Use managed authentication; never store plaintext passwords.</w:t>
      </w:r>
    </w:p>
    <w:p>
      <w:pPr>
        <w:pStyle w:val="ListBullet"/>
        <w:spacing w:after="60"/>
        <w:ind w:left="360"/>
      </w:pPr>
      <w:r>
        <w:t>Use strict tenant-scoped queries and row-level security/authorization at the database layer.</w:t>
      </w:r>
    </w:p>
    <w:p>
      <w:pPr>
        <w:pStyle w:val="ListBullet"/>
        <w:spacing w:after="60"/>
        <w:ind w:left="360"/>
      </w:pPr>
      <w:r>
        <w:t>Store images privately and serve through signed, expiring URLs after authorization.</w:t>
      </w:r>
    </w:p>
    <w:p>
      <w:pPr>
        <w:pStyle w:val="ListBullet"/>
        <w:spacing w:after="60"/>
        <w:ind w:left="360"/>
      </w:pPr>
      <w:r>
        <w:t>Validate file type, size, and content before persistence.</w:t>
      </w:r>
    </w:p>
    <w:p>
      <w:pPr>
        <w:pStyle w:val="ListBullet"/>
        <w:spacing w:after="60"/>
        <w:ind w:left="360"/>
      </w:pPr>
      <w:r>
        <w:t>Use parameterized queries and ORM protections.</w:t>
      </w:r>
    </w:p>
    <w:p>
      <w:pPr>
        <w:pStyle w:val="ListBullet"/>
        <w:spacing w:after="60"/>
        <w:ind w:left="360"/>
      </w:pPr>
      <w:r>
        <w:t>Keep API keys only in environment variables/secrets manager; never commit .env.</w:t>
      </w:r>
    </w:p>
    <w:p>
      <w:pPr>
        <w:pStyle w:val="ListBullet"/>
        <w:spacing w:after="60"/>
        <w:ind w:left="360"/>
      </w:pPr>
      <w:r>
        <w:t>Rate-limit upload and model endpoints.</w:t>
      </w:r>
    </w:p>
    <w:p>
      <w:pPr>
        <w:pStyle w:val="ListBullet"/>
        <w:spacing w:after="60"/>
        <w:ind w:left="360"/>
      </w:pPr>
      <w:r>
        <w:t>Log security events without logging secrets or raw credentials.</w:t>
      </w:r>
    </w:p>
    <w:p>
      <w:pPr>
        <w:pStyle w:val="Heading2"/>
        <w:keepNext/>
      </w:pPr>
      <w:r>
        <w:t>23.2 LLM-specific safeguards</w:t>
      </w:r>
    </w:p>
    <w:p>
      <w:pPr>
        <w:pStyle w:val="ListBullet"/>
        <w:spacing w:after="60"/>
        <w:ind w:left="360"/>
      </w:pPr>
      <w:r>
        <w:t>Treat model output as untrusted input.</w:t>
      </w:r>
    </w:p>
    <w:p>
      <w:pPr>
        <w:pStyle w:val="ListBullet"/>
        <w:spacing w:after="60"/>
        <w:ind w:left="360"/>
      </w:pPr>
      <w:r>
        <w:t>Validate all output against JSON Schema and semantic constraints.</w:t>
      </w:r>
    </w:p>
    <w:p>
      <w:pPr>
        <w:pStyle w:val="ListBullet"/>
        <w:spacing w:after="60"/>
        <w:ind w:left="360"/>
      </w:pPr>
      <w:r>
        <w:t>Never pass model text directly into SQL, shell, URL fetchers or privileged actions.</w:t>
      </w:r>
    </w:p>
    <w:p>
      <w:pPr>
        <w:pStyle w:val="ListBullet"/>
        <w:spacing w:after="60"/>
        <w:ind w:left="360"/>
      </w:pPr>
      <w:r>
        <w:t>Keep secrets, role data and system prompts outside model-visible evidence unless required.</w:t>
      </w:r>
    </w:p>
    <w:p>
      <w:pPr>
        <w:pStyle w:val="ListBullet"/>
        <w:spacing w:after="60"/>
        <w:ind w:left="360"/>
      </w:pPr>
      <w:r>
        <w:t>Detect prompt injection in uploaded textual artifacts where relevant; treat external OCR/catalogue text as untrusted content.</w:t>
      </w:r>
    </w:p>
    <w:p>
      <w:pPr>
        <w:spacing w:after="40"/>
      </w:pPr>
      <w:r>
        <w:rPr>
          <w:b/>
          <w:sz w:val="17"/>
        </w:rPr>
        <w:t>OWASP Top 10 for LLM Applications 2025</w:t>
      </w:r>
      <w:r>
        <w:rPr>
          <w:sz w:val="17"/>
        </w:rPr>
        <w:t xml:space="preserve"> — https://owasp.org/www-project-top-10-for-large-language-model-applications/assets/PDF/OWASP-Top-10-for-LLMs-v2025.pdf</w:t>
      </w:r>
    </w:p>
    <w:p>
      <w:pPr>
        <w:spacing w:after="80"/>
        <w:ind w:left="288"/>
      </w:pPr>
      <w:r>
        <w:rPr>
          <w:sz w:val="16"/>
        </w:rPr>
        <w:t>Relevant guidance includes prompt injection, sensitive information disclosure, and improper output handling.</w:t>
      </w:r>
    </w:p>
    <w:p>
      <w:r>
        <w:br w:type="page"/>
      </w:r>
    </w:p>
    <w:p>
      <w:pPr>
        <w:pStyle w:val="Heading1"/>
        <w:keepNext/>
      </w:pPr>
      <w:r>
        <w:t>24. Observability and Production Telemetry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2EA"/>
          <w:left w:val="single" w:sz="6" w:space="0" w:color="D7E2EA"/>
          <w:bottom w:val="single" w:sz="6" w:space="0" w:color="D7E2EA"/>
          <w:right w:val="single" w:sz="6" w:space="0" w:color="D7E2EA"/>
          <w:insideH w:val="single" w:sz="6" w:space="0" w:color="D7E2EA"/>
          <w:insideV w:val="single" w:sz="6" w:space="0" w:color="D7E2EA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Definition</w:t>
            </w:r>
          </w:p>
        </w:tc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Target use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inspection_latency_ms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Upload-to-result latency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UX and capacity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vlm_latency_ms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Model call duration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Provider performance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vlm_error_rate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Timeout/error/schema-invalid rate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Reliability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uncertain_rate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Share of checks/units marked uncertain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Calibration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human_override_rate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Share of AI decisions overridden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Quality signal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false_negative_rate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Missed documented discrepancy rate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Safety/accuracy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false_positive_rate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Incorrect exception rate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Operator workload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cost_per_unit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Provider cost per inspection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Economic feasibility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image_quality_fail_rate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Inputs failing quality gate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Training/input improvement</w:t>
            </w:r>
          </w:p>
        </w:tc>
      </w:tr>
    </w:tbl>
    <w:p/>
    <w:p>
      <w:pPr>
        <w:pStyle w:val="Heading2"/>
        <w:keepNext/>
      </w:pPr>
      <w:r>
        <w:t>24.1 Trace IDs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1182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color w:val="F0F5FA"/>
                <w:sz w:val="16"/>
              </w:rPr>
              <w:t>request_id → upload_id → inspection_id → model_call_id → evidence_id → audit_event_id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25. Deployment Architecture</w:t>
      </w:r>
    </w:p>
    <w:p>
      <w:pPr>
        <w:pStyle w:val="Heading2"/>
        <w:keepNext/>
      </w:pPr>
      <w:r>
        <w:t>25.1 Recommended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2EA"/>
          <w:left w:val="single" w:sz="6" w:space="0" w:color="D7E2EA"/>
          <w:bottom w:val="single" w:sz="6" w:space="0" w:color="D7E2EA"/>
          <w:right w:val="single" w:sz="6" w:space="0" w:color="D7E2EA"/>
          <w:insideH w:val="single" w:sz="6" w:space="0" w:color="D7E2EA"/>
          <w:insideV w:val="single" w:sz="6" w:space="0" w:color="D7E2EA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Recommended choice</w:t>
            </w:r>
          </w:p>
        </w:tc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Why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Frontend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Next.js + TypeScript + Tailwind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Fast, clean, deployable operator UI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Backend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FastAPI + Pydantic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Strong typed contracts and easy AI integration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Database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PostgreSQL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RLS, JSONB, reliable transactions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Object storage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S3-compatible private bucket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Scalable image storage + signed URLs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Queue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Managed queue / Redis-based worker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Fail-open async processing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VLM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Provider abstraction; Gemini or equivalent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Swap model without rewriting the application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Vector retrieval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pgvector or managed vector store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Product reference search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Observability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OpenTelemetry + structured logs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Latency/error tracing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Deployment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Vercel/managed frontend + managed backend/container runtime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Simple production-like deployment</w:t>
            </w:r>
          </w:p>
        </w:tc>
      </w:tr>
    </w:tbl>
    <w:p/>
    <w:p>
      <w:pPr>
        <w:pStyle w:val="Heading2"/>
        <w:keepNext/>
      </w:pPr>
      <w:r>
        <w:t>25.2 Environment separation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2EA"/>
          <w:left w:val="single" w:sz="6" w:space="0" w:color="D7E2EA"/>
          <w:bottom w:val="single" w:sz="6" w:space="0" w:color="D7E2EA"/>
          <w:right w:val="single" w:sz="6" w:space="0" w:color="D7E2EA"/>
          <w:insideH w:val="single" w:sz="6" w:space="0" w:color="D7E2EA"/>
          <w:insideV w:val="single" w:sz="6" w:space="0" w:color="D7E2EA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Environment</w:t>
            </w:r>
          </w:p>
        </w:tc>
        <w:tc>
          <w:tcPr>
            <w:tcW w:type="dxa" w:w="5083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local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Development with synthetic fixtures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staging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End-to-end tests, deployment validation, evaluator rehearsal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production/demo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Public demo with rate limits and safe seed data</w:t>
            </w:r>
          </w:p>
        </w:tc>
      </w:tr>
    </w:tbl>
    <w:p/>
    <w:p>
      <w:pPr>
        <w:pStyle w:val="Heading2"/>
        <w:keepNext/>
      </w:pPr>
      <w:r>
        <w:t>25.3 Secrets</w:t>
      </w:r>
    </w:p>
    <w:p>
      <w:pPr>
        <w:pStyle w:val="ListBullet"/>
        <w:spacing w:after="60"/>
        <w:ind w:left="360"/>
      </w:pPr>
      <w:r>
        <w:t>.env.example contains variable names only.</w:t>
      </w:r>
    </w:p>
    <w:p>
      <w:pPr>
        <w:pStyle w:val="ListBullet"/>
        <w:spacing w:after="60"/>
        <w:ind w:left="360"/>
      </w:pPr>
      <w:r>
        <w:t>.env remains gitignored.</w:t>
      </w:r>
    </w:p>
    <w:p>
      <w:pPr>
        <w:pStyle w:val="ListBullet"/>
        <w:spacing w:after="60"/>
        <w:ind w:left="360"/>
      </w:pPr>
      <w:r>
        <w:t>Deployment uses platform secret storage.</w:t>
      </w:r>
    </w:p>
    <w:p>
      <w:pPr>
        <w:pStyle w:val="ListBullet"/>
        <w:spacing w:after="60"/>
        <w:ind w:left="360"/>
      </w:pPr>
      <w:r>
        <w:t>Rotate a credential immediately if it is ever committed accidentally.</w:t>
      </w:r>
    </w:p>
    <w:p>
      <w:r>
        <w:br w:type="page"/>
      </w:r>
    </w:p>
    <w:p>
      <w:pPr>
        <w:pStyle w:val="Heading1"/>
        <w:keepNext/>
      </w:pPr>
      <w:r>
        <w:t>26. Repository Implementation Structure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1182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color w:val="F0F5FA"/>
                <w:sz w:val="16"/>
              </w:rPr>
              <w:t>cube26-rcv-0068-chapalaumesh209/</w:t>
              <w:br/>
              <w:t>├── app/                     # Next.js UI</w:t>
              <w:br/>
              <w:t>│   ├── receiving/</w:t>
              <w:br/>
              <w:t>│   ├── inspections/</w:t>
              <w:br/>
              <w:t>│   ├── review/</w:t>
              <w:br/>
              <w:t>│   ├── evidence/</w:t>
              <w:br/>
              <w:t>│   └── evaluation/</w:t>
              <w:br/>
              <w:t>├── backend/                 # API + services</w:t>
              <w:br/>
              <w:t>│   ├── api/</w:t>
              <w:br/>
              <w:t>│   ├── auth/</w:t>
              <w:br/>
              <w:t>│   ├── agents/</w:t>
              <w:br/>
              <w:t>│   ├── rules/</w:t>
              <w:br/>
              <w:t>│   ├── evidence/</w:t>
              <w:br/>
              <w:t>│   ├── storage/</w:t>
              <w:br/>
              <w:t>│   └── workers/</w:t>
              <w:br/>
              <w:t>├── data/</w:t>
              <w:br/>
              <w:t>│   ├── organizer/           # reference CSV/docs; do not alter official meaning</w:t>
              <w:br/>
              <w:t>│   ├── fixtures/             # demo images/scenarios</w:t>
              <w:br/>
              <w:t>│   └── eval/                # held-out data; keep isolated</w:t>
              <w:br/>
              <w:t>├── tests/</w:t>
              <w:br/>
              <w:t>│   ├── unit/</w:t>
              <w:br/>
              <w:t>│   ├── integration/</w:t>
              <w:br/>
              <w:t>│   ├── security/</w:t>
              <w:br/>
              <w:t>│   └── evaluation/</w:t>
              <w:br/>
              <w:t>├── docs/</w:t>
              <w:br/>
              <w:t>│   ├── DATASET.md</w:t>
              <w:br/>
              <w:t>│   ├── EVALUATION.md</w:t>
              <w:br/>
              <w:t>│   └── MODEL_CARD.md</w:t>
              <w:br/>
              <w:t>├── README.md</w:t>
              <w:br/>
              <w:t>├── ARCHITECTURE.md</w:t>
              <w:br/>
              <w:t>├── .env.example</w:t>
              <w:br/>
              <w:t>└── docker-compose.yml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BF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B42318"/>
                <w:sz w:val="21"/>
              </w:rPr>
              <w:t>Repository rule</w:t>
            </w:r>
          </w:p>
          <w:p>
            <w:pPr>
              <w:spacing w:after="0"/>
            </w:pPr>
            <w:r>
              <w:rPr>
                <w:color w:val="1F2937"/>
                <w:sz w:val="18"/>
              </w:rPr>
              <w:t>Do not rename or rewrite organizer-provided shared files to hide contradictions. Record a finding in GitHub when something is inconsistent.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27. Round-3 Integration Contract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75304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nd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75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27.1 Stable identifiers</w:t>
      </w:r>
    </w:p>
    <w:p>
      <w:pPr>
        <w:pStyle w:val="ListBullet"/>
        <w:spacing w:after="60"/>
        <w:ind w:left="360"/>
      </w:pPr>
      <w:r>
        <w:t>unit_id is the cross-manager join key.</w:t>
      </w:r>
    </w:p>
    <w:p>
      <w:pPr>
        <w:pStyle w:val="ListBullet"/>
        <w:spacing w:after="60"/>
        <w:ind w:left="360"/>
      </w:pPr>
      <w:r>
        <w:t>record_id identifies the RCV evidence record.</w:t>
      </w:r>
    </w:p>
    <w:p>
      <w:pPr>
        <w:pStyle w:val="ListBullet"/>
        <w:spacing w:after="60"/>
        <w:ind w:left="360"/>
      </w:pPr>
      <w:r>
        <w:t>organization_id protects tenancy in the shared system.</w:t>
      </w:r>
    </w:p>
    <w:p>
      <w:pPr>
        <w:pStyle w:val="ListBullet"/>
        <w:spacing w:after="60"/>
        <w:ind w:left="360"/>
      </w:pPr>
      <w:r>
        <w:t>timestamps establish sequence across managers.</w:t>
      </w:r>
    </w:p>
    <w:p>
      <w:pPr>
        <w:pStyle w:val="ListBullet"/>
        <w:spacing w:after="60"/>
        <w:ind w:left="360"/>
      </w:pPr>
      <w:r>
        <w:t>content_hash identifies the exact evidence record payload.</w:t>
      </w:r>
    </w:p>
    <w:p>
      <w:pPr>
        <w:pStyle w:val="Heading2"/>
        <w:keepNext/>
      </w:pPr>
      <w:r>
        <w:t>27.2 Downstream consumers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2EA"/>
          <w:left w:val="single" w:sz="6" w:space="0" w:color="D7E2EA"/>
          <w:bottom w:val="single" w:sz="6" w:space="0" w:color="D7E2EA"/>
          <w:right w:val="single" w:sz="6" w:space="0" w:color="D7E2EA"/>
          <w:insideH w:val="single" w:sz="6" w:space="0" w:color="D7E2EA"/>
          <w:insideV w:val="single" w:sz="6" w:space="0" w:color="D7E2EA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Consumer</w:t>
            </w:r>
          </w:p>
        </w:tc>
        <w:tc>
          <w:tcPr>
            <w:tcW w:type="dxa" w:w="5083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RCV provides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Prep Manager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What was received, identity, quantity, damage and component evidence before prep.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Pack Manager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Receiving baseline that can be compared to outbound discrepancies.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Returns Manager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Original condition evidence for later return investigations.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Recovery Manager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Supplier/inbound evidence that can support or contradict downstream financial events.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BF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16C1E8"/>
                <w:sz w:val="21"/>
              </w:rPr>
              <w:t>Round-3 principle</w:t>
            </w:r>
          </w:p>
          <w:p>
            <w:pPr>
              <w:spacing w:after="0"/>
            </w:pPr>
            <w:r>
              <w:rPr>
                <w:color w:val="1F2937"/>
                <w:sz w:val="18"/>
              </w:rPr>
              <w:t>Expose a stable, versioned evidence record now. Do not make Round-3 agents scrape the RCV UI.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28. Documentation and Submission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2EA"/>
          <w:left w:val="single" w:sz="6" w:space="0" w:color="D7E2EA"/>
          <w:bottom w:val="single" w:sz="6" w:space="0" w:color="D7E2EA"/>
          <w:right w:val="single" w:sz="6" w:space="0" w:color="D7E2EA"/>
          <w:insideH w:val="single" w:sz="6" w:space="0" w:color="D7E2EA"/>
          <w:insideV w:val="single" w:sz="6" w:space="0" w:color="D7E2EA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Artifact</w:t>
            </w:r>
          </w:p>
        </w:tc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Required content</w:t>
            </w:r>
          </w:p>
        </w:tc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Acceptance check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README.md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Problem, solution, setup, usage, assumptions, limitations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Fresh clone can run using documented steps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ARCHITECTURE.md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Architecture, components, data flow, model usage, decisions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Matches actual implementation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Evaluation report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Methodology, 50-unit protocol, metrics, FP/FN, UNCERTAIN, failure modes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Numbers reproducible from code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Demo video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Problem setup, working agent, evidence, edge cases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Live working flow; not slides only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Deployment URL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Working public/allowed deployment where applicable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Opens and completes core flow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LinkedIn post URL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Track, problem, agent, meaningful technical result/learning, tags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Correct URL in submission form</w:t>
            </w:r>
          </w:p>
        </w:tc>
      </w:tr>
    </w:tbl>
    <w:p/>
    <w:p>
      <w:pPr>
        <w:pStyle w:val="Heading2"/>
        <w:keepNext/>
      </w:pPr>
      <w:r>
        <w:t>28.1 Demo script</w:t>
      </w:r>
    </w:p>
    <w:p>
      <w:pPr>
        <w:spacing w:after="60"/>
        <w:ind w:left="173" w:hanging="173"/>
      </w:pPr>
      <w:r>
        <w:rPr>
          <w:b/>
        </w:rPr>
        <w:t xml:space="preserve">1. </w:t>
      </w:r>
      <w:r>
        <w:t>Start from a PO: show expected SKU, quantity, variant and cartons.</w:t>
      </w:r>
    </w:p>
    <w:p>
      <w:pPr>
        <w:spacing w:after="60"/>
        <w:ind w:left="173" w:hanging="173"/>
      </w:pPr>
      <w:r>
        <w:rPr>
          <w:b/>
        </w:rPr>
        <w:t xml:space="preserve">2. </w:t>
      </w:r>
      <w:r>
        <w:t>Upload receiving photographs.</w:t>
      </w:r>
    </w:p>
    <w:p>
      <w:pPr>
        <w:spacing w:after="60"/>
        <w:ind w:left="173" w:hanging="173"/>
      </w:pPr>
      <w:r>
        <w:rPr>
          <w:b/>
        </w:rPr>
        <w:t xml:space="preserve">3. </w:t>
      </w:r>
      <w:r>
        <w:t>Run inspection and show the one-call agent result.</w:t>
      </w:r>
    </w:p>
    <w:p>
      <w:pPr>
        <w:spacing w:after="60"/>
        <w:ind w:left="173" w:hanging="173"/>
      </w:pPr>
      <w:r>
        <w:rPr>
          <w:b/>
        </w:rPr>
        <w:t xml:space="preserve">4. </w:t>
      </w:r>
      <w:r>
        <w:t>Open evidence and show a successful finding.</w:t>
      </w:r>
    </w:p>
    <w:p>
      <w:pPr>
        <w:spacing w:after="60"/>
        <w:ind w:left="173" w:hanging="173"/>
      </w:pPr>
      <w:r>
        <w:rPr>
          <w:b/>
        </w:rPr>
        <w:t xml:space="preserve">5. </w:t>
      </w:r>
      <w:r>
        <w:t>Show a short shipment or extra-unit case.</w:t>
      </w:r>
    </w:p>
    <w:p>
      <w:pPr>
        <w:spacing w:after="60"/>
        <w:ind w:left="173" w:hanging="173"/>
      </w:pPr>
      <w:r>
        <w:rPr>
          <w:b/>
        </w:rPr>
        <w:t xml:space="preserve">6. </w:t>
      </w:r>
      <w:r>
        <w:t>Show wrong variant or wrong SKU.</w:t>
      </w:r>
    </w:p>
    <w:p>
      <w:pPr>
        <w:spacing w:after="60"/>
        <w:ind w:left="173" w:hanging="173"/>
      </w:pPr>
      <w:r>
        <w:rPr>
          <w:b/>
        </w:rPr>
        <w:t xml:space="preserve">7. </w:t>
      </w:r>
      <w:r>
        <w:t>Show visible crush/water/tear damage.</w:t>
      </w:r>
    </w:p>
    <w:p>
      <w:pPr>
        <w:spacing w:after="60"/>
        <w:ind w:left="173" w:hanging="173"/>
      </w:pPr>
      <w:r>
        <w:rPr>
          <w:b/>
        </w:rPr>
        <w:t xml:space="preserve">8. </w:t>
      </w:r>
      <w:r>
        <w:t>Show a missing-component ambiguity that correctly becomes UNCERTAIN.</w:t>
      </w:r>
    </w:p>
    <w:p>
      <w:pPr>
        <w:spacing w:after="60"/>
        <w:ind w:left="173" w:hanging="173"/>
      </w:pPr>
      <w:r>
        <w:rPr>
          <w:b/>
        </w:rPr>
        <w:t xml:space="preserve">9. </w:t>
      </w:r>
      <w:r>
        <w:t>Demonstrate human override and the preserved original AI outcome.</w:t>
      </w:r>
    </w:p>
    <w:p>
      <w:pPr>
        <w:spacing w:after="60"/>
        <w:ind w:left="173" w:hanging="173"/>
      </w:pPr>
      <w:r>
        <w:rPr>
          <w:b/>
        </w:rPr>
        <w:t xml:space="preserve">10. </w:t>
      </w:r>
      <w:r>
        <w:t>Finish on the evaluation dashboard with measured results and failure modes.</w:t>
      </w:r>
    </w:p>
    <w:p>
      <w:r>
        <w:br w:type="page"/>
      </w:r>
    </w:p>
    <w:p>
      <w:pPr>
        <w:pStyle w:val="Heading1"/>
        <w:keepNext/>
      </w:pPr>
      <w:r>
        <w:t>29. Master Prompt for Codex / Cursor / Antigravity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1182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color w:val="F0F5FA"/>
                <w:sz w:val="16"/>
              </w:rPr>
              <w:t>You are implementing DockProof, a production-oriented AI Receiving Manager for the CUBE Buildathon.</w:t>
              <w:br/>
              <w:br/>
              <w:t>SOURCE OF TRUTH</w:t>
              <w:br/>
              <w:t>1. Official CUBE Participant Handbook</w:t>
              <w:br/>
              <w:t>2. Assigned repository README.md, RULES.md, GITHUB-GUIDE.md, data/README.md</w:t>
              <w:br/>
              <w:t>3. Organizer receiving_sample.csv schema</w:t>
              <w:br/>
              <w:t>4. This architecture specification</w:t>
              <w:br/>
              <w:br/>
              <w:t>NON-NEGOTIABLE REQUIREMENTS</w:t>
              <w:br/>
              <w:t>- Round 2 scope is Receiving Manager only.</w:t>
              <w:br/>
              <w:t>- Multimodal inputs: PO/order data, product catalogue/reference images, receiving photographs.</w:t>
              <w:br/>
              <w:t>- One VLM call per unit; batch all visual checks together.</w:t>
              <w:br/>
              <w:t>- Final decisions are deterministic; the model provides observations, not the final business verdict.</w:t>
              <w:br/>
              <w:t>- Check verdicts: PASS, FAIL, UNCERTAIN. Inspection lifecycle additionally uses PENDING.</w:t>
              <w:br/>
              <w:t>- Overall decision: any FAIL =&gt; EXCEPTION; else any UNCERTAIN =&gt; UNCERTAIN; else PASS.</w:t>
              <w:br/>
              <w:t>- Never infer hidden units/components.</w:t>
              <w:br/>
              <w:t>- Every visual claim must cite source image(s) and region when possible.</w:t>
              <w:br/>
              <w:t>- Persist evidence before AI processing; model failures/timeouts must not block the operator.</w:t>
              <w:br/>
              <w:t>- Human overrides must preserve original AI decisions and reasons.</w:t>
              <w:br/>
              <w:t>- Every table/query must be tenant-scoped; prove org_demo_alpha cannot access org_demo_bravo rows or images.</w:t>
              <w:br/>
              <w:t>- No secrets in git.</w:t>
              <w:br/>
              <w:br/>
              <w:t>REQUIRED CHECKS</w:t>
              <w:br/>
              <w:t>1. SKU/product identity</w:t>
              <w:br/>
              <w:t>2. expected vs observed quantity</w:t>
              <w:br/>
              <w:t>3. carton count</w:t>
              <w:br/>
              <w:t>4. units per carton</w:t>
              <w:br/>
              <w:t>5. colour/variant</w:t>
              <w:br/>
              <w:t>6. visible carton damage</w:t>
              <w:br/>
              <w:t>7. visible unit damage</w:t>
              <w:br/>
              <w:t>8. missing components where visually verifiable</w:t>
              <w:br/>
              <w:br/>
              <w:t>INPUT MODEL</w:t>
              <w:br/>
              <w:t>Use receiving_sample.csv as the organizer schema reference. Preserve record_id, unit_id, org_id, po_number, po_line, supplier, sku, asin, product_title, spec_colour, spec_variant, spec_components, cartons_ordered, cartons_received, units_per_carton_ordered, units_per_carton_counted, qty_ordered, qty_received, identity_match, carton_damage, unit_damage, quality_flags, photo_refs, operator_id, captured_at.</w:t>
              <w:br/>
              <w:br/>
              <w:t>AI PIPELINE</w:t>
              <w:br/>
              <w:t>- Build a tenant-scoped expected-state object.</w:t>
              <w:br/>
              <w:t>- Retrieve a small set of catalogue/reference candidates.</w:t>
              <w:br/>
              <w:t>- Build one multimodal prompt containing expected state + candidate metadata + all unit images.</w:t>
              <w:br/>
              <w:t>- Require strict JSON schema output.</w:t>
              <w:br/>
              <w:t>- Validate schema AND semantic bounds.</w:t>
              <w:br/>
              <w:t>- Create evidence objects.</w:t>
              <w:br/>
              <w:t>- Run deterministic decision engine.</w:t>
              <w:br/>
              <w:t>- Save inspection result and audit metadata.</w:t>
              <w:br/>
              <w:br/>
              <w:t>QUALITY GATES</w:t>
              <w:br/>
              <w:t>- Reject invalid images.</w:t>
              <w:br/>
              <w:t>- Detect severe blur/low light/occlusion.</w:t>
              <w:br/>
              <w:t>- Use UNCERTAIN where evidence cannot support a reliable conclusion.</w:t>
              <w:br/>
              <w:br/>
              <w:t>EVALUATION</w:t>
              <w:br/>
              <w:t>- Support a 50-unit held-out suite.</w:t>
              <w:br/>
              <w:t>- Human A and Human B label independently.</w:t>
              <w:br/>
              <w:t>- Compute agreement, per-check accuracy, FP, FN, UNCERTAIN rate, latency/cost, and failure modes.</w:t>
              <w:br/>
              <w:t>- Include all organizer scenarios plus explicit overage and adversarial cases.</w:t>
              <w:br/>
              <w:br/>
              <w:t>UI</w:t>
              <w:br/>
              <w:t>- Receiving inbox</w:t>
              <w:br/>
              <w:t>- Shipment/inspection detail</w:t>
              <w:br/>
              <w:t>- Evidence viewer</w:t>
              <w:br/>
              <w:t>- Review/override queue</w:t>
              <w:br/>
              <w:t>- Evaluation dashboard</w:t>
              <w:br/>
              <w:t>- Catalogue management</w:t>
              <w:br/>
              <w:br/>
              <w:t>DELIVERABLES</w:t>
              <w:br/>
              <w:t>- Working application</w:t>
              <w:br/>
              <w:t>- README.md</w:t>
              <w:br/>
              <w:t>- ARCHITECTURE.md</w:t>
              <w:br/>
              <w:t>- Evaluation report</w:t>
              <w:br/>
              <w:t>- Tests</w:t>
              <w:br/>
              <w:t>- Demo-ready seed data</w:t>
              <w:br/>
              <w:t>- Deployment-ready configuration</w:t>
              <w:br/>
              <w:br/>
              <w:t>IMPLEMENTATION BEHAVIOR</w:t>
              <w:br/>
              <w:t>Before coding, inspect the current repository files and preserve organizer intent. Do not silently overwrite conflicting organizer data. Build incrementally: data contract → auth/RLS → ingestion → single VLM pipeline → decision engine → evidence → review → evaluation → UI polish → deployment. After each milestone run tests and verify the working flow.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30. Build Sequence and Definition of Done</w:t>
      </w:r>
    </w:p>
    <w:p>
      <w:pPr>
        <w:pStyle w:val="Heading2"/>
        <w:keepNext/>
      </w:pPr>
      <w:r>
        <w:t>30.1 Recommended implementation sequence</w:t>
      </w:r>
    </w:p>
    <w:p>
      <w:pPr>
        <w:spacing w:after="60"/>
        <w:ind w:left="173" w:hanging="173"/>
      </w:pPr>
      <w:r>
        <w:rPr>
          <w:b/>
        </w:rPr>
        <w:t xml:space="preserve">1. </w:t>
      </w:r>
      <w:r>
        <w:rPr>
          <w:b/>
        </w:rPr>
        <w:t xml:space="preserve">Phase 0 — Repository audit: </w:t>
      </w:r>
      <w:r>
        <w:t>inspect all starter files, confirm runtime, preserve organizer resources, create findings for contradictions.</w:t>
      </w:r>
    </w:p>
    <w:p>
      <w:pPr>
        <w:spacing w:after="60"/>
        <w:ind w:left="173" w:hanging="173"/>
      </w:pPr>
      <w:r>
        <w:rPr>
          <w:b/>
        </w:rPr>
        <w:t xml:space="preserve">2. </w:t>
      </w:r>
      <w:r>
        <w:rPr>
          <w:b/>
        </w:rPr>
        <w:t xml:space="preserve">Phase 1 — Data contract: </w:t>
      </w:r>
      <w:r>
        <w:t>map the CSV into typed domain models and seed two tenants.</w:t>
      </w:r>
    </w:p>
    <w:p>
      <w:pPr>
        <w:spacing w:after="60"/>
        <w:ind w:left="173" w:hanging="173"/>
      </w:pPr>
      <w:r>
        <w:rPr>
          <w:b/>
        </w:rPr>
        <w:t xml:space="preserve">3. </w:t>
      </w:r>
      <w:r>
        <w:rPr>
          <w:b/>
        </w:rPr>
        <w:t xml:space="preserve">Phase 2 — Auth/RLS: </w:t>
      </w:r>
      <w:r>
        <w:t>implement login, roles, tenant isolation and image authorization.</w:t>
      </w:r>
    </w:p>
    <w:p>
      <w:pPr>
        <w:spacing w:after="60"/>
        <w:ind w:left="173" w:hanging="173"/>
      </w:pPr>
      <w:r>
        <w:rPr>
          <w:b/>
        </w:rPr>
        <w:t xml:space="preserve">4. </w:t>
      </w:r>
      <w:r>
        <w:rPr>
          <w:b/>
        </w:rPr>
        <w:t xml:space="preserve">Phase 3 — Ingestion: </w:t>
      </w:r>
      <w:r>
        <w:t>PO/shipment creation + private image upload + quality gate.</w:t>
      </w:r>
    </w:p>
    <w:p>
      <w:pPr>
        <w:spacing w:after="60"/>
        <w:ind w:left="173" w:hanging="173"/>
      </w:pPr>
      <w:r>
        <w:rPr>
          <w:b/>
        </w:rPr>
        <w:t xml:space="preserve">5. </w:t>
      </w:r>
      <w:r>
        <w:rPr>
          <w:b/>
        </w:rPr>
        <w:t xml:space="preserve">Phase 4 — Agent: </w:t>
      </w:r>
      <w:r>
        <w:t>catalog retrieval + one batched VLM call + strict schema.</w:t>
      </w:r>
    </w:p>
    <w:p>
      <w:pPr>
        <w:spacing w:after="60"/>
        <w:ind w:left="173" w:hanging="173"/>
      </w:pPr>
      <w:r>
        <w:rPr>
          <w:b/>
        </w:rPr>
        <w:t xml:space="preserve">6. </w:t>
      </w:r>
      <w:r>
        <w:rPr>
          <w:b/>
        </w:rPr>
        <w:t xml:space="preserve">Phase 5 — Decision: </w:t>
      </w:r>
      <w:r>
        <w:t>quantity/carton math, identity/variant logic, damage/component verdicts, overall outcome.</w:t>
      </w:r>
    </w:p>
    <w:p>
      <w:pPr>
        <w:spacing w:after="60"/>
        <w:ind w:left="173" w:hanging="173"/>
      </w:pPr>
      <w:r>
        <w:rPr>
          <w:b/>
        </w:rPr>
        <w:t xml:space="preserve">7. </w:t>
      </w:r>
      <w:r>
        <w:rPr>
          <w:b/>
        </w:rPr>
        <w:t xml:space="preserve">Phase 6 — Evidence/review: </w:t>
      </w:r>
      <w:r>
        <w:t>evidence viewer, override, audit trail, content hash.</w:t>
      </w:r>
    </w:p>
    <w:p>
      <w:pPr>
        <w:spacing w:after="60"/>
        <w:ind w:left="173" w:hanging="173"/>
      </w:pPr>
      <w:r>
        <w:rPr>
          <w:b/>
        </w:rPr>
        <w:t xml:space="preserve">8. </w:t>
      </w:r>
      <w:r>
        <w:rPr>
          <w:b/>
        </w:rPr>
        <w:t xml:space="preserve">Phase 7 — Evaluation: </w:t>
      </w:r>
      <w:r>
        <w:t>50-unit harness, dual human labels, metrics and failure reports.</w:t>
      </w:r>
    </w:p>
    <w:p>
      <w:pPr>
        <w:spacing w:after="60"/>
        <w:ind w:left="173" w:hanging="173"/>
      </w:pPr>
      <w:r>
        <w:rPr>
          <w:b/>
        </w:rPr>
        <w:t xml:space="preserve">9. </w:t>
      </w:r>
      <w:r>
        <w:rPr>
          <w:b/>
        </w:rPr>
        <w:t xml:space="preserve">Phase 8 — UX/demo: </w:t>
      </w:r>
      <w:r>
        <w:t>operator workflow, scenario launcher, clean loading/error states.</w:t>
      </w:r>
    </w:p>
    <w:p>
      <w:pPr>
        <w:spacing w:after="60"/>
        <w:ind w:left="173" w:hanging="173"/>
      </w:pPr>
      <w:r>
        <w:rPr>
          <w:b/>
        </w:rPr>
        <w:t xml:space="preserve">10. </w:t>
      </w:r>
      <w:r>
        <w:rPr>
          <w:b/>
        </w:rPr>
        <w:t xml:space="preserve">Phase 9 — Hardening: </w:t>
      </w:r>
      <w:r>
        <w:t>security tests, retry behavior, deployment, docs, final demo video.</w:t>
      </w:r>
    </w:p>
    <w:p>
      <w:pPr>
        <w:pStyle w:val="Heading2"/>
        <w:keepNext/>
      </w:pPr>
      <w:r>
        <w:t>30.2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2EA"/>
          <w:left w:val="single" w:sz="6" w:space="0" w:color="D7E2EA"/>
          <w:bottom w:val="single" w:sz="6" w:space="0" w:color="D7E2EA"/>
          <w:right w:val="single" w:sz="6" w:space="0" w:color="D7E2EA"/>
          <w:insideH w:val="single" w:sz="6" w:space="0" w:color="D7E2EA"/>
          <w:insideV w:val="single" w:sz="6" w:space="0" w:color="D7E2EA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5083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Done when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Functionality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All ten required RCV scenarios have working fixtures and expected outcomes.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Decision quality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Final status comes from deterministic rules and cannot mask FAIL/UNCERTAIN.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Evidence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Every important check can show what was expected, what was observed and the supporting evidence.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Uncertainty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Ambiguous cases visibly become UNCERTAIN and are not silently converted to PASS.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Reliability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VLM failures preserve data and mark work pending/retryable.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Security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RLS + image authorization isolation tests pass for both demo organizations.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Evaluation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50 unseen units, dual human labels, agreement and per-check metrics are documented.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UX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Operator can understand and complete a receiving inspection without reading the docs.</w:t>
            </w:r>
          </w:p>
        </w:tc>
      </w:tr>
      <w:tr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Round 3</w:t>
            </w:r>
          </w:p>
        </w:tc>
        <w:tc>
          <w:tcPr>
            <w:tcW w:type="dxa" w:w="50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Versioned evidence record can be exported/consumed programmatically.</w:t>
            </w:r>
          </w:p>
        </w:tc>
      </w:tr>
    </w:tbl>
    <w:p/>
    <w:p>
      <w:pPr>
        <w:pStyle w:val="Heading1"/>
        <w:keepNext/>
      </w:pPr>
      <w:r>
        <w:t>31. Known Risks, Findings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E2EA"/>
          <w:left w:val="single" w:sz="6" w:space="0" w:color="D7E2EA"/>
          <w:bottom w:val="single" w:sz="6" w:space="0" w:color="D7E2EA"/>
          <w:right w:val="single" w:sz="6" w:space="0" w:color="D7E2EA"/>
          <w:insideH w:val="single" w:sz="6" w:space="0" w:color="D7E2EA"/>
          <w:insideV w:val="single" w:sz="6" w:space="0" w:color="D7E2EA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Risk / finding</w:t>
            </w:r>
          </w:p>
        </w:tc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3389"/>
            <w:shd w:fill="0B1F3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Mitigation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Long-tail SKU recognition may be weak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Identity/variant errors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Reference retrieval + top-K candidates + human review + report false negatives.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Visual count under occlusion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Quantity errors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Visible-vs-total distinction; UNCERTAIN when hidden units cannot be established.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Damage-like graphics vs actual damage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False positives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Use reference image, multiple views, evidence regions and human review.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Sample CSV has no images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Cannot directly test vision from organizer data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Add dedicated visual fixtures and held-out evaluation set.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Sample CSV has no overage rows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Extra-unit scenario missing from reference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Create explicit extra-unit fixture and test.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External dataset licensing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Legal/usage risk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Keep dataset use documented as research/hackathon; follow license/terms.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VLM provider outage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Operational interruption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Fail-open queue and pending state.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Model output hallucination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False evidence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shd w:fill="F7FAFC"/>
            <w:vAlign w:val="top"/>
          </w:tcPr>
          <w:p>
            <w:r/>
            <w:r>
              <w:rPr>
                <w:color w:val="1F2937"/>
                <w:sz w:val="17"/>
              </w:rPr>
              <w:t>Schema + semantic validation + evidence-only prompt + deterministic rules.</w:t>
            </w:r>
          </w:p>
        </w:tc>
      </w:tr>
      <w:tr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Tenant image leakage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Critical security issue</w:t>
            </w:r>
          </w:p>
        </w:tc>
        <w:tc>
          <w:tcPr>
            <w:tcW w:type="dxa" w:w="33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/>
            <w:r>
              <w:rPr>
                <w:color w:val="1F2937"/>
                <w:sz w:val="17"/>
              </w:rPr>
              <w:t>Private storage, tenant-scoped object keys, authorization checks and security tests.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32. References</w:t>
      </w:r>
    </w:p>
    <w:p>
      <w:pPr>
        <w:spacing w:after="40"/>
      </w:pPr>
      <w:r>
        <w:rPr>
          <w:b/>
          <w:sz w:val="17"/>
        </w:rPr>
        <w:t>CUBE Official Participant Handbook</w:t>
      </w:r>
      <w:r>
        <w:rPr>
          <w:sz w:val="17"/>
        </w:rPr>
        <w:t xml:space="preserve"> — Provided in conversation as “Cube Buildathon Official Participant Handbook.pdf”</w:t>
      </w:r>
    </w:p>
    <w:p>
      <w:pPr>
        <w:spacing w:after="80"/>
        <w:ind w:left="288"/>
      </w:pPr>
      <w:r>
        <w:rPr>
          <w:sz w:val="16"/>
        </w:rPr>
        <w:t>Primary source for Round 2 rules, scoring, evidence contract, held-out evaluation, submission and Round-3 expectations.</w:t>
      </w:r>
    </w:p>
    <w:p>
      <w:pPr>
        <w:spacing w:after="40"/>
      </w:pPr>
      <w:r>
        <w:rPr>
          <w:b/>
          <w:sz w:val="17"/>
        </w:rPr>
        <w:t>Assigned RCV Repository</w:t>
      </w:r>
      <w:r>
        <w:rPr>
          <w:sz w:val="17"/>
        </w:rPr>
        <w:t xml:space="preserve"> — https://github.com/chapalaumesh209/cube26-rcv-0068-chapalaumesh209</w:t>
      </w:r>
    </w:p>
    <w:p>
      <w:pPr>
        <w:spacing w:after="80"/>
        <w:ind w:left="288"/>
      </w:pPr>
      <w:r>
        <w:rPr>
          <w:sz w:val="16"/>
        </w:rPr>
        <w:t>Primary implementation source for the participant’s fork, repository rules, data schema and engineering constraints.</w:t>
      </w:r>
    </w:p>
    <w:p>
      <w:pPr>
        <w:spacing w:after="40"/>
      </w:pPr>
      <w:r>
        <w:rPr>
          <w:b/>
          <w:sz w:val="17"/>
        </w:rPr>
        <w:t>Kaputt dataset / Amazon Science</w:t>
      </w:r>
      <w:r>
        <w:rPr>
          <w:sz w:val="17"/>
        </w:rPr>
        <w:t xml:space="preserve"> — https://www.amazon.science/blog/novel-kaputt-dataset-sets-new-benchmark-for-large-scale-visual-defect-detection</w:t>
      </w:r>
    </w:p>
    <w:p>
      <w:pPr>
        <w:spacing w:after="80"/>
        <w:ind w:left="288"/>
      </w:pPr>
      <w:r>
        <w:rPr>
          <w:sz w:val="16"/>
        </w:rPr>
        <w:t>Retail-logistics visual defect dataset and research context.</w:t>
      </w:r>
    </w:p>
    <w:p>
      <w:pPr>
        <w:spacing w:after="40"/>
      </w:pPr>
      <w:r>
        <w:rPr>
          <w:b/>
          <w:sz w:val="17"/>
        </w:rPr>
        <w:t>Amazon Berkeley Objects</w:t>
      </w:r>
      <w:r>
        <w:rPr>
          <w:sz w:val="17"/>
        </w:rPr>
        <w:t xml:space="preserve"> — https://amazon-berkeley-objects.s3.amazonaws.com/index.html</w:t>
      </w:r>
    </w:p>
    <w:p>
      <w:pPr>
        <w:spacing w:after="80"/>
        <w:ind w:left="288"/>
      </w:pPr>
      <w:r>
        <w:rPr>
          <w:sz w:val="16"/>
        </w:rPr>
        <w:t>Product catalogue/reference imagery and metadata; official page lists dataset license information.</w:t>
      </w:r>
    </w:p>
    <w:p>
      <w:pPr>
        <w:spacing w:after="40"/>
      </w:pPr>
      <w:r>
        <w:rPr>
          <w:b/>
          <w:sz w:val="17"/>
        </w:rPr>
        <w:t>RPC dataset</w:t>
      </w:r>
      <w:r>
        <w:rPr>
          <w:sz w:val="17"/>
        </w:rPr>
        <w:t xml:space="preserve"> — https://rpc-dataset.github.io/</w:t>
      </w:r>
    </w:p>
    <w:p>
      <w:pPr>
        <w:spacing w:after="80"/>
        <w:ind w:left="288"/>
      </w:pPr>
      <w:r>
        <w:rPr>
          <w:sz w:val="16"/>
        </w:rPr>
        <w:t>Retail product recognition/counting benchmark; official page lists dataset statistics and license.</w:t>
      </w:r>
    </w:p>
    <w:p>
      <w:pPr>
        <w:spacing w:after="40"/>
      </w:pPr>
      <w:r>
        <w:rPr>
          <w:b/>
          <w:sz w:val="17"/>
        </w:rPr>
        <w:t>Gemini image understanding</w:t>
      </w:r>
      <w:r>
        <w:rPr>
          <w:sz w:val="17"/>
        </w:rPr>
        <w:t xml:space="preserve"> — https://ai.google.dev/gemini-api/docs/image-understanding</w:t>
      </w:r>
    </w:p>
    <w:p>
      <w:pPr>
        <w:spacing w:after="80"/>
        <w:ind w:left="288"/>
      </w:pPr>
      <w:r>
        <w:rPr>
          <w:sz w:val="16"/>
        </w:rPr>
        <w:t>Multimodal image analysis, detection/segmentation examples.</w:t>
      </w:r>
    </w:p>
    <w:p>
      <w:pPr>
        <w:spacing w:after="40"/>
      </w:pPr>
      <w:r>
        <w:rPr>
          <w:b/>
          <w:sz w:val="17"/>
        </w:rPr>
        <w:t>Gemini structured outputs</w:t>
      </w:r>
      <w:r>
        <w:rPr>
          <w:sz w:val="17"/>
        </w:rPr>
        <w:t xml:space="preserve"> — https://ai.google.dev/gemini-api/docs/structured-output</w:t>
      </w:r>
    </w:p>
    <w:p>
      <w:pPr>
        <w:spacing w:after="80"/>
        <w:ind w:left="288"/>
      </w:pPr>
      <w:r>
        <w:rPr>
          <w:sz w:val="16"/>
        </w:rPr>
        <w:t>Structured JSON Schema output and semantic validation guidance.</w:t>
      </w:r>
    </w:p>
    <w:p>
      <w:pPr>
        <w:spacing w:after="40"/>
      </w:pPr>
      <w:r>
        <w:rPr>
          <w:b/>
          <w:sz w:val="17"/>
        </w:rPr>
        <w:t>OWASP Top 10 for LLM Applications 2025</w:t>
      </w:r>
      <w:r>
        <w:rPr>
          <w:sz w:val="17"/>
        </w:rPr>
        <w:t xml:space="preserve"> — https://owasp.org/www-project-top-10-for-large-language-model-applications/assets/PDF/OWASP-Top-10-for-LLMs-v2025.pdf</w:t>
      </w:r>
    </w:p>
    <w:p>
      <w:pPr>
        <w:spacing w:after="80"/>
        <w:ind w:left="288"/>
      </w:pPr>
      <w:r>
        <w:rPr>
          <w:sz w:val="16"/>
        </w:rPr>
        <w:t>Prompt injection, sensitive information disclosure and improper output handling guidance.</w:t>
      </w:r>
    </w:p>
    <w:p>
      <w:r>
        <w:br w:type="page"/>
      </w:r>
    </w:p>
    <w:p>
      <w:pPr>
        <w:pStyle w:val="Heading1"/>
        <w:keepNext/>
      </w:pPr>
      <w:r>
        <w:t>33. Final Build Checklist</w:t>
      </w:r>
    </w:p>
    <w:p>
      <w:pPr>
        <w:spacing w:after="60"/>
      </w:pPr>
      <w:r>
        <w:rPr>
          <w:sz w:val="18"/>
        </w:rPr>
        <w:t>☐ Official starter repository preserved; implementation lives in the participant fork.</w:t>
      </w:r>
    </w:p>
    <w:p>
      <w:pPr>
        <w:spacing w:after="60"/>
      </w:pPr>
      <w:r>
        <w:rPr>
          <w:sz w:val="18"/>
        </w:rPr>
        <w:t>☐ All code commits occur within the authorized Round 2 build period.</w:t>
      </w:r>
    </w:p>
    <w:p>
      <w:pPr>
        <w:spacing w:after="60"/>
      </w:pPr>
      <w:r>
        <w:rPr>
          <w:sz w:val="18"/>
        </w:rPr>
        <w:t>☐ No secrets in repository.</w:t>
      </w:r>
    </w:p>
    <w:p>
      <w:pPr>
        <w:spacing w:after="60"/>
      </w:pPr>
      <w:r>
        <w:rPr>
          <w:sz w:val="18"/>
        </w:rPr>
        <w:t>☐ Login/logout and roles work.</w:t>
      </w:r>
    </w:p>
    <w:p>
      <w:pPr>
        <w:spacing w:after="60"/>
      </w:pPr>
      <w:r>
        <w:rPr>
          <w:sz w:val="18"/>
        </w:rPr>
        <w:t>☐ Tenant isolation works for both demo organizations.</w:t>
      </w:r>
    </w:p>
    <w:p>
      <w:pPr>
        <w:spacing w:after="60"/>
      </w:pPr>
      <w:r>
        <w:rPr>
          <w:sz w:val="18"/>
        </w:rPr>
        <w:t>☐ Private image access is tenant-safe.</w:t>
      </w:r>
    </w:p>
    <w:p>
      <w:pPr>
        <w:spacing w:after="60"/>
      </w:pPr>
      <w:r>
        <w:rPr>
          <w:sz w:val="18"/>
        </w:rPr>
        <w:t>☐ Organizer CSV mapping is implemented.</w:t>
      </w:r>
    </w:p>
    <w:p>
      <w:pPr>
        <w:spacing w:after="60"/>
      </w:pPr>
      <w:r>
        <w:rPr>
          <w:sz w:val="18"/>
        </w:rPr>
        <w:t>☐ PO/catalogue/shipment/photo ingestion works.</w:t>
      </w:r>
    </w:p>
    <w:p>
      <w:pPr>
        <w:spacing w:after="60"/>
      </w:pPr>
      <w:r>
        <w:rPr>
          <w:sz w:val="18"/>
        </w:rPr>
        <w:t>☐ One VLM call per unit is enforced.</w:t>
      </w:r>
    </w:p>
    <w:p>
      <w:pPr>
        <w:spacing w:after="60"/>
      </w:pPr>
      <w:r>
        <w:rPr>
          <w:sz w:val="18"/>
        </w:rPr>
        <w:t>☐ All required RCV checks are implemented.</w:t>
      </w:r>
    </w:p>
    <w:p>
      <w:pPr>
        <w:spacing w:after="60"/>
      </w:pPr>
      <w:r>
        <w:rPr>
          <w:sz w:val="18"/>
        </w:rPr>
        <w:t>☐ PASS/FAIL/UNCERTAIN and PENDING are modeled separately.</w:t>
      </w:r>
    </w:p>
    <w:p>
      <w:pPr>
        <w:spacing w:after="60"/>
      </w:pPr>
      <w:r>
        <w:rPr>
          <w:sz w:val="18"/>
        </w:rPr>
        <w:t>☐ Overall PASS cannot mask FAIL or UNCERTAIN.</w:t>
      </w:r>
    </w:p>
    <w:p>
      <w:pPr>
        <w:spacing w:after="60"/>
      </w:pPr>
      <w:r>
        <w:rPr>
          <w:sz w:val="18"/>
        </w:rPr>
        <w:t>☐ Fail-open behavior is verified.</w:t>
      </w:r>
    </w:p>
    <w:p>
      <w:pPr>
        <w:spacing w:after="60"/>
      </w:pPr>
      <w:r>
        <w:rPr>
          <w:sz w:val="18"/>
        </w:rPr>
        <w:t>☐ Human overrides preserve original AI outcomes.</w:t>
      </w:r>
    </w:p>
    <w:p>
      <w:pPr>
        <w:spacing w:after="60"/>
      </w:pPr>
      <w:r>
        <w:rPr>
          <w:sz w:val="18"/>
        </w:rPr>
        <w:t>☐ Evidence contract is complete and versioned.</w:t>
      </w:r>
    </w:p>
    <w:p>
      <w:pPr>
        <w:spacing w:after="60"/>
      </w:pPr>
      <w:r>
        <w:rPr>
          <w:sz w:val="18"/>
        </w:rPr>
        <w:t>☐ 50-unit held-out evaluation is frozen and reproducible.</w:t>
      </w:r>
    </w:p>
    <w:p>
      <w:pPr>
        <w:spacing w:after="60"/>
      </w:pPr>
      <w:r>
        <w:rPr>
          <w:sz w:val="18"/>
        </w:rPr>
        <w:t>☐ False positives, false negatives, uncertainty and failure modes reported.</w:t>
      </w:r>
    </w:p>
    <w:p>
      <w:pPr>
        <w:spacing w:after="60"/>
      </w:pPr>
      <w:r>
        <w:rPr>
          <w:sz w:val="18"/>
        </w:rPr>
        <w:t>☐ All ten RCV scenarios demonstrated.</w:t>
      </w:r>
    </w:p>
    <w:p>
      <w:pPr>
        <w:spacing w:after="60"/>
      </w:pPr>
      <w:r>
        <w:rPr>
          <w:sz w:val="18"/>
        </w:rPr>
        <w:t>☐ Extra-unit test explicitly covered.</w:t>
      </w:r>
    </w:p>
    <w:p>
      <w:pPr>
        <w:spacing w:after="60"/>
      </w:pPr>
      <w:r>
        <w:rPr>
          <w:sz w:val="18"/>
        </w:rPr>
        <w:t>☐ A demo video shows the working system rather than slides only.</w:t>
      </w:r>
    </w:p>
    <w:p>
      <w:pPr>
        <w:spacing w:after="60"/>
      </w:pPr>
      <w:r>
        <w:rPr>
          <w:sz w:val="18"/>
        </w:rPr>
        <w:t>☐ README.md and ARCHITECTURE.md match the actual code.</w:t>
      </w:r>
    </w:p>
    <w:p>
      <w:pPr>
        <w:spacing w:after="60"/>
      </w:pPr>
      <w:r>
        <w:rPr>
          <w:sz w:val="18"/>
        </w:rPr>
        <w:t>☐ Deployment URL tested.</w:t>
      </w:r>
    </w:p>
    <w:p>
      <w:pPr>
        <w:spacing w:after="60"/>
      </w:pPr>
      <w:r>
        <w:rPr>
          <w:sz w:val="18"/>
        </w:rPr>
        <w:t>☐ LinkedIn post published with required tags and URL.</w:t>
      </w:r>
    </w:p>
    <w:p>
      <w:pPr>
        <w:spacing w:after="60"/>
      </w:pPr>
      <w:r>
        <w:rPr>
          <w:sz w:val="18"/>
        </w:rPr>
        <w:t>☐ Final submission form checked before 1 Oct 2026 6:00 PM 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BF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16C1E8"/>
                <w:sz w:val="21"/>
              </w:rPr>
              <w:t>Final principle</w:t>
            </w:r>
          </w:p>
          <w:p>
            <w:pPr>
              <w:spacing w:after="0"/>
            </w:pPr>
            <w:r>
              <w:rPr>
                <w:color w:val="1F2937"/>
                <w:sz w:val="18"/>
              </w:rPr>
              <w:t>Build → Test → Measure → Document → Publish → Submit. The strongest RCV submission is not the biggest codebase; it is the most focused, measured and defensible operational system.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0"/>
        <w:sz w:val="16"/>
      </w:rPr>
      <w:t xml:space="preserve">DockProof • CUBE Buildathon RCV • Production Architecture Specification  |  </w:t>
    </w:r>
    <w:r>
      <w:rPr>
        <w:color w:val="5B6570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E749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976D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F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 Small"/>
    <w:rPr>
      <w:rFonts w:ascii="Aptos" w:hAnsi="Aptos"/>
      <w:color w:val="5B657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DockProof — Evidence-First AI Receiving Manager</dc:title>
  <dc:subject>CUBE Buildathon RCV production architecture and implementation specification</dc:subject>
  <dc:creator>OpenAI</dc:creator>
  <cp:keywords>CUBE, RCV, Receiving Manager, DockProof, AI, vision, evidence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