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036" w:rsidRDefault="00622036" w:rsidP="00622036">
      <w:pPr>
        <w:spacing w:after="412" w:line="304" w:lineRule="auto"/>
        <w:ind w:right="823" w:firstLine="0"/>
        <w:jc w:val="center"/>
        <w:rPr>
          <w:sz w:val="41"/>
        </w:rPr>
      </w:pPr>
      <w:r>
        <w:rPr>
          <w:sz w:val="41"/>
        </w:rPr>
        <w:t>PRIMERA ENTREGA DEL PROYECTO PROTOTIPICO</w:t>
      </w:r>
    </w:p>
    <w:p w:rsidR="00622036" w:rsidRPr="003A401E" w:rsidRDefault="003A401E" w:rsidP="00622036">
      <w:pPr>
        <w:spacing w:after="412" w:line="240" w:lineRule="auto"/>
        <w:ind w:right="823" w:firstLine="0"/>
        <w:jc w:val="center"/>
        <w:rPr>
          <w:sz w:val="28"/>
          <w:szCs w:val="28"/>
        </w:rPr>
      </w:pPr>
      <w:r w:rsidRPr="003A401E">
        <w:rPr>
          <w:sz w:val="28"/>
          <w:szCs w:val="28"/>
        </w:rPr>
        <w:t xml:space="preserve">UNIVERSIDAD NACIONAL ROSARIO CASTELLANOS </w:t>
      </w:r>
    </w:p>
    <w:p w:rsidR="00622036" w:rsidRPr="00622036" w:rsidRDefault="00622036" w:rsidP="00622036">
      <w:pPr>
        <w:spacing w:after="412" w:line="240" w:lineRule="auto"/>
        <w:ind w:right="823" w:firstLine="0"/>
        <w:jc w:val="left"/>
        <w:rPr>
          <w:sz w:val="24"/>
        </w:rPr>
      </w:pPr>
      <w:r>
        <w:rPr>
          <w:sz w:val="24"/>
        </w:rPr>
        <w:t xml:space="preserve">Licenciatura: científicos de datos para negocios  </w:t>
      </w:r>
    </w:p>
    <w:p w:rsidR="00622036" w:rsidRDefault="00622036" w:rsidP="00622036">
      <w:pPr>
        <w:spacing w:after="412" w:line="304" w:lineRule="auto"/>
        <w:ind w:right="823" w:firstLine="0"/>
        <w:jc w:val="left"/>
        <w:rPr>
          <w:sz w:val="24"/>
        </w:rPr>
      </w:pPr>
      <w:r w:rsidRPr="00622036">
        <w:rPr>
          <w:sz w:val="24"/>
        </w:rPr>
        <w:t>Asignatura:</w:t>
      </w:r>
      <w:r>
        <w:rPr>
          <w:sz w:val="24"/>
        </w:rPr>
        <w:t xml:space="preserve"> </w:t>
      </w:r>
      <w:r w:rsidRPr="00622036">
        <w:rPr>
          <w:sz w:val="24"/>
        </w:rPr>
        <w:t xml:space="preserve">Predicción de lluvias </w:t>
      </w:r>
      <w:r w:rsidR="00E03AC8" w:rsidRPr="00622036">
        <w:rPr>
          <w:sz w:val="24"/>
        </w:rPr>
        <w:t>para cultivos</w:t>
      </w:r>
      <w:r w:rsidRPr="00622036">
        <w:rPr>
          <w:sz w:val="24"/>
        </w:rPr>
        <w:t xml:space="preserve"> de temporada </w:t>
      </w:r>
    </w:p>
    <w:p w:rsidR="00E03AC8" w:rsidRDefault="00E03AC8" w:rsidP="00622036">
      <w:pPr>
        <w:spacing w:after="412" w:line="304" w:lineRule="auto"/>
        <w:ind w:right="823" w:firstLine="0"/>
        <w:jc w:val="left"/>
        <w:rPr>
          <w:sz w:val="24"/>
        </w:rPr>
      </w:pPr>
      <w:r>
        <w:rPr>
          <w:sz w:val="24"/>
        </w:rPr>
        <w:t xml:space="preserve">Temática: problema prototípico </w:t>
      </w:r>
    </w:p>
    <w:p w:rsidR="003A401E" w:rsidRDefault="00E03AC8" w:rsidP="00622036">
      <w:pPr>
        <w:spacing w:after="412" w:line="304" w:lineRule="auto"/>
        <w:ind w:right="823" w:firstLine="0"/>
        <w:jc w:val="left"/>
        <w:rPr>
          <w:sz w:val="24"/>
        </w:rPr>
      </w:pPr>
      <w:r>
        <w:rPr>
          <w:sz w:val="24"/>
        </w:rPr>
        <w:t xml:space="preserve">Integrantes del equipos: </w:t>
      </w:r>
    </w:p>
    <w:p w:rsidR="00E03AC8" w:rsidRDefault="003A401E" w:rsidP="00622036">
      <w:pPr>
        <w:spacing w:after="412" w:line="304" w:lineRule="auto"/>
        <w:ind w:right="823" w:firstLine="0"/>
        <w:jc w:val="left"/>
        <w:rPr>
          <w:sz w:val="24"/>
        </w:rPr>
      </w:pPr>
      <w:r>
        <w:rPr>
          <w:sz w:val="24"/>
        </w:rPr>
        <w:t xml:space="preserve">JOSE ALDAIR QUIROZ RAMOS, ALI BRAYAN, ELIZABETH TORRES, NORMA RIVERO </w:t>
      </w:r>
    </w:p>
    <w:p w:rsidR="00E03AC8" w:rsidRDefault="00E03AC8">
      <w:pPr>
        <w:spacing w:after="160" w:line="259" w:lineRule="auto"/>
        <w:ind w:right="0" w:firstLine="0"/>
        <w:jc w:val="left"/>
        <w:rPr>
          <w:sz w:val="24"/>
        </w:rPr>
      </w:pPr>
      <w:r>
        <w:rPr>
          <w:sz w:val="24"/>
        </w:rPr>
        <w:br w:type="page"/>
      </w:r>
    </w:p>
    <w:p w:rsidR="00E03AC8" w:rsidRDefault="00E03AC8" w:rsidP="00E03AC8">
      <w:pPr>
        <w:spacing w:after="412" w:line="304" w:lineRule="auto"/>
        <w:ind w:right="823" w:firstLine="0"/>
        <w:jc w:val="center"/>
        <w:rPr>
          <w:sz w:val="40"/>
          <w:szCs w:val="40"/>
        </w:rPr>
      </w:pPr>
      <w:r w:rsidRPr="00E03AC8">
        <w:rPr>
          <w:sz w:val="40"/>
          <w:szCs w:val="40"/>
        </w:rPr>
        <w:lastRenderedPageBreak/>
        <w:t>PREDICCIÓN DE LLUVIAS PARA CULTIVOS DE TEMPORADA</w:t>
      </w:r>
    </w:p>
    <w:p w:rsidR="00E03AC8" w:rsidRPr="00622036" w:rsidRDefault="00D12F0F" w:rsidP="00E03AC8">
      <w:pPr>
        <w:spacing w:after="412" w:line="304" w:lineRule="auto"/>
        <w:ind w:right="823" w:firstLine="0"/>
        <w:jc w:val="left"/>
        <w:rPr>
          <w:sz w:val="24"/>
        </w:rPr>
      </w:pPr>
      <w:r>
        <w:rPr>
          <w:sz w:val="20"/>
          <w:szCs w:val="20"/>
        </w:rPr>
        <w:t xml:space="preserve"> </w:t>
      </w:r>
      <w:r w:rsidR="00E03AC8" w:rsidRPr="00E03AC8">
        <w:rPr>
          <w:sz w:val="24"/>
        </w:rPr>
        <w:t>De acuerdo con la clasificación de climas según Köppen modificada por Enriqueta García, para las condiciones de la República Mexicana, los climas predominantes para el acuífero Tlapa-Huamuxtitlán son de tipo semicálido, cálido y templado, Para la determinación de las variables climatológicas, se cuenta con información de 4 estaciones climatológicas que tienen influencia en el área del acuífero: Ixcateopan, Huamuxtitlán, Metlatónoc y Xochihuehuetlán, cuyo registro comprende un periodo de 57 años (1953 a 2010). (2015 a 2025) Con estos datos y utilizando el método de los Polígonos de Thiessen, se determinaron valores de precipitación y temperatura media anual de 899.0 mm y 24.3 °C, respectivamente. El régimen pluvial presenta, en términos generales, dos períodos de ocurrencia, uno en verano de mayo a octubre, cuando se registran los valores más altos, y otro de lluvias invernales que abarca de noviembre a febrero, con precipitaciones menos</w:t>
      </w:r>
    </w:p>
    <w:p w:rsidR="00BF27F8" w:rsidRDefault="00E03AC8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2540</wp:posOffset>
            </wp:positionV>
            <wp:extent cx="2847975" cy="1600200"/>
            <wp:effectExtent l="0" t="0" r="9525" b="0"/>
            <wp:wrapNone/>
            <wp:docPr id="127544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48276" name="Imagen 1275448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3063240</wp:posOffset>
            </wp:positionH>
            <wp:positionV relativeFrom="paragraph">
              <wp:posOffset>1650364</wp:posOffset>
            </wp:positionV>
            <wp:extent cx="2876550" cy="1438275"/>
            <wp:effectExtent l="0" t="0" r="0" b="9525"/>
            <wp:wrapNone/>
            <wp:docPr id="16225955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5594" name="Imagen 1622595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3AC8" w:rsidRPr="00E03AC8" w:rsidRDefault="00E03AC8" w:rsidP="00E03AC8">
      <w:pPr>
        <w:rPr>
          <w:sz w:val="24"/>
        </w:rPr>
      </w:pPr>
    </w:p>
    <w:p w:rsidR="00E03AC8" w:rsidRPr="00E03AC8" w:rsidRDefault="00E03AC8" w:rsidP="00E03AC8">
      <w:pPr>
        <w:rPr>
          <w:sz w:val="24"/>
        </w:rPr>
      </w:pPr>
    </w:p>
    <w:p w:rsidR="00E03AC8" w:rsidRPr="00E03AC8" w:rsidRDefault="00E03AC8" w:rsidP="00E03AC8">
      <w:pPr>
        <w:rPr>
          <w:sz w:val="24"/>
        </w:rPr>
      </w:pPr>
    </w:p>
    <w:p w:rsidR="00E03AC8" w:rsidRPr="00E03AC8" w:rsidRDefault="00E03AC8" w:rsidP="00E03AC8">
      <w:pPr>
        <w:rPr>
          <w:sz w:val="24"/>
        </w:rPr>
      </w:pPr>
    </w:p>
    <w:p w:rsidR="00E03AC8" w:rsidRPr="00E03AC8" w:rsidRDefault="00E03AC8" w:rsidP="00E03AC8">
      <w:pPr>
        <w:rPr>
          <w:sz w:val="24"/>
        </w:rPr>
      </w:pPr>
    </w:p>
    <w:p w:rsidR="00E03AC8" w:rsidRPr="00E03AC8" w:rsidRDefault="00E03AC8" w:rsidP="00E03AC8">
      <w:pPr>
        <w:rPr>
          <w:sz w:val="24"/>
        </w:rPr>
      </w:pPr>
    </w:p>
    <w:p w:rsidR="00E03AC8" w:rsidRDefault="00E03AC8" w:rsidP="00E03AC8">
      <w:pPr>
        <w:rPr>
          <w:sz w:val="24"/>
        </w:rPr>
      </w:pPr>
    </w:p>
    <w:p w:rsidR="00E03AC8" w:rsidRDefault="00E03AC8" w:rsidP="00E03AC8">
      <w:pPr>
        <w:tabs>
          <w:tab w:val="left" w:pos="1335"/>
        </w:tabs>
        <w:rPr>
          <w:sz w:val="24"/>
        </w:rPr>
      </w:pPr>
      <w:r>
        <w:rPr>
          <w:sz w:val="24"/>
        </w:rPr>
        <w:tab/>
      </w:r>
    </w:p>
    <w:p w:rsidR="00E03AC8" w:rsidRDefault="00E03AC8" w:rsidP="00E03AC8">
      <w:pPr>
        <w:spacing w:after="160" w:line="259" w:lineRule="auto"/>
        <w:ind w:right="0" w:firstLine="0"/>
        <w:jc w:val="center"/>
        <w:rPr>
          <w:rFonts w:ascii="Arial Black" w:hAnsi="Arial Black"/>
          <w:sz w:val="40"/>
          <w:szCs w:val="40"/>
        </w:rPr>
      </w:pPr>
      <w:r w:rsidRPr="00E03AC8">
        <w:rPr>
          <w:rFonts w:ascii="Arial Black" w:hAnsi="Arial Black"/>
          <w:sz w:val="40"/>
          <w:szCs w:val="40"/>
        </w:rPr>
        <w:br w:type="page"/>
      </w:r>
      <w:r w:rsidRPr="00E03AC8">
        <w:rPr>
          <w:rFonts w:ascii="Arial Black" w:hAnsi="Arial Black"/>
          <w:sz w:val="40"/>
          <w:szCs w:val="40"/>
        </w:rPr>
        <w:lastRenderedPageBreak/>
        <w:t>Origen del problema</w:t>
      </w:r>
    </w:p>
    <w:p w:rsidR="00D9333D" w:rsidRDefault="00D9333D" w:rsidP="00B258FD">
      <w:pPr>
        <w:spacing w:after="160" w:line="259" w:lineRule="auto"/>
        <w:ind w:right="0" w:firstLine="0"/>
        <w:jc w:val="left"/>
        <w:rPr>
          <w:rFonts w:ascii="Arial Narrow" w:hAnsi="Arial Narrow"/>
          <w:sz w:val="24"/>
        </w:rPr>
      </w:pPr>
      <w:r w:rsidRPr="00D9333D">
        <w:rPr>
          <w:rFonts w:ascii="Arial Narrow" w:hAnsi="Arial Narrow"/>
          <w:b/>
          <w:bCs/>
          <w:sz w:val="24"/>
        </w:rPr>
        <w:t>Principales impactos de la falta de agua en Guerrero (Datos 2024-2025):</w:t>
      </w:r>
    </w:p>
    <w:p w:rsidR="00B258FD" w:rsidRPr="00B258FD" w:rsidRDefault="00B258FD" w:rsidP="00B258FD">
      <w:pPr>
        <w:spacing w:after="160" w:line="259" w:lineRule="auto"/>
        <w:ind w:right="0" w:firstLine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sz w:val="24"/>
        </w:rPr>
        <w:t>revelan que la escasez de agua es la principal causa de pérdidas en el campo mexicano</w:t>
      </w:r>
      <w:r>
        <w:rPr>
          <w:rFonts w:ascii="Arial Narrow" w:hAnsi="Arial Narrow"/>
          <w:sz w:val="24"/>
        </w:rPr>
        <w:t xml:space="preserve"> en guerrero </w:t>
      </w:r>
      <w:r w:rsidRPr="00B258FD">
        <w:rPr>
          <w:rFonts w:ascii="Arial Narrow" w:hAnsi="Arial Narrow"/>
          <w:sz w:val="24"/>
        </w:rPr>
        <w:t>, afectando a 31 de 32 entidades. El 72.19% de las unidades de producción con siniestros reportó sequías, provocando caídas en rendimientos agrícolas, mortalidad de ganado y alta dependencia del riego por gravedad. </w:t>
      </w:r>
    </w:p>
    <w:p w:rsidR="00B258FD" w:rsidRPr="00B258FD" w:rsidRDefault="00B258FD" w:rsidP="00B258FD">
      <w:pPr>
        <w:spacing w:after="160" w:line="259" w:lineRule="auto"/>
        <w:ind w:right="0" w:firstLine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 xml:space="preserve">Impacto Principal </w:t>
      </w:r>
    </w:p>
    <w:p w:rsidR="00B258FD" w:rsidRPr="00B258FD" w:rsidRDefault="00B258FD" w:rsidP="00B258FD">
      <w:pPr>
        <w:numPr>
          <w:ilvl w:val="0"/>
          <w:numId w:val="1"/>
        </w:numPr>
        <w:spacing w:after="160" w:line="259" w:lineRule="auto"/>
        <w:ind w:right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Sequía como principal factor:</w:t>
      </w:r>
      <w:r w:rsidRPr="00B258FD">
        <w:rPr>
          <w:rFonts w:ascii="Arial Narrow" w:hAnsi="Arial Narrow"/>
          <w:sz w:val="24"/>
        </w:rPr>
        <w:t> La falta de agua superó a otros problemas climáticos (como inundaciones, que solo fueron predominantes en Tabasco) en 2022, afectando gravemente la producción.</w:t>
      </w:r>
    </w:p>
    <w:p w:rsidR="00B258FD" w:rsidRPr="00B258FD" w:rsidRDefault="00B258FD" w:rsidP="00B258FD">
      <w:pPr>
        <w:numPr>
          <w:ilvl w:val="0"/>
          <w:numId w:val="1"/>
        </w:numPr>
        <w:spacing w:after="160" w:line="259" w:lineRule="auto"/>
        <w:ind w:right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Rendimiento en riesgo:</w:t>
      </w:r>
      <w:r w:rsidRPr="00B258FD">
        <w:rPr>
          <w:rFonts w:ascii="Arial Narrow" w:hAnsi="Arial Narrow"/>
          <w:sz w:val="24"/>
        </w:rPr>
        <w:t> Las sequías intensas, como la del ciclo 2020-2021, disminuyeron la producción de cultivos básicos como el maíz.</w:t>
      </w:r>
    </w:p>
    <w:p w:rsidR="00B258FD" w:rsidRPr="00B258FD" w:rsidRDefault="00B258FD" w:rsidP="00023DBB">
      <w:pPr>
        <w:numPr>
          <w:ilvl w:val="0"/>
          <w:numId w:val="1"/>
        </w:numPr>
        <w:spacing w:after="160" w:line="259" w:lineRule="auto"/>
        <w:ind w:right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Vulnerabilidad del Temporal:</w:t>
      </w:r>
      <w:r w:rsidRPr="00B258FD">
        <w:rPr>
          <w:rFonts w:ascii="Arial Narrow" w:hAnsi="Arial Narrow"/>
          <w:sz w:val="24"/>
        </w:rPr>
        <w:t> Las unidades de producción de temporal son las más afectadas, representando una gran parte de las pérdidas frente a la agricultura de riego. </w:t>
      </w:r>
    </w:p>
    <w:p w:rsidR="00B258FD" w:rsidRPr="00B258FD" w:rsidRDefault="00B258FD" w:rsidP="00B258FD">
      <w:pPr>
        <w:spacing w:after="160" w:line="259" w:lineRule="auto"/>
        <w:ind w:right="0" w:firstLine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Consecuencias en el Sector:</w:t>
      </w:r>
    </w:p>
    <w:p w:rsidR="00B258FD" w:rsidRPr="00B258FD" w:rsidRDefault="00B258FD" w:rsidP="00B258FD">
      <w:pPr>
        <w:numPr>
          <w:ilvl w:val="0"/>
          <w:numId w:val="3"/>
        </w:numPr>
        <w:spacing w:after="160" w:line="259" w:lineRule="auto"/>
        <w:ind w:right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Pérdidas Económicas:</w:t>
      </w:r>
      <w:r w:rsidRPr="00B258FD">
        <w:rPr>
          <w:rFonts w:ascii="Arial Narrow" w:hAnsi="Arial Narrow"/>
          <w:sz w:val="24"/>
        </w:rPr>
        <w:t> Afectaciones directas a los ingresos de los productores por la pérdida de cosechas.</w:t>
      </w:r>
    </w:p>
    <w:p w:rsidR="00B258FD" w:rsidRDefault="00B258FD" w:rsidP="00B258FD">
      <w:pPr>
        <w:numPr>
          <w:ilvl w:val="0"/>
          <w:numId w:val="3"/>
        </w:numPr>
        <w:spacing w:after="160" w:line="259" w:lineRule="auto"/>
        <w:ind w:right="0"/>
        <w:jc w:val="left"/>
        <w:rPr>
          <w:rFonts w:ascii="Arial Narrow" w:hAnsi="Arial Narrow"/>
          <w:sz w:val="24"/>
        </w:rPr>
      </w:pPr>
      <w:r w:rsidRPr="00B258FD">
        <w:rPr>
          <w:rFonts w:ascii="Arial Narrow" w:hAnsi="Arial Narrow"/>
          <w:b/>
          <w:bCs/>
          <w:sz w:val="24"/>
        </w:rPr>
        <w:t>Mortalidad Animal:</w:t>
      </w:r>
      <w:r w:rsidRPr="00B258FD">
        <w:rPr>
          <w:rFonts w:ascii="Arial Narrow" w:hAnsi="Arial Narrow"/>
          <w:sz w:val="24"/>
        </w:rPr>
        <w:t> La sequía no solo afecta cultivos, sino que provoca la muerte de ganado y escasez de forraje</w:t>
      </w:r>
    </w:p>
    <w:p w:rsidR="00FA45AF" w:rsidRPr="00B258FD" w:rsidRDefault="00FA45AF" w:rsidP="003A401E">
      <w:pPr>
        <w:spacing w:after="160" w:line="259" w:lineRule="auto"/>
        <w:ind w:left="360" w:right="0" w:firstLine="0"/>
        <w:jc w:val="left"/>
        <w:rPr>
          <w:rFonts w:ascii="Arial Narrow" w:hAnsi="Arial Narrow"/>
          <w:sz w:val="24"/>
        </w:rPr>
      </w:pPr>
    </w:p>
    <w:p w:rsidR="00B258FD" w:rsidRPr="00B258FD" w:rsidRDefault="00D9333D" w:rsidP="00B258FD">
      <w:pPr>
        <w:spacing w:after="160" w:line="259" w:lineRule="auto"/>
        <w:ind w:right="0" w:firstLine="0"/>
        <w:jc w:val="left"/>
        <w:rPr>
          <w:rFonts w:ascii="Arial Narrow" w:hAnsi="Arial Narrow"/>
          <w:sz w:val="24"/>
        </w:rPr>
      </w:pPr>
      <w:r w:rsidRPr="00D9333D">
        <w:rPr>
          <w:rFonts w:ascii="Arial Narrow" w:hAnsi="Arial Narrow"/>
          <w:sz w:val="24"/>
        </w:rPr>
        <w:t>https://www.inegi.org.mx/contenidos/saladeprensa/aproposito/2024/EAP_DiaMundAgua.pdf</w:t>
      </w:r>
    </w:p>
    <w:p w:rsidR="00FA45AF" w:rsidRDefault="00FA45AF" w:rsidP="006162CC">
      <w:pPr>
        <w:tabs>
          <w:tab w:val="left" w:pos="1335"/>
        </w:tabs>
        <w:jc w:val="center"/>
        <w:rPr>
          <w:rFonts w:ascii="Arial Black" w:hAnsi="Arial Black"/>
          <w:b/>
          <w:bCs/>
          <w:sz w:val="40"/>
          <w:szCs w:val="40"/>
        </w:rPr>
      </w:pPr>
    </w:p>
    <w:p w:rsidR="003A401E" w:rsidRDefault="003A401E">
      <w:pPr>
        <w:spacing w:after="160" w:line="259" w:lineRule="auto"/>
        <w:ind w:right="0" w:firstLine="0"/>
        <w:jc w:val="left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br w:type="page"/>
      </w:r>
    </w:p>
    <w:p w:rsidR="00E03AC8" w:rsidRDefault="006162CC" w:rsidP="006162CC">
      <w:pPr>
        <w:tabs>
          <w:tab w:val="left" w:pos="1335"/>
        </w:tabs>
        <w:jc w:val="center"/>
        <w:rPr>
          <w:rFonts w:ascii="Arial Black" w:hAnsi="Arial Black"/>
          <w:b/>
          <w:bCs/>
          <w:sz w:val="40"/>
          <w:szCs w:val="40"/>
        </w:rPr>
      </w:pPr>
      <w:r w:rsidRPr="006162CC">
        <w:rPr>
          <w:rFonts w:ascii="Arial Black" w:hAnsi="Arial Black"/>
          <w:b/>
          <w:bCs/>
          <w:sz w:val="40"/>
          <w:szCs w:val="40"/>
        </w:rPr>
        <w:lastRenderedPageBreak/>
        <w:t>JUSTIFICACIÓN </w:t>
      </w:r>
      <w:r w:rsidR="00AF4BE6">
        <w:rPr>
          <w:rFonts w:ascii="Arial Black" w:hAnsi="Arial Black"/>
          <w:b/>
          <w:bCs/>
          <w:sz w:val="40"/>
          <w:szCs w:val="40"/>
        </w:rPr>
        <w:t xml:space="preserve"> </w:t>
      </w:r>
    </w:p>
    <w:p w:rsidR="00B414C6" w:rsidRDefault="00B414C6" w:rsidP="00B414C6">
      <w:pPr>
        <w:tabs>
          <w:tab w:val="left" w:pos="1335"/>
        </w:tabs>
        <w:jc w:val="left"/>
        <w:rPr>
          <w:rFonts w:ascii="Arial Narrow" w:hAnsi="Arial Narrow"/>
          <w:b/>
          <w:bCs/>
          <w:sz w:val="24"/>
        </w:rPr>
      </w:pPr>
      <w:r>
        <w:rPr>
          <w:rFonts w:ascii="Arial Narrow" w:hAnsi="Arial Narrow"/>
          <w:b/>
          <w:bCs/>
          <w:sz w:val="24"/>
        </w:rPr>
        <w:t xml:space="preserve"> </w:t>
      </w:r>
      <w:r w:rsidR="00FA45AF" w:rsidRPr="00FA45AF">
        <w:rPr>
          <w:rFonts w:ascii="Arial Narrow" w:hAnsi="Arial Narrow"/>
          <w:b/>
          <w:bCs/>
          <w:sz w:val="24"/>
        </w:rPr>
        <w:t xml:space="preserve">La justificación para impulsar la agricultura de maíz y café en Guerrero, especialmente ante la afectación agrícola </w:t>
      </w:r>
      <w:r w:rsidR="00FA45AF">
        <w:rPr>
          <w:rFonts w:ascii="Arial Narrow" w:hAnsi="Arial Narrow"/>
          <w:b/>
          <w:bCs/>
          <w:sz w:val="24"/>
        </w:rPr>
        <w:t>nacional.</w:t>
      </w:r>
    </w:p>
    <w:p w:rsidR="00FA45AF" w:rsidRDefault="00FA45AF" w:rsidP="00FA45AF">
      <w:pPr>
        <w:tabs>
          <w:tab w:val="left" w:pos="1335"/>
        </w:tabs>
        <w:jc w:val="left"/>
        <w:rPr>
          <w:rFonts w:ascii="Arial Narrow" w:hAnsi="Arial Narrow"/>
          <w:b/>
          <w:bCs/>
          <w:sz w:val="24"/>
        </w:rPr>
      </w:pPr>
      <w:r w:rsidRPr="00FA45AF">
        <w:rPr>
          <w:rFonts w:ascii="Arial Narrow" w:hAnsi="Arial Narrow"/>
          <w:b/>
          <w:bCs/>
          <w:sz w:val="24"/>
        </w:rPr>
        <w:t>Crisis Agrícola Nacional  de Guerrero</w:t>
      </w:r>
      <w:r w:rsidR="004E2F84">
        <w:rPr>
          <w:rFonts w:ascii="Arial Narrow" w:hAnsi="Arial Narrow"/>
          <w:b/>
          <w:bCs/>
          <w:sz w:val="24"/>
        </w:rPr>
        <w:t xml:space="preserve"> </w:t>
      </w:r>
    </w:p>
    <w:p w:rsidR="004E2F84" w:rsidRPr="00FA45AF" w:rsidRDefault="004E2F84" w:rsidP="004E2F84">
      <w:pPr>
        <w:tabs>
          <w:tab w:val="left" w:pos="1335"/>
        </w:tabs>
        <w:ind w:firstLine="0"/>
        <w:jc w:val="left"/>
        <w:rPr>
          <w:rFonts w:ascii="Arial Narrow" w:hAnsi="Arial Narrow"/>
          <w:sz w:val="24"/>
        </w:rPr>
      </w:pPr>
      <w:r>
        <w:rPr>
          <w:rFonts w:ascii="Arial Narrow" w:hAnsi="Arial Narrow"/>
          <w:b/>
          <w:bCs/>
          <w:sz w:val="24"/>
        </w:rPr>
        <w:t xml:space="preserve">Proyecto mas útil justificando por falta de lluvia o exceso de lluvia </w:t>
      </w:r>
    </w:p>
    <w:p w:rsidR="004E2F84" w:rsidRPr="004E2F84" w:rsidRDefault="004E2F84" w:rsidP="004E2F84">
      <w:pPr>
        <w:numPr>
          <w:ilvl w:val="0"/>
          <w:numId w:val="8"/>
        </w:numPr>
        <w:tabs>
          <w:tab w:val="left" w:pos="1335"/>
        </w:tabs>
        <w:jc w:val="left"/>
        <w:rPr>
          <w:rFonts w:ascii="Arial Narrow" w:hAnsi="Arial Narrow"/>
          <w:sz w:val="24"/>
        </w:rPr>
      </w:pPr>
      <w:r w:rsidRPr="004E2F84">
        <w:rPr>
          <w:rFonts w:ascii="Arial Narrow" w:hAnsi="Arial Narrow"/>
          <w:b/>
          <w:bCs/>
          <w:sz w:val="24"/>
        </w:rPr>
        <w:t>Ollas de Agua y Aljibes:</w:t>
      </w:r>
      <w:r w:rsidRPr="004E2F84">
        <w:rPr>
          <w:rFonts w:ascii="Arial Narrow" w:hAnsi="Arial Narrow"/>
          <w:sz w:val="24"/>
        </w:rPr>
        <w:t xml:space="preserve">  la construcción de ollas de captación geomembranas. Esto permite que, aunque la lluvia falle un </w:t>
      </w:r>
      <w:r w:rsidRPr="00760CCD">
        <w:rPr>
          <w:rFonts w:ascii="Arial Narrow" w:hAnsi="Arial Narrow"/>
          <w:sz w:val="24"/>
        </w:rPr>
        <w:t>mes</w:t>
      </w:r>
      <w:r w:rsidRPr="004E2F84">
        <w:rPr>
          <w:rFonts w:ascii="Arial Narrow" w:hAnsi="Arial Narrow"/>
          <w:sz w:val="24"/>
        </w:rPr>
        <w:t>, el granjero tenga "agua de reserva" para riego de auxilio en etapas críticas (como la floración del maíz).</w:t>
      </w:r>
    </w:p>
    <w:p w:rsidR="004E2F84" w:rsidRPr="004E2F84" w:rsidRDefault="004E2F84" w:rsidP="004E2F84">
      <w:pPr>
        <w:numPr>
          <w:ilvl w:val="0"/>
          <w:numId w:val="8"/>
        </w:numPr>
        <w:tabs>
          <w:tab w:val="left" w:pos="1335"/>
        </w:tabs>
        <w:jc w:val="left"/>
        <w:rPr>
          <w:rFonts w:ascii="Arial Narrow" w:hAnsi="Arial Narrow"/>
          <w:sz w:val="24"/>
        </w:rPr>
      </w:pPr>
      <w:r w:rsidRPr="004E2F84">
        <w:rPr>
          <w:rFonts w:ascii="Arial Narrow" w:hAnsi="Arial Narrow"/>
          <w:b/>
          <w:bCs/>
          <w:sz w:val="24"/>
        </w:rPr>
        <w:t>Micro riego por Goteo:</w:t>
      </w:r>
      <w:r w:rsidRPr="004E2F84">
        <w:rPr>
          <w:rFonts w:ascii="Arial Narrow" w:hAnsi="Arial Narrow"/>
          <w:sz w:val="24"/>
        </w:rPr>
        <w:t> Justificar que con la misma cantidad de agua de un pozo, se puede producir el doble de café o maíz si se usa tecnología eficiente en lugar de riego por inundación.</w:t>
      </w:r>
    </w:p>
    <w:p w:rsidR="004E2F84" w:rsidRPr="004E2F84" w:rsidRDefault="004E2F84" w:rsidP="004E2F84">
      <w:pPr>
        <w:tabs>
          <w:tab w:val="left" w:pos="1335"/>
        </w:tabs>
        <w:jc w:val="left"/>
        <w:rPr>
          <w:rFonts w:ascii="Arial Narrow" w:hAnsi="Arial Narrow"/>
          <w:b/>
          <w:bCs/>
          <w:sz w:val="24"/>
        </w:rPr>
      </w:pPr>
      <w:r w:rsidRPr="004E2F84">
        <w:rPr>
          <w:rFonts w:ascii="Arial Narrow" w:hAnsi="Arial Narrow"/>
          <w:b/>
          <w:bCs/>
          <w:sz w:val="24"/>
        </w:rPr>
        <w:t>. Justificación de Seguridad: "Alertas Tempranas"</w:t>
      </w:r>
    </w:p>
    <w:p w:rsidR="004E2F84" w:rsidRPr="004E2F84" w:rsidRDefault="004E2F84" w:rsidP="004E2F84">
      <w:pPr>
        <w:tabs>
          <w:tab w:val="left" w:pos="1335"/>
        </w:tabs>
        <w:jc w:val="left"/>
        <w:rPr>
          <w:rFonts w:ascii="Arial Narrow" w:hAnsi="Arial Narrow"/>
          <w:sz w:val="24"/>
        </w:rPr>
      </w:pPr>
      <w:r w:rsidRPr="004E2F84">
        <w:rPr>
          <w:rFonts w:ascii="Arial Narrow" w:hAnsi="Arial Narrow"/>
          <w:sz w:val="24"/>
        </w:rPr>
        <w:t>En Guerrero, el problema no es solo que no llueva, sino que llueva demasiado (huracanes/tormentas).</w:t>
      </w:r>
    </w:p>
    <w:p w:rsidR="004E2F84" w:rsidRPr="004E2F84" w:rsidRDefault="004E2F84" w:rsidP="004E2F84">
      <w:pPr>
        <w:numPr>
          <w:ilvl w:val="0"/>
          <w:numId w:val="9"/>
        </w:numPr>
        <w:tabs>
          <w:tab w:val="left" w:pos="1335"/>
        </w:tabs>
        <w:jc w:val="left"/>
        <w:rPr>
          <w:rFonts w:ascii="Arial Narrow" w:hAnsi="Arial Narrow"/>
          <w:sz w:val="24"/>
        </w:rPr>
      </w:pPr>
      <w:r w:rsidRPr="004E2F84">
        <w:rPr>
          <w:rFonts w:ascii="Arial Narrow" w:hAnsi="Arial Narrow"/>
          <w:b/>
          <w:bCs/>
          <w:sz w:val="24"/>
        </w:rPr>
        <w:t>Protección de Cosecha:</w:t>
      </w:r>
      <w:r w:rsidRPr="004E2F84">
        <w:rPr>
          <w:rFonts w:ascii="Arial Narrow" w:hAnsi="Arial Narrow"/>
          <w:sz w:val="24"/>
        </w:rPr>
        <w:t> Una predicción a tiempo permite al caficultor realizar la cosecha antes de que una tormenta tire el grano o cause la "caída de fruto" por exceso de humedad.</w:t>
      </w:r>
    </w:p>
    <w:p w:rsidR="00FA45AF" w:rsidRPr="00FA45AF" w:rsidRDefault="00FA45AF" w:rsidP="00023DBB">
      <w:pPr>
        <w:tabs>
          <w:tab w:val="left" w:pos="1335"/>
        </w:tabs>
        <w:jc w:val="left"/>
        <w:rPr>
          <w:rFonts w:ascii="Arial Narrow" w:hAnsi="Arial Narrow"/>
          <w:sz w:val="24"/>
        </w:rPr>
      </w:pPr>
    </w:p>
    <w:p w:rsidR="00023DBB" w:rsidRDefault="00023DBB">
      <w:pPr>
        <w:spacing w:after="160" w:line="259" w:lineRule="auto"/>
        <w:ind w:right="0" w:firstLine="0"/>
        <w:jc w:val="left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br w:type="page"/>
      </w:r>
    </w:p>
    <w:p w:rsidR="00FA45AF" w:rsidRDefault="00023DBB" w:rsidP="00023DBB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  <w:r w:rsidRPr="00023DBB">
        <w:rPr>
          <w:rFonts w:ascii="Arial Black" w:hAnsi="Arial Black"/>
          <w:b/>
          <w:bCs/>
          <w:sz w:val="40"/>
          <w:szCs w:val="40"/>
        </w:rPr>
        <w:lastRenderedPageBreak/>
        <w:t>DETERMINACIÓN DEL ALCANCE DEL PROYECTO</w:t>
      </w:r>
      <w:r w:rsidRPr="00023DBB">
        <w:rPr>
          <w:rFonts w:ascii="Arial Black" w:hAnsi="Arial Black"/>
          <w:sz w:val="40"/>
          <w:szCs w:val="40"/>
        </w:rPr>
        <w:t>:</w:t>
      </w:r>
    </w:p>
    <w:p w:rsidR="00D954B1" w:rsidRDefault="00D954B1" w:rsidP="00023DBB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</w:p>
    <w:p w:rsidR="00401F2E" w:rsidRDefault="00401F2E">
      <w:pPr>
        <w:spacing w:after="160" w:line="259" w:lineRule="auto"/>
        <w:ind w:right="0" w:firstLine="0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sz w:val="24"/>
        </w:rPr>
        <w:br w:type="page"/>
      </w:r>
    </w:p>
    <w:p w:rsidR="00401F2E" w:rsidRDefault="00401F2E" w:rsidP="00401F2E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  <w:r w:rsidRPr="00401F2E">
        <w:rPr>
          <w:rFonts w:ascii="Arial Black" w:hAnsi="Arial Black"/>
          <w:sz w:val="40"/>
          <w:szCs w:val="40"/>
        </w:rPr>
        <w:lastRenderedPageBreak/>
        <w:t>MARCO TEÓRICO</w:t>
      </w:r>
    </w:p>
    <w:p w:rsidR="00401F2E" w:rsidRDefault="00401F2E">
      <w:pPr>
        <w:spacing w:after="160" w:line="259" w:lineRule="auto"/>
        <w:ind w:right="0" w:firstLine="0"/>
        <w:jc w:val="left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:rsidR="00BD3175" w:rsidRDefault="00401F2E" w:rsidP="00401F2E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  <w:r w:rsidRPr="00401F2E">
        <w:rPr>
          <w:rFonts w:ascii="Arial Black" w:hAnsi="Arial Black"/>
          <w:sz w:val="40"/>
          <w:szCs w:val="40"/>
        </w:rPr>
        <w:lastRenderedPageBreak/>
        <w:t>PROPUESTA DE HERRAMIENTA A UTILIZAR </w:t>
      </w:r>
    </w:p>
    <w:p w:rsidR="00BD3175" w:rsidRDefault="00BD3175">
      <w:pPr>
        <w:spacing w:after="160" w:line="259" w:lineRule="auto"/>
        <w:ind w:right="0" w:firstLine="0"/>
        <w:jc w:val="left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:rsidR="00023DBB" w:rsidRDefault="00BD3175" w:rsidP="00BD3175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  <w:r w:rsidRPr="00BD3175">
        <w:rPr>
          <w:rFonts w:ascii="Arial Black" w:hAnsi="Arial Black"/>
          <w:sz w:val="40"/>
          <w:szCs w:val="40"/>
        </w:rPr>
        <w:lastRenderedPageBreak/>
        <w:t>PLAN DE TRABAJO</w:t>
      </w:r>
    </w:p>
    <w:p w:rsidR="00BD3175" w:rsidRDefault="00BD3175">
      <w:pPr>
        <w:spacing w:after="160" w:line="259" w:lineRule="auto"/>
        <w:ind w:right="0" w:firstLine="0"/>
        <w:jc w:val="left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:rsidR="00BD3175" w:rsidRPr="00401F2E" w:rsidRDefault="00BD3175" w:rsidP="00BD3175">
      <w:pPr>
        <w:tabs>
          <w:tab w:val="left" w:pos="1335"/>
        </w:tabs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lastRenderedPageBreak/>
        <w:t xml:space="preserve">SOLUCION </w:t>
      </w:r>
    </w:p>
    <w:sectPr w:rsidR="00BD3175" w:rsidRPr="00401F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A0B"/>
    <w:multiLevelType w:val="multilevel"/>
    <w:tmpl w:val="8FE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295"/>
    <w:multiLevelType w:val="multilevel"/>
    <w:tmpl w:val="7CD0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55369"/>
    <w:multiLevelType w:val="multilevel"/>
    <w:tmpl w:val="702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D7FF5"/>
    <w:multiLevelType w:val="multilevel"/>
    <w:tmpl w:val="407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D5849"/>
    <w:multiLevelType w:val="multilevel"/>
    <w:tmpl w:val="609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F035D"/>
    <w:multiLevelType w:val="multilevel"/>
    <w:tmpl w:val="6D2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054E1"/>
    <w:multiLevelType w:val="multilevel"/>
    <w:tmpl w:val="1EE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14260"/>
    <w:multiLevelType w:val="multilevel"/>
    <w:tmpl w:val="1BE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05481"/>
    <w:multiLevelType w:val="multilevel"/>
    <w:tmpl w:val="593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31543">
    <w:abstractNumId w:val="7"/>
  </w:num>
  <w:num w:numId="2" w16cid:durableId="2027322736">
    <w:abstractNumId w:val="2"/>
  </w:num>
  <w:num w:numId="3" w16cid:durableId="289944999">
    <w:abstractNumId w:val="0"/>
  </w:num>
  <w:num w:numId="4" w16cid:durableId="667175679">
    <w:abstractNumId w:val="8"/>
  </w:num>
  <w:num w:numId="5" w16cid:durableId="2034572217">
    <w:abstractNumId w:val="6"/>
  </w:num>
  <w:num w:numId="6" w16cid:durableId="191309891">
    <w:abstractNumId w:val="3"/>
  </w:num>
  <w:num w:numId="7" w16cid:durableId="2030717402">
    <w:abstractNumId w:val="1"/>
  </w:num>
  <w:num w:numId="8" w16cid:durableId="464542017">
    <w:abstractNumId w:val="4"/>
  </w:num>
  <w:num w:numId="9" w16cid:durableId="369451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36"/>
    <w:rsid w:val="00023DBB"/>
    <w:rsid w:val="000A6C6A"/>
    <w:rsid w:val="003A401E"/>
    <w:rsid w:val="00401F2E"/>
    <w:rsid w:val="004E2F84"/>
    <w:rsid w:val="006162CC"/>
    <w:rsid w:val="00622036"/>
    <w:rsid w:val="00760CCD"/>
    <w:rsid w:val="00880F78"/>
    <w:rsid w:val="00A24D68"/>
    <w:rsid w:val="00AF4BE6"/>
    <w:rsid w:val="00B035D7"/>
    <w:rsid w:val="00B258FD"/>
    <w:rsid w:val="00B414C6"/>
    <w:rsid w:val="00BD3175"/>
    <w:rsid w:val="00BF27F8"/>
    <w:rsid w:val="00D12F0F"/>
    <w:rsid w:val="00D9333D"/>
    <w:rsid w:val="00D954B1"/>
    <w:rsid w:val="00DA15A9"/>
    <w:rsid w:val="00E03AC8"/>
    <w:rsid w:val="00E53B3C"/>
    <w:rsid w:val="00EF2021"/>
    <w:rsid w:val="00F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C383"/>
  <w15:chartTrackingRefBased/>
  <w15:docId w15:val="{4FB3CA53-38BE-4155-811A-A4816C76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36"/>
    <w:pPr>
      <w:spacing w:after="234" w:line="313" w:lineRule="auto"/>
      <w:ind w:right="1917" w:firstLine="341"/>
      <w:jc w:val="both"/>
    </w:pPr>
    <w:rPr>
      <w:rFonts w:ascii="Cambria" w:eastAsia="Cambria" w:hAnsi="Cambria" w:cs="Cambria"/>
      <w:color w:val="000000"/>
      <w:sz w:val="29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2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0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0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0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036"/>
    <w:pPr>
      <w:numPr>
        <w:ilvl w:val="1"/>
      </w:numPr>
      <w:ind w:firstLine="34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0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0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0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0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036"/>
    <w:rPr>
      <w:b/>
      <w:bCs/>
      <w:smallCaps/>
      <w:color w:val="2F5496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023DBB"/>
    <w:rPr>
      <w:i/>
      <w:iCs/>
    </w:rPr>
  </w:style>
  <w:style w:type="paragraph" w:customStyle="1" w:styleId="df3vjf">
    <w:name w:val="df3vjf"/>
    <w:basedOn w:val="Normal"/>
    <w:rsid w:val="00023DBB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286pc">
    <w:name w:val="t286pc"/>
    <w:basedOn w:val="Fuentedeprrafopredeter"/>
    <w:rsid w:val="00023DBB"/>
  </w:style>
  <w:style w:type="character" w:styleId="Fuerte">
    <w:name w:val="Strong"/>
    <w:basedOn w:val="Fuentedeprrafopredeter"/>
    <w:uiPriority w:val="22"/>
    <w:qFormat/>
    <w:rsid w:val="00023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ALDAIR</dc:creator>
  <cp:keywords/>
  <dc:description/>
  <cp:lastModifiedBy>DJ ALDAIR</cp:lastModifiedBy>
  <cp:revision>8</cp:revision>
  <dcterms:created xsi:type="dcterms:W3CDTF">2026-03-30T03:16:00Z</dcterms:created>
  <dcterms:modified xsi:type="dcterms:W3CDTF">2026-04-02T03:47:00Z</dcterms:modified>
</cp:coreProperties>
</file>