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77777777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>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lastRenderedPageBreak/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77777777"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14:paraId="37F8D412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  <w:r w:rsidR="00E02A91">
              <w:rPr>
                <w:rFonts w:ascii="Courier New" w:hAnsi="Courier New" w:cs="Courier New"/>
                <w:sz w:val="18"/>
                <w:szCs w:val="18"/>
              </w:rPr>
              <w:t xml:space="preserve"> align</w:t>
            </w:r>
          </w:p>
        </w:tc>
        <w:tc>
          <w:tcPr>
            <w:tcW w:w="3095" w:type="pct"/>
          </w:tcPr>
          <w:p w14:paraId="450F58A5" w14:textId="77777777" w:rsidR="00014684" w:rsidRDefault="00E02A91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  <w:r w:rsidR="004511E2">
              <w:rPr>
                <w:rFonts w:ascii="Garamond" w:hAnsi="Garamond" w:cs="Arial"/>
                <w:sz w:val="20"/>
                <w:szCs w:val="20"/>
              </w:rPr>
              <w:t xml:space="preserve"> count</w:t>
            </w:r>
            <w:r>
              <w:rPr>
                <w:rFonts w:ascii="Garamond" w:hAnsi="Garamond" w:cs="Arial"/>
                <w:sz w:val="20"/>
                <w:szCs w:val="20"/>
              </w:rPr>
              <w:t>, alignment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lastRenderedPageBreak/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77777777"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515B61D2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77777777"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proofErr w:type="spellStart"/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  <w:proofErr w:type="spellEnd"/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77777777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7777777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construction</w:t>
      </w:r>
    </w:p>
    <w:p w14:paraId="223D7DCB" w14:textId="77777777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77777777"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 xml:space="preserve">()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0637A38A" w14:textId="77777777" w:rsid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c;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14:paraId="1F89A1AD" w14:textId="77777777"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14:paraId="7E0C3AB1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</w:t>
      </w:r>
      <w:proofErr w:type="gramStart"/>
      <w:r>
        <w:rPr>
          <w:rFonts w:ascii="Courier New" w:hAnsi="Courier New" w:cs="Courier New"/>
          <w:sz w:val="18"/>
          <w:szCs w:val="18"/>
        </w:rPr>
        <w:t>0,r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1ABCFF56" w14:textId="77777777" w:rsidR="009A5C09" w:rsidRPr="009A5C09" w:rsidRDefault="009A5C09" w:rsidP="0088540C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77777777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14:paraId="4C4726AB" w14:textId="77777777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77777777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(“one”,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77777777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lastRenderedPageBreak/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290B96D8" w14:textId="77777777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77777777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emptyRectDom: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455633C9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 </w:t>
      </w:r>
      <w:r w:rsidR="0049756F">
        <w:rPr>
          <w:rFonts w:ascii="Courier New" w:hAnsi="Courier New" w:cs="Courier New"/>
          <w:sz w:val="18"/>
          <w:szCs w:val="18"/>
        </w:rPr>
        <w:t xml:space="preserve"> 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77777777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14:paraId="74958CBA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77777777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7777777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14:paraId="19DDFB11" w14:textId="027DEF5B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n});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75C40B8" w14:textId="77777777" w:rsidR="00D50BA8" w:rsidRDefault="00D50BA8" w:rsidP="00BA4210">
      <w:pPr>
        <w:pStyle w:val="Heading1"/>
      </w:pP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77777777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lastRenderedPageBreak/>
        <w:t xml:space="preserve">Extern </w:t>
      </w:r>
      <w:r w:rsidRPr="00BA4210">
        <w:t>Declarations</w:t>
      </w:r>
    </w:p>
    <w:p w14:paraId="3E9E077B" w14:textId="77777777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77777777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0DD40D25" w:rsidR="00263F7F" w:rsidRPr="00D4220E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6DF3ED72" w14:textId="77777777" w:rsidR="005E55D6" w:rsidRDefault="00E82316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1E9184A" w14:textId="77777777" w:rsidR="00263F7F" w:rsidRPr="009059C3" w:rsidRDefault="00263F7F" w:rsidP="000D6F5A">
      <w:pPr>
        <w:pStyle w:val="Code"/>
      </w:pP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77777777" w:rsidR="005E55D6" w:rsidRPr="005E55D6" w:rsidRDefault="00E17472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produce2(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proofErr w:type="gramStart"/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77777777" w:rsidR="00263F7F" w:rsidRPr="005E55D6" w:rsidRDefault="00263F7F" w:rsidP="000D6F5A">
      <w:pPr>
        <w:pStyle w:val="Code"/>
      </w:pP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77777777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./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77777777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77777777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77777777" w:rsidR="00263F7F" w:rsidRPr="00B81624" w:rsidRDefault="00263F7F" w:rsidP="000D6F5A">
      <w:pPr>
        <w:pStyle w:val="Code"/>
      </w:pP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77777777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14:paraId="5757C92D" w14:textId="77777777"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14:paraId="5DCDB191" w14:textId="34E23C48" w:rsidR="00956068" w:rsidRDefault="00956068" w:rsidP="005C36C0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A29D7" w:rsidRPr="003A29D7">
        <w:rPr>
          <w:rFonts w:ascii="Courier New" w:hAnsi="Courier New" w:cs="Courier New"/>
          <w:sz w:val="16"/>
          <w:szCs w:val="18"/>
        </w:rPr>
        <w:t>http://chapel.cray.com/bugs.html</w:t>
      </w:r>
      <w:bookmarkStart w:id="0" w:name="_GoBack"/>
      <w:bookmarkEnd w:id="0"/>
    </w:p>
    <w:p w14:paraId="3721E8EF" w14:textId="77777777" w:rsidR="00956068" w:rsidRDefault="00956068" w:rsidP="005C36C0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default" r:id="rId8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5ECB3" w14:textId="77777777" w:rsidR="00C365D0" w:rsidRDefault="00C365D0" w:rsidP="002B7E7F">
      <w:r>
        <w:separator/>
      </w:r>
    </w:p>
  </w:endnote>
  <w:endnote w:type="continuationSeparator" w:id="0">
    <w:p w14:paraId="0D81E2A6" w14:textId="77777777" w:rsidR="00C365D0" w:rsidRDefault="00C365D0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4EF19" w14:textId="77777777" w:rsidR="00C365D0" w:rsidRDefault="00C365D0" w:rsidP="002B7E7F">
      <w:r>
        <w:separator/>
      </w:r>
    </w:p>
  </w:footnote>
  <w:footnote w:type="continuationSeparator" w:id="0">
    <w:p w14:paraId="515AC0B2" w14:textId="77777777" w:rsidR="00C365D0" w:rsidRDefault="00C365D0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175026"/>
    <w:rsid w:val="001871B1"/>
    <w:rsid w:val="001A6E21"/>
    <w:rsid w:val="001B555D"/>
    <w:rsid w:val="001E14E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29D7"/>
    <w:rsid w:val="003B1DC4"/>
    <w:rsid w:val="003C6D45"/>
    <w:rsid w:val="00406307"/>
    <w:rsid w:val="00407E60"/>
    <w:rsid w:val="004511E2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52FE1"/>
    <w:rsid w:val="00562A8A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30CB"/>
    <w:rsid w:val="006B321B"/>
    <w:rsid w:val="006D3BA1"/>
    <w:rsid w:val="006E215A"/>
    <w:rsid w:val="006E5C24"/>
    <w:rsid w:val="006F0CD0"/>
    <w:rsid w:val="00710FC7"/>
    <w:rsid w:val="00733DAD"/>
    <w:rsid w:val="0075665C"/>
    <w:rsid w:val="00756B6E"/>
    <w:rsid w:val="00780026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F126E"/>
    <w:rsid w:val="00B07A72"/>
    <w:rsid w:val="00B13CE0"/>
    <w:rsid w:val="00B278DE"/>
    <w:rsid w:val="00B8025D"/>
    <w:rsid w:val="00B81624"/>
    <w:rsid w:val="00BA4210"/>
    <w:rsid w:val="00BB1E3E"/>
    <w:rsid w:val="00BC1234"/>
    <w:rsid w:val="00BE064B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3671"/>
    <w:rsid w:val="00CF3DFA"/>
    <w:rsid w:val="00D155CA"/>
    <w:rsid w:val="00D22F37"/>
    <w:rsid w:val="00D4084D"/>
    <w:rsid w:val="00D4220E"/>
    <w:rsid w:val="00D44349"/>
    <w:rsid w:val="00D50BA8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7478"/>
    <w:rsid w:val="00F710AF"/>
    <w:rsid w:val="00F72D9A"/>
    <w:rsid w:val="00F86280"/>
    <w:rsid w:val="00F924B6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2A862-2DCF-F846-B61A-E0F9C75C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1022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Ben Albrecht</cp:lastModifiedBy>
  <cp:revision>64</cp:revision>
  <cp:lastPrinted>2014-12-08T20:35:00Z</cp:lastPrinted>
  <dcterms:created xsi:type="dcterms:W3CDTF">2008-11-14T19:40:00Z</dcterms:created>
  <dcterms:modified xsi:type="dcterms:W3CDTF">2017-03-28T20:45:00Z</dcterms:modified>
</cp:coreProperties>
</file>