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7A699" w14:textId="6EEC1C98" w:rsidR="002367AE" w:rsidRDefault="00000000" w:rsidP="006C520B">
      <w:pPr>
        <w:rPr>
          <w:rFonts w:ascii="Segoe UI Semibold" w:hAnsi="Segoe UI Semibold"/>
          <w:sz w:val="32"/>
        </w:rPr>
        <w:sectPr w:rsidR="002367AE" w:rsidSect="002367AE">
          <w:pgSz w:w="12240" w:h="15840"/>
          <w:pgMar w:top="900" w:right="1440" w:bottom="1440" w:left="1440" w:header="720" w:footer="720" w:gutter="0"/>
          <w:cols w:space="720"/>
          <w:docGrid w:linePitch="360"/>
        </w:sectPr>
      </w:pPr>
      <w:sdt>
        <w:sdtPr>
          <w:id w:val="-958024990"/>
          <w:lock w:val="sdtContentLocked"/>
          <w:placeholder>
            <w:docPart w:val="14CA50EEA652407282928486AEB678C6"/>
          </w:placeholder>
          <w:docPartList>
            <w:docPartGallery w:val="Quick Parts"/>
          </w:docPartList>
        </w:sdtPr>
        <w:sdtContent>
          <w:r w:rsidR="002367AE">
            <w:rPr>
              <w:noProof/>
            </w:rPr>
            <mc:AlternateContent>
              <mc:Choice Requires="wps">
                <w:drawing>
                  <wp:anchor distT="0" distB="0" distL="114300" distR="114300" simplePos="0" relativeHeight="251658240" behindDoc="0" locked="0" layoutInCell="1" allowOverlap="1" wp14:anchorId="3E9B1E49" wp14:editId="5FE5B5C0">
                    <wp:simplePos x="0" y="0"/>
                    <wp:positionH relativeFrom="column">
                      <wp:posOffset>352425</wp:posOffset>
                    </wp:positionH>
                    <wp:positionV relativeFrom="paragraph">
                      <wp:posOffset>-114935</wp:posOffset>
                    </wp:positionV>
                    <wp:extent cx="54483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44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8F4B5"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7.75pt,-9.05pt" to="4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8/qAEAAKEDAAAOAAAAZHJzL2Uyb0RvYy54bWysU01v3CAQvVfKf0Dcu/Zus1VirTeHROkl&#10;SqN+5E7wsEYCBgFde/99B7zrRGlVqVEuCMO8N+89xpur0Rq2hxA1upYvFzVn4CR22u1a/vPH7ccL&#10;zmISrhMGHbT8AJFfbc8+bAbfwAp7NB0ERiQuNoNveZ+Sb6oqyh6siAv04OhSYbAi0WfYVV0QA7Fb&#10;U63q+nM1YOh8QAkx0unNdMm3hV8pkOmrUhESMy0nbamsoaxPea22G9HsgvC9lkcZ4g0qrNCOms5U&#10;NyIJ9ivoP6islgEjqrSQaCtUSksoHsjNsn7l5nsvPBQvFE70c0zx/Wjl/f7aPQSKYfCxif4hZBej&#10;CpYpo/0jvWnxRUrZWGI7zLHBmJikw/X5+cWnmtKVdHe5Xq1zqtXEktl8iOkLoGV503KjXTYlGrG/&#10;i2kqPZUQ7llH2aWDgVxs3DdQTHfUb1JURgSuTWB7QY8rpASXlsfWpTrDlDZmBtal7T+Bx/oMhTI+&#10;/wOeEaUzujSDrXYY/tY9jSfJaqo/JTD5zhE8YXcoL1SioTko4R5nNg/ay+8Cf/6ztr8BAAD//wMA&#10;UEsDBBQABgAIAAAAIQCvgAE74AAAAAoBAAAPAAAAZHJzL2Rvd25yZXYueG1sTI9NT8MwDIbvSPyH&#10;yEhc0JZ2qNUoTadpAg7jtA8kuLmNaas1TtVkXfn3ZCc4+vWj14/z1WQ6MdLgWssK4nkEgriyuuVa&#10;wfHwOluCcB5ZY2eZFPyQg1Vxe5Njpu2FdzTufS1CCbsMFTTe95mUrmrIoJvbnjjsvu1g0IdxqKUe&#10;8BLKTScXUZRKgy2HCw32tGmoOu3PRsGXs+7lY1uOb6fddsKHd7/4rLRS93fT+hmEp8n/wXDVD+pQ&#10;BKfSnlk70SlIkiSQCmbxMgYRgKf4MSTlNUlTkEUu/79Q/AIAAP//AwBQSwECLQAUAAYACAAAACEA&#10;toM4kv4AAADhAQAAEwAAAAAAAAAAAAAAAAAAAAAAW0NvbnRlbnRfVHlwZXNdLnhtbFBLAQItABQA&#10;BgAIAAAAIQA4/SH/1gAAAJQBAAALAAAAAAAAAAAAAAAAAC8BAABfcmVscy8ucmVsc1BLAQItABQA&#10;BgAIAAAAIQDQtn8/qAEAAKEDAAAOAAAAAAAAAAAAAAAAAC4CAABkcnMvZTJvRG9jLnhtbFBLAQIt&#10;ABQABgAIAAAAIQCvgAE74AAAAAoBAAAPAAAAAAAAAAAAAAAAAAIEAABkcnMvZG93bnJldi54bWxQ&#10;SwUGAAAAAAQABADzAAAADwUAAAAA&#10;" strokecolor="maroon [3204]" strokeweight=".5pt">
                    <v:stroke joinstyle="miter"/>
                  </v:line>
                </w:pict>
              </mc:Fallback>
            </mc:AlternateContent>
          </w:r>
        </w:sdtContent>
      </w:sdt>
    </w:p>
    <w:p w14:paraId="492AE860" w14:textId="77777777" w:rsidR="00B137F9" w:rsidRDefault="008E248A" w:rsidP="008E248A">
      <w:pPr>
        <w:tabs>
          <w:tab w:val="left" w:pos="450"/>
        </w:tabs>
        <w:spacing w:after="0"/>
        <w:jc w:val="center"/>
        <w:rPr>
          <w:rFonts w:ascii="Segoe UI" w:hAnsi="Segoe UI" w:cs="Segoe UI"/>
          <w:b/>
          <w:bCs/>
          <w:sz w:val="24"/>
          <w:szCs w:val="24"/>
        </w:rPr>
      </w:pPr>
      <w:r w:rsidRPr="008E248A">
        <w:rPr>
          <w:rFonts w:ascii="Segoe UI" w:hAnsi="Segoe UI" w:cs="Segoe UI"/>
          <w:b/>
          <w:bCs/>
          <w:sz w:val="24"/>
          <w:szCs w:val="24"/>
        </w:rPr>
        <w:t xml:space="preserve">Summarized Methodology for </w:t>
      </w:r>
    </w:p>
    <w:p w14:paraId="7F5E113C" w14:textId="0C7BED59" w:rsidR="008E248A" w:rsidRDefault="00B137F9" w:rsidP="008E248A">
      <w:pPr>
        <w:tabs>
          <w:tab w:val="left" w:pos="450"/>
        </w:tabs>
        <w:spacing w:after="0"/>
        <w:jc w:val="center"/>
        <w:rPr>
          <w:rFonts w:ascii="Segoe UI" w:hAnsi="Segoe UI" w:cs="Segoe UI"/>
          <w:b/>
          <w:bCs/>
          <w:sz w:val="24"/>
          <w:szCs w:val="24"/>
        </w:rPr>
      </w:pPr>
      <w:r w:rsidRPr="00B137F9">
        <w:rPr>
          <w:rFonts w:ascii="Segoe UI" w:hAnsi="Segoe UI" w:cs="Segoe UI"/>
          <w:b/>
          <w:bCs/>
          <w:sz w:val="24"/>
          <w:szCs w:val="24"/>
        </w:rPr>
        <w:t>Estimates of Local Populations Eligible for Programs</w:t>
      </w:r>
      <w:r>
        <w:rPr>
          <w:rFonts w:ascii="Segoe UI" w:hAnsi="Segoe UI" w:cs="Segoe UI"/>
          <w:b/>
          <w:bCs/>
          <w:sz w:val="24"/>
          <w:szCs w:val="24"/>
        </w:rPr>
        <w:t xml:space="preserve"> (ELPEP)</w:t>
      </w:r>
    </w:p>
    <w:p w14:paraId="7F1C65B0" w14:textId="61607A6A" w:rsidR="00B137F9" w:rsidRPr="008E248A" w:rsidRDefault="00B137F9" w:rsidP="008E248A">
      <w:pPr>
        <w:tabs>
          <w:tab w:val="left" w:pos="450"/>
        </w:tabs>
        <w:spacing w:after="0"/>
        <w:jc w:val="center"/>
        <w:rPr>
          <w:rFonts w:ascii="Segoe UI" w:hAnsi="Segoe UI" w:cs="Segoe UI"/>
          <w:b/>
          <w:bCs/>
          <w:sz w:val="24"/>
          <w:szCs w:val="24"/>
        </w:rPr>
      </w:pPr>
      <w:r>
        <w:rPr>
          <w:rFonts w:ascii="Segoe UI" w:hAnsi="Segoe UI" w:cs="Segoe UI"/>
          <w:b/>
          <w:bCs/>
          <w:sz w:val="24"/>
          <w:szCs w:val="24"/>
        </w:rPr>
        <w:t>Illinois CCAP Application</w:t>
      </w:r>
    </w:p>
    <w:p w14:paraId="1B2DCC5B" w14:textId="77777777" w:rsidR="008E248A" w:rsidRPr="008E248A" w:rsidRDefault="008E248A" w:rsidP="008E248A">
      <w:pPr>
        <w:tabs>
          <w:tab w:val="left" w:pos="450"/>
        </w:tabs>
        <w:spacing w:after="0"/>
        <w:jc w:val="center"/>
        <w:rPr>
          <w:rFonts w:ascii="Segoe UI" w:hAnsi="Segoe UI" w:cs="Segoe UI"/>
        </w:rPr>
      </w:pPr>
    </w:p>
    <w:p w14:paraId="381F7736" w14:textId="34075028" w:rsidR="008E248A" w:rsidRPr="008E248A" w:rsidRDefault="008E248A" w:rsidP="00657256">
      <w:pPr>
        <w:tabs>
          <w:tab w:val="left" w:pos="450"/>
        </w:tabs>
        <w:spacing w:after="0"/>
        <w:jc w:val="center"/>
        <w:rPr>
          <w:rFonts w:ascii="Segoe UI" w:hAnsi="Segoe UI" w:cs="Segoe UI"/>
        </w:rPr>
      </w:pPr>
      <w:r w:rsidRPr="008E248A">
        <w:rPr>
          <w:rFonts w:ascii="Segoe UI" w:hAnsi="Segoe UI" w:cs="Segoe UI"/>
        </w:rPr>
        <w:t xml:space="preserve">Developed by: </w:t>
      </w:r>
      <w:r w:rsidR="00657256">
        <w:rPr>
          <w:rFonts w:ascii="Segoe UI" w:hAnsi="Segoe UI" w:cs="Segoe UI"/>
        </w:rPr>
        <w:t>N</w:t>
      </w:r>
      <w:r w:rsidR="00D65E6C">
        <w:rPr>
          <w:rFonts w:ascii="Segoe UI" w:hAnsi="Segoe UI" w:cs="Segoe UI"/>
        </w:rPr>
        <w:t>ORC at the University of Chicago</w:t>
      </w:r>
      <w:r w:rsidR="00657256">
        <w:rPr>
          <w:rStyle w:val="FootnoteReference"/>
          <w:rFonts w:ascii="Segoe UI" w:hAnsi="Segoe UI" w:cs="Segoe UI"/>
        </w:rPr>
        <w:footnoteReference w:id="2"/>
      </w:r>
    </w:p>
    <w:p w14:paraId="76A6F722" w14:textId="77777777" w:rsidR="008D5821" w:rsidRDefault="008E248A" w:rsidP="008E248A">
      <w:pPr>
        <w:tabs>
          <w:tab w:val="left" w:pos="450"/>
        </w:tabs>
        <w:spacing w:after="0"/>
        <w:jc w:val="center"/>
        <w:rPr>
          <w:rFonts w:ascii="Segoe UI" w:hAnsi="Segoe UI" w:cs="Segoe UI"/>
        </w:rPr>
      </w:pPr>
      <w:r w:rsidRPr="008E248A">
        <w:rPr>
          <w:rFonts w:ascii="Segoe UI" w:hAnsi="Segoe UI" w:cs="Segoe UI"/>
        </w:rPr>
        <w:t xml:space="preserve">Draft date: </w:t>
      </w:r>
      <w:r w:rsidR="00AE1E71">
        <w:rPr>
          <w:rFonts w:ascii="Segoe UI" w:hAnsi="Segoe UI" w:cs="Segoe UI"/>
        </w:rPr>
        <w:t>January</w:t>
      </w:r>
      <w:r w:rsidR="00D65E6C">
        <w:rPr>
          <w:rFonts w:ascii="Segoe UI" w:hAnsi="Segoe UI" w:cs="Segoe UI"/>
        </w:rPr>
        <w:t xml:space="preserve"> 202</w:t>
      </w:r>
      <w:r w:rsidR="00AE1E71">
        <w:rPr>
          <w:rFonts w:ascii="Segoe UI" w:hAnsi="Segoe UI" w:cs="Segoe UI"/>
        </w:rPr>
        <w:t>5</w:t>
      </w:r>
    </w:p>
    <w:p w14:paraId="5F3634BD" w14:textId="389FB531" w:rsidR="007E26C5" w:rsidRPr="00D52803" w:rsidRDefault="008D5821" w:rsidP="008E248A">
      <w:pPr>
        <w:tabs>
          <w:tab w:val="left" w:pos="450"/>
        </w:tabs>
        <w:spacing w:after="0"/>
        <w:jc w:val="center"/>
        <w:rPr>
          <w:rFonts w:ascii="Segoe UI Semibold" w:hAnsi="Segoe UI Semibold"/>
        </w:rPr>
      </w:pPr>
      <w:r>
        <w:rPr>
          <w:rFonts w:ascii="Segoe UI" w:hAnsi="Segoe UI" w:cs="Segoe UI"/>
        </w:rPr>
        <w:t>Prepared by Nick Mader (mader-nick1@norc.org)</w:t>
      </w:r>
      <w:r w:rsidR="002D3DC0">
        <w:rPr>
          <w:rFonts w:ascii="Segoe UI Semibold" w:hAnsi="Segoe UI Semibold"/>
        </w:rPr>
        <w:br/>
      </w:r>
    </w:p>
    <w:p w14:paraId="11420D70" w14:textId="52F0EABB" w:rsidR="007E26C5" w:rsidRPr="00D52803" w:rsidRDefault="007E26C5" w:rsidP="0011304C">
      <w:pPr>
        <w:pStyle w:val="Heading2"/>
        <w:rPr>
          <w:color w:val="auto"/>
        </w:rPr>
      </w:pPr>
      <w:r w:rsidRPr="00D52803">
        <w:rPr>
          <w:color w:val="auto"/>
        </w:rPr>
        <w:t>Introduction</w:t>
      </w:r>
    </w:p>
    <w:p w14:paraId="0A333AC2" w14:textId="1B98EE9C" w:rsidR="0078546C" w:rsidRDefault="00D65E6C" w:rsidP="007676EF">
      <w:pPr>
        <w:tabs>
          <w:tab w:val="left" w:pos="1200"/>
        </w:tabs>
        <w:jc w:val="both"/>
        <w:rPr>
          <w:rFonts w:ascii="Segoe UI" w:hAnsi="Segoe UI" w:cs="Segoe UI"/>
        </w:rPr>
      </w:pPr>
      <w:r>
        <w:rPr>
          <w:rFonts w:ascii="Segoe UI" w:hAnsi="Segoe UI" w:cs="Segoe UI"/>
        </w:rPr>
        <w:t xml:space="preserve">NORC </w:t>
      </w:r>
      <w:r w:rsidR="008E248A" w:rsidRPr="00F84B8C">
        <w:rPr>
          <w:rFonts w:ascii="Segoe UI" w:hAnsi="Segoe UI" w:cs="Segoe UI"/>
        </w:rPr>
        <w:t>researchers have developed a new statistical methodology for estimating the number of children whose families are eligible for subsidies through the Child Care Assistance Program (CCAP)</w:t>
      </w:r>
      <w:r w:rsidR="008E248A">
        <w:rPr>
          <w:rFonts w:ascii="Segoe UI" w:hAnsi="Segoe UI" w:cs="Segoe UI"/>
        </w:rPr>
        <w:t xml:space="preserve"> in Illinois</w:t>
      </w:r>
      <w:r w:rsidR="008E248A" w:rsidRPr="00F84B8C">
        <w:rPr>
          <w:rFonts w:ascii="Segoe UI" w:hAnsi="Segoe UI" w:cs="Segoe UI"/>
        </w:rPr>
        <w:t>.</w:t>
      </w:r>
      <w:r w:rsidR="00791D73" w:rsidRPr="00F84B8C">
        <w:rPr>
          <w:rStyle w:val="FootnoteReference"/>
          <w:rFonts w:ascii="Segoe UI" w:hAnsi="Segoe UI" w:cs="Segoe UI"/>
        </w:rPr>
        <w:footnoteReference w:id="3"/>
      </w:r>
      <w:r w:rsidR="00791D73" w:rsidRPr="00F84B8C">
        <w:rPr>
          <w:rFonts w:ascii="Segoe UI" w:hAnsi="Segoe UI" w:cs="Segoe UI"/>
        </w:rPr>
        <w:t xml:space="preserve"> </w:t>
      </w:r>
      <w:r w:rsidR="00EA545F" w:rsidRPr="00F84B8C">
        <w:rPr>
          <w:rFonts w:ascii="Segoe UI" w:hAnsi="Segoe UI" w:cs="Segoe UI"/>
        </w:rPr>
        <w:t xml:space="preserve">In our present approach, we </w:t>
      </w:r>
      <w:r w:rsidR="008E248A">
        <w:rPr>
          <w:rFonts w:ascii="Segoe UI" w:hAnsi="Segoe UI" w:cs="Segoe UI"/>
        </w:rPr>
        <w:t xml:space="preserve">develop estimates </w:t>
      </w:r>
      <w:r w:rsidR="008E248A" w:rsidRPr="00F84B8C">
        <w:rPr>
          <w:rFonts w:ascii="Segoe UI" w:hAnsi="Segoe UI" w:cs="Segoe UI"/>
        </w:rPr>
        <w:t>at levels of geographic detail that are as small as Census Tracts</w:t>
      </w:r>
      <w:r w:rsidR="008E248A" w:rsidRPr="00F84B8C">
        <w:rPr>
          <w:rStyle w:val="FootnoteReference"/>
          <w:rFonts w:ascii="Segoe UI" w:hAnsi="Segoe UI" w:cs="Segoe UI"/>
        </w:rPr>
        <w:footnoteReference w:id="4"/>
      </w:r>
      <w:r w:rsidR="008E248A">
        <w:rPr>
          <w:rFonts w:ascii="Segoe UI" w:hAnsi="Segoe UI" w:cs="Segoe UI"/>
        </w:rPr>
        <w:t xml:space="preserve"> and</w:t>
      </w:r>
      <w:r w:rsidR="008E248A" w:rsidRPr="00F84B8C">
        <w:rPr>
          <w:rFonts w:ascii="Segoe UI" w:hAnsi="Segoe UI" w:cs="Segoe UI"/>
        </w:rPr>
        <w:t xml:space="preserve"> </w:t>
      </w:r>
      <w:r w:rsidR="00045C9C" w:rsidRPr="00F84B8C">
        <w:rPr>
          <w:rFonts w:ascii="Segoe UI" w:hAnsi="Segoe UI" w:cs="Segoe UI"/>
        </w:rPr>
        <w:t xml:space="preserve">aggregate estimates to </w:t>
      </w:r>
      <w:r w:rsidR="00086CEA" w:rsidRPr="00F84B8C">
        <w:rPr>
          <w:rFonts w:ascii="Segoe UI" w:hAnsi="Segoe UI" w:cs="Segoe UI"/>
        </w:rPr>
        <w:t>the level of</w:t>
      </w:r>
      <w:r w:rsidR="00086CEA" w:rsidRPr="662A20EE">
        <w:rPr>
          <w:rFonts w:ascii="Segoe UI" w:hAnsi="Segoe UI" w:cs="Segoe UI"/>
        </w:rPr>
        <w:t xml:space="preserve"> </w:t>
      </w:r>
      <w:r w:rsidR="000011BD" w:rsidRPr="662A20EE">
        <w:rPr>
          <w:rFonts w:ascii="Segoe UI" w:hAnsi="Segoe UI" w:cs="Segoe UI"/>
        </w:rPr>
        <w:t>zip codes</w:t>
      </w:r>
      <w:r w:rsidR="00FA4330" w:rsidRPr="00F84B8C">
        <w:rPr>
          <w:rStyle w:val="FootnoteReference"/>
          <w:rFonts w:ascii="Segoe UI" w:hAnsi="Segoe UI" w:cs="Segoe UI"/>
        </w:rPr>
        <w:footnoteReference w:id="5"/>
      </w:r>
      <w:r w:rsidR="00086CEA" w:rsidRPr="00F84B8C">
        <w:rPr>
          <w:rFonts w:ascii="Segoe UI" w:hAnsi="Segoe UI" w:cs="Segoe UI"/>
        </w:rPr>
        <w:t xml:space="preserve">, </w:t>
      </w:r>
      <w:r w:rsidR="001221B9" w:rsidRPr="662A20EE">
        <w:rPr>
          <w:rFonts w:ascii="Segoe UI" w:hAnsi="Segoe UI" w:cs="Segoe UI"/>
        </w:rPr>
        <w:t>c</w:t>
      </w:r>
      <w:r w:rsidR="003F2BAC" w:rsidRPr="00F84B8C">
        <w:rPr>
          <w:rFonts w:ascii="Segoe UI" w:hAnsi="Segoe UI" w:cs="Segoe UI"/>
        </w:rPr>
        <w:t>ounties</w:t>
      </w:r>
      <w:r w:rsidR="008C180D">
        <w:rPr>
          <w:rFonts w:ascii="Segoe UI" w:hAnsi="Segoe UI" w:cs="Segoe UI"/>
        </w:rPr>
        <w:t xml:space="preserve"> school districts</w:t>
      </w:r>
      <w:r w:rsidR="003F2BAC" w:rsidRPr="00F84B8C">
        <w:rPr>
          <w:rFonts w:ascii="Segoe UI" w:hAnsi="Segoe UI" w:cs="Segoe UI"/>
        </w:rPr>
        <w:t xml:space="preserve">, and </w:t>
      </w:r>
      <w:r w:rsidR="005B3B0A">
        <w:rPr>
          <w:rFonts w:ascii="Segoe UI" w:hAnsi="Segoe UI" w:cs="Segoe UI"/>
        </w:rPr>
        <w:t>Child Care Resource and Referral (CCR&amp;R) agency</w:t>
      </w:r>
      <w:r w:rsidR="00EF7841">
        <w:rPr>
          <w:rFonts w:ascii="Segoe UI" w:hAnsi="Segoe UI" w:cs="Segoe UI"/>
        </w:rPr>
        <w:t xml:space="preserve"> region,</w:t>
      </w:r>
      <w:r w:rsidR="008E248A">
        <w:rPr>
          <w:rFonts w:ascii="Segoe UI" w:hAnsi="Segoe UI" w:cs="Segoe UI"/>
        </w:rPr>
        <w:t xml:space="preserve"> and by multiple youth age ranges (0-2, 3-5, 0-5, and 6-12).</w:t>
      </w:r>
    </w:p>
    <w:p w14:paraId="231BFFAB" w14:textId="67F74A11" w:rsidR="008E248A" w:rsidRPr="00F84B8C" w:rsidRDefault="008E248A" w:rsidP="007676EF">
      <w:pPr>
        <w:tabs>
          <w:tab w:val="left" w:pos="1200"/>
        </w:tabs>
        <w:jc w:val="both"/>
        <w:rPr>
          <w:rFonts w:ascii="Segoe UI" w:hAnsi="Segoe UI" w:cs="Segoe UI"/>
        </w:rPr>
      </w:pPr>
      <w:r>
        <w:rPr>
          <w:rFonts w:ascii="Segoe UI" w:hAnsi="Segoe UI" w:cs="Segoe UI"/>
        </w:rPr>
        <w:t xml:space="preserve">This document describes an application of the estimation method to Illinois CCAP. The method is flexible and can be adapted to other programs and jurisdictions with attention to aligning program criteria to the information available in the Census data sources. </w:t>
      </w:r>
    </w:p>
    <w:p w14:paraId="48BF919C" w14:textId="1B9663B0" w:rsidR="008A675D" w:rsidRPr="008554E3" w:rsidRDefault="008A675D" w:rsidP="0011304C">
      <w:pPr>
        <w:pStyle w:val="Heading2"/>
      </w:pPr>
      <w:r w:rsidRPr="00D52803">
        <w:rPr>
          <w:color w:val="auto"/>
        </w:rPr>
        <w:t>Methodology</w:t>
      </w:r>
    </w:p>
    <w:p w14:paraId="73750B6C" w14:textId="37AB1810" w:rsidR="006A69B4" w:rsidRPr="004B4B28" w:rsidRDefault="000F75A0" w:rsidP="004B4B28">
      <w:pPr>
        <w:tabs>
          <w:tab w:val="left" w:pos="1200"/>
        </w:tabs>
        <w:jc w:val="both"/>
        <w:rPr>
          <w:rFonts w:ascii="Segoe UI" w:hAnsi="Segoe UI" w:cs="Segoe UI"/>
        </w:rPr>
      </w:pPr>
      <w:r w:rsidRPr="00F84B8C">
        <w:rPr>
          <w:rFonts w:ascii="Segoe UI" w:hAnsi="Segoe UI" w:cs="Segoe UI"/>
        </w:rPr>
        <w:t xml:space="preserve">This section provides a summary explanation of the statistical analysis and assumptions behind the methodology. </w:t>
      </w:r>
      <w:r w:rsidR="49A67F1A" w:rsidRPr="00F84B8C">
        <w:rPr>
          <w:rFonts w:ascii="Segoe UI" w:hAnsi="Segoe UI" w:cs="Segoe UI"/>
        </w:rPr>
        <w:t xml:space="preserve">Our approach uses a combination of statistical methods to </w:t>
      </w:r>
      <w:r w:rsidR="42B442F5" w:rsidRPr="00F84B8C">
        <w:rPr>
          <w:rFonts w:ascii="Segoe UI" w:hAnsi="Segoe UI" w:cs="Segoe UI"/>
        </w:rPr>
        <w:t>produce estimates</w:t>
      </w:r>
      <w:r w:rsidR="42B442F5">
        <w:rPr>
          <w:rFonts w:ascii="Segoe UI" w:hAnsi="Segoe UI" w:cs="Segoe UI"/>
        </w:rPr>
        <w:t xml:space="preserve"> </w:t>
      </w:r>
      <w:r w:rsidR="006A69B4">
        <w:rPr>
          <w:rFonts w:ascii="Segoe UI" w:hAnsi="Segoe UI" w:cs="Segoe UI"/>
        </w:rPr>
        <w:t>of children in CCAP eligible families</w:t>
      </w:r>
      <w:r w:rsidR="42B442F5" w:rsidRPr="00F84B8C">
        <w:rPr>
          <w:rFonts w:ascii="Segoe UI" w:hAnsi="Segoe UI" w:cs="Segoe UI"/>
        </w:rPr>
        <w:t xml:space="preserve"> </w:t>
      </w:r>
      <w:r w:rsidR="000011BD" w:rsidRPr="00F84B8C">
        <w:rPr>
          <w:rFonts w:ascii="Segoe UI" w:hAnsi="Segoe UI" w:cs="Segoe UI"/>
        </w:rPr>
        <w:t>using the R programming language.</w:t>
      </w:r>
      <w:r w:rsidR="5971AD98" w:rsidRPr="00F84B8C">
        <w:rPr>
          <w:rFonts w:ascii="Segoe UI" w:hAnsi="Segoe UI" w:cs="Segoe UI"/>
        </w:rPr>
        <w:t xml:space="preserve"> </w:t>
      </w:r>
      <w:r w:rsidR="000011BD" w:rsidRPr="00F84B8C">
        <w:rPr>
          <w:rFonts w:ascii="Segoe UI" w:hAnsi="Segoe UI" w:cs="Segoe UI"/>
        </w:rPr>
        <w:t>We use</w:t>
      </w:r>
      <w:r w:rsidR="5971AD98" w:rsidRPr="00F84B8C">
        <w:rPr>
          <w:rFonts w:ascii="Segoe UI" w:hAnsi="Segoe UI" w:cs="Segoe UI"/>
        </w:rPr>
        <w:t xml:space="preserve"> </w:t>
      </w:r>
      <w:r w:rsidR="006A69B4">
        <w:rPr>
          <w:rFonts w:ascii="Segoe UI" w:hAnsi="Segoe UI" w:cs="Segoe UI"/>
        </w:rPr>
        <w:t>a selection of</w:t>
      </w:r>
      <w:r w:rsidR="45B0797C" w:rsidRPr="00F84B8C">
        <w:rPr>
          <w:rFonts w:ascii="Segoe UI" w:hAnsi="Segoe UI" w:cs="Segoe UI"/>
        </w:rPr>
        <w:t xml:space="preserve"> public Census data releases with complementary </w:t>
      </w:r>
      <w:r w:rsidR="715D5092" w:rsidRPr="00F84B8C">
        <w:rPr>
          <w:rFonts w:ascii="Segoe UI" w:hAnsi="Segoe UI" w:cs="Segoe UI"/>
        </w:rPr>
        <w:t>strengths</w:t>
      </w:r>
      <w:r w:rsidR="006A69B4">
        <w:rPr>
          <w:rFonts w:ascii="Segoe UI" w:hAnsi="Segoe UI" w:cs="Segoe UI"/>
        </w:rPr>
        <w:t xml:space="preserve"> that together contain the necessary </w:t>
      </w:r>
      <w:r w:rsidR="006A69B4" w:rsidRPr="004B4B28">
        <w:rPr>
          <w:rFonts w:ascii="Segoe UI" w:hAnsi="Segoe UI" w:cs="Segoe UI"/>
        </w:rPr>
        <w:t>measures of CCAP eligibility for households with young children</w:t>
      </w:r>
      <w:r w:rsidR="006A69B4">
        <w:rPr>
          <w:rFonts w:ascii="Segoe UI" w:hAnsi="Segoe UI" w:cs="Segoe UI"/>
        </w:rPr>
        <w:t xml:space="preserve">, and </w:t>
      </w:r>
      <w:r w:rsidR="006A69B4" w:rsidRPr="008554E3">
        <w:rPr>
          <w:rFonts w:ascii="Segoe UI" w:hAnsi="Segoe UI" w:cs="Segoe UI"/>
        </w:rPr>
        <w:t>reflect the near-present</w:t>
      </w:r>
      <w:r w:rsidR="006A69B4">
        <w:rPr>
          <w:rFonts w:ascii="Segoe UI" w:hAnsi="Segoe UI" w:cs="Segoe UI"/>
        </w:rPr>
        <w:t xml:space="preserve">, </w:t>
      </w:r>
      <w:r w:rsidR="006A69B4" w:rsidRPr="008554E3">
        <w:rPr>
          <w:rFonts w:ascii="Segoe UI" w:hAnsi="Segoe UI" w:cs="Segoe UI"/>
        </w:rPr>
        <w:t>for geographic areas that plausibl</w:t>
      </w:r>
      <w:r w:rsidR="006A69B4">
        <w:rPr>
          <w:rFonts w:ascii="Segoe UI" w:hAnsi="Segoe UI" w:cs="Segoe UI"/>
        </w:rPr>
        <w:t>y</w:t>
      </w:r>
      <w:r w:rsidR="006A69B4" w:rsidRPr="008554E3">
        <w:rPr>
          <w:rFonts w:ascii="Segoe UI" w:hAnsi="Segoe UI" w:cs="Segoe UI"/>
        </w:rPr>
        <w:t xml:space="preserve"> reflect local childcare markets relevant to any given household</w:t>
      </w:r>
      <w:r w:rsidR="006A69B4">
        <w:rPr>
          <w:rFonts w:ascii="Segoe UI" w:hAnsi="Segoe UI" w:cs="Segoe UI"/>
        </w:rPr>
        <w:t xml:space="preserve">. </w:t>
      </w:r>
    </w:p>
    <w:p w14:paraId="01D7087A" w14:textId="3AE36F0F" w:rsidR="0064510C" w:rsidRPr="00F84B8C" w:rsidRDefault="006A69B4" w:rsidP="007676EF">
      <w:pPr>
        <w:tabs>
          <w:tab w:val="left" w:pos="1200"/>
        </w:tabs>
        <w:jc w:val="both"/>
        <w:rPr>
          <w:rFonts w:ascii="Segoe UI" w:hAnsi="Segoe UI" w:cs="Segoe UI"/>
        </w:rPr>
      </w:pPr>
      <w:r>
        <w:rPr>
          <w:rFonts w:ascii="Segoe UI" w:hAnsi="Segoe UI" w:cs="Segoe UI"/>
        </w:rPr>
        <w:t>The three data sources included in the</w:t>
      </w:r>
      <w:r w:rsidR="0000314A">
        <w:rPr>
          <w:rFonts w:ascii="Segoe UI" w:hAnsi="Segoe UI" w:cs="Segoe UI"/>
        </w:rPr>
        <w:t xml:space="preserve"> </w:t>
      </w:r>
      <w:r>
        <w:rPr>
          <w:rFonts w:ascii="Segoe UI" w:hAnsi="Segoe UI" w:cs="Segoe UI"/>
        </w:rPr>
        <w:t>model are:</w:t>
      </w:r>
    </w:p>
    <w:p w14:paraId="1F48366D" w14:textId="4228646C" w:rsidR="00B55903" w:rsidRPr="00F84B8C" w:rsidRDefault="254CB836" w:rsidP="43E7CD68">
      <w:pPr>
        <w:pStyle w:val="ListParagraph"/>
        <w:numPr>
          <w:ilvl w:val="0"/>
          <w:numId w:val="7"/>
        </w:numPr>
        <w:tabs>
          <w:tab w:val="left" w:pos="1200"/>
        </w:tabs>
        <w:jc w:val="both"/>
        <w:rPr>
          <w:rFonts w:ascii="Segoe UI" w:hAnsi="Segoe UI" w:cs="Segoe UI"/>
        </w:rPr>
      </w:pPr>
      <w:r w:rsidRPr="00F84B8C">
        <w:rPr>
          <w:rFonts w:ascii="Segoe UI" w:hAnsi="Segoe UI" w:cs="Segoe UI"/>
          <w:b/>
        </w:rPr>
        <w:t>American Community Survey 1-Year</w:t>
      </w:r>
      <w:r w:rsidR="66EE7B3D" w:rsidRPr="00F84B8C">
        <w:rPr>
          <w:rFonts w:ascii="Segoe UI" w:hAnsi="Segoe UI" w:cs="Segoe UI"/>
          <w:b/>
        </w:rPr>
        <w:t xml:space="preserve"> ("ACS1") </w:t>
      </w:r>
      <w:r w:rsidR="28E9046B" w:rsidRPr="00F84B8C">
        <w:rPr>
          <w:rFonts w:ascii="Segoe UI" w:hAnsi="Segoe UI" w:cs="Segoe UI"/>
          <w:b/>
        </w:rPr>
        <w:t>m</w:t>
      </w:r>
      <w:r w:rsidR="66EE7B3D" w:rsidRPr="00F84B8C">
        <w:rPr>
          <w:rFonts w:ascii="Segoe UI" w:hAnsi="Segoe UI" w:cs="Segoe UI"/>
          <w:b/>
        </w:rPr>
        <w:t>icrodata</w:t>
      </w:r>
      <w:r w:rsidR="66EE7B3D" w:rsidRPr="00F84B8C">
        <w:rPr>
          <w:rFonts w:ascii="Segoe UI" w:hAnsi="Segoe UI" w:cs="Segoe UI"/>
        </w:rPr>
        <w:t xml:space="preserve"> – The ACS1 </w:t>
      </w:r>
      <w:r w:rsidR="1230E973" w:rsidRPr="00F84B8C">
        <w:rPr>
          <w:rFonts w:ascii="Segoe UI" w:hAnsi="Segoe UI" w:cs="Segoe UI"/>
        </w:rPr>
        <w:t xml:space="preserve">microdata </w:t>
      </w:r>
      <w:r w:rsidR="37BDDF28" w:rsidRPr="00F84B8C">
        <w:rPr>
          <w:rFonts w:ascii="Segoe UI" w:hAnsi="Segoe UI" w:cs="Segoe UI"/>
        </w:rPr>
        <w:t>has</w:t>
      </w:r>
      <w:r w:rsidR="58B9AE53" w:rsidRPr="00F84B8C">
        <w:rPr>
          <w:rFonts w:ascii="Segoe UI" w:hAnsi="Segoe UI" w:cs="Segoe UI"/>
        </w:rPr>
        <w:t xml:space="preserve"> information about each member of </w:t>
      </w:r>
      <w:r w:rsidR="75125BFE" w:rsidRPr="00F84B8C">
        <w:rPr>
          <w:rFonts w:ascii="Segoe UI" w:hAnsi="Segoe UI" w:cs="Segoe UI"/>
        </w:rPr>
        <w:t xml:space="preserve">surveyed households, including age, employment and school attendance status, and income. This </w:t>
      </w:r>
      <w:r w:rsidR="7B05B9F6" w:rsidRPr="00F84B8C">
        <w:rPr>
          <w:rFonts w:ascii="Segoe UI" w:hAnsi="Segoe UI" w:cs="Segoe UI"/>
        </w:rPr>
        <w:t xml:space="preserve">makes it possible to determine </w:t>
      </w:r>
      <w:r w:rsidR="1C9DF6E8" w:rsidRPr="00F84B8C">
        <w:rPr>
          <w:rFonts w:ascii="Segoe UI" w:hAnsi="Segoe UI" w:cs="Segoe UI"/>
        </w:rPr>
        <w:t xml:space="preserve">which—and </w:t>
      </w:r>
      <w:r w:rsidR="1470B041" w:rsidRPr="00F84B8C">
        <w:rPr>
          <w:rFonts w:ascii="Segoe UI" w:hAnsi="Segoe UI" w:cs="Segoe UI"/>
        </w:rPr>
        <w:lastRenderedPageBreak/>
        <w:t>what proportion of</w:t>
      </w:r>
      <w:r w:rsidR="1C9DF6E8" w:rsidRPr="00F84B8C">
        <w:rPr>
          <w:rFonts w:ascii="Segoe UI" w:hAnsi="Segoe UI" w:cs="Segoe UI"/>
        </w:rPr>
        <w:t xml:space="preserve">—children are in CCAP-eligible households. However, ACS1 data are only as geographically specific as the Census </w:t>
      </w:r>
      <w:r w:rsidR="75125BFE" w:rsidRPr="00F84B8C">
        <w:rPr>
          <w:rFonts w:ascii="Segoe UI" w:hAnsi="Segoe UI" w:cs="Segoe UI"/>
        </w:rPr>
        <w:t>Public Use Microdata Code (PUMA)</w:t>
      </w:r>
      <w:r w:rsidR="00B55903" w:rsidRPr="00F84B8C">
        <w:rPr>
          <w:rStyle w:val="FootnoteReference"/>
          <w:rFonts w:ascii="Segoe UI" w:hAnsi="Segoe UI" w:cs="Segoe UI"/>
        </w:rPr>
        <w:footnoteReference w:id="6"/>
      </w:r>
      <w:r w:rsidR="75125BFE" w:rsidRPr="00F84B8C">
        <w:rPr>
          <w:rFonts w:ascii="Segoe UI" w:hAnsi="Segoe UI" w:cs="Segoe UI"/>
        </w:rPr>
        <w:t xml:space="preserve"> level</w:t>
      </w:r>
      <w:r w:rsidR="5FC67C16" w:rsidRPr="00F84B8C">
        <w:rPr>
          <w:rFonts w:ascii="Segoe UI" w:hAnsi="Segoe UI" w:cs="Segoe UI"/>
        </w:rPr>
        <w:t>, which reflects areas with a</w:t>
      </w:r>
      <w:r w:rsidR="2942B002" w:rsidRPr="00F84B8C">
        <w:rPr>
          <w:rFonts w:ascii="Segoe UI" w:hAnsi="Segoe UI" w:cs="Segoe UI"/>
        </w:rPr>
        <w:t xml:space="preserve"> minimum of</w:t>
      </w:r>
      <w:r w:rsidR="5FC67C16" w:rsidRPr="00F84B8C">
        <w:rPr>
          <w:rFonts w:ascii="Segoe UI" w:hAnsi="Segoe UI" w:cs="Segoe UI"/>
        </w:rPr>
        <w:t xml:space="preserve"> 100,000 individuals. For example, there </w:t>
      </w:r>
      <w:r w:rsidR="4B296034" w:rsidRPr="00F84B8C">
        <w:rPr>
          <w:rFonts w:ascii="Segoe UI" w:hAnsi="Segoe UI" w:cs="Segoe UI"/>
        </w:rPr>
        <w:t>are</w:t>
      </w:r>
      <w:r w:rsidR="4EC5B5B3" w:rsidRPr="00F84B8C">
        <w:rPr>
          <w:rFonts w:ascii="Segoe UI" w:hAnsi="Segoe UI" w:cs="Segoe UI"/>
        </w:rPr>
        <w:t xml:space="preserve"> 17 PUMAs inside of Chicago, but also 15 PUMAs</w:t>
      </w:r>
      <w:r w:rsidR="4B296034" w:rsidRPr="00F84B8C">
        <w:rPr>
          <w:rFonts w:ascii="Segoe UI" w:hAnsi="Segoe UI" w:cs="Segoe UI"/>
        </w:rPr>
        <w:t xml:space="preserve"> </w:t>
      </w:r>
      <w:r w:rsidR="0439EFBB" w:rsidRPr="00F84B8C">
        <w:rPr>
          <w:rFonts w:ascii="Segoe UI" w:hAnsi="Segoe UI" w:cs="Segoe UI"/>
        </w:rPr>
        <w:t>in Illinois that span multiple counties.</w:t>
      </w:r>
    </w:p>
    <w:p w14:paraId="3A09E0F6" w14:textId="2852D162" w:rsidR="00EF5DBE" w:rsidRPr="00F84B8C" w:rsidRDefault="1C034A3A" w:rsidP="007676EF">
      <w:pPr>
        <w:pStyle w:val="ListParagraph"/>
        <w:numPr>
          <w:ilvl w:val="0"/>
          <w:numId w:val="7"/>
        </w:numPr>
        <w:tabs>
          <w:tab w:val="left" w:pos="1200"/>
        </w:tabs>
        <w:jc w:val="both"/>
        <w:rPr>
          <w:rFonts w:ascii="Segoe UI" w:hAnsi="Segoe UI" w:cs="Segoe UI"/>
        </w:rPr>
      </w:pPr>
      <w:r w:rsidRPr="00F84B8C">
        <w:rPr>
          <w:rFonts w:ascii="Segoe UI" w:hAnsi="Segoe UI" w:cs="Segoe UI"/>
          <w:b/>
        </w:rPr>
        <w:t xml:space="preserve">American Community Survey </w:t>
      </w:r>
      <w:r w:rsidR="590A5E04" w:rsidRPr="00F84B8C">
        <w:rPr>
          <w:rFonts w:ascii="Segoe UI" w:hAnsi="Segoe UI" w:cs="Segoe UI"/>
          <w:b/>
        </w:rPr>
        <w:t>5</w:t>
      </w:r>
      <w:r w:rsidRPr="00F84B8C">
        <w:rPr>
          <w:rFonts w:ascii="Segoe UI" w:hAnsi="Segoe UI" w:cs="Segoe UI"/>
          <w:b/>
        </w:rPr>
        <w:t>-Year ("ACS</w:t>
      </w:r>
      <w:r w:rsidR="590A5E04" w:rsidRPr="00F84B8C">
        <w:rPr>
          <w:rFonts w:ascii="Segoe UI" w:hAnsi="Segoe UI" w:cs="Segoe UI"/>
          <w:b/>
        </w:rPr>
        <w:t>5</w:t>
      </w:r>
      <w:r w:rsidRPr="00F84B8C">
        <w:rPr>
          <w:rFonts w:ascii="Segoe UI" w:hAnsi="Segoe UI" w:cs="Segoe UI"/>
          <w:b/>
        </w:rPr>
        <w:t>")</w:t>
      </w:r>
      <w:r w:rsidR="590A5E04" w:rsidRPr="00F84B8C">
        <w:rPr>
          <w:rFonts w:ascii="Segoe UI" w:hAnsi="Segoe UI" w:cs="Segoe UI"/>
          <w:b/>
        </w:rPr>
        <w:t xml:space="preserve"> aggregate tables</w:t>
      </w:r>
      <w:r w:rsidRPr="00F84B8C">
        <w:rPr>
          <w:rFonts w:ascii="Segoe UI" w:hAnsi="Segoe UI" w:cs="Segoe UI"/>
        </w:rPr>
        <w:t xml:space="preserve"> – The ACS</w:t>
      </w:r>
      <w:r w:rsidR="1E5689E5" w:rsidRPr="00F84B8C">
        <w:rPr>
          <w:rFonts w:ascii="Segoe UI" w:hAnsi="Segoe UI" w:cs="Segoe UI"/>
        </w:rPr>
        <w:t>5</w:t>
      </w:r>
      <w:r w:rsidRPr="00F84B8C">
        <w:rPr>
          <w:rFonts w:ascii="Segoe UI" w:hAnsi="Segoe UI" w:cs="Segoe UI"/>
        </w:rPr>
        <w:t xml:space="preserve"> </w:t>
      </w:r>
      <w:r w:rsidR="14A32694" w:rsidRPr="00F84B8C">
        <w:rPr>
          <w:rFonts w:ascii="Segoe UI" w:hAnsi="Segoe UI" w:cs="Segoe UI"/>
        </w:rPr>
        <w:t>data release spans five consecutive years of data from the American Community Survey, which allows it to be reported for smaller geographies such as</w:t>
      </w:r>
      <w:r w:rsidR="04853ADA" w:rsidRPr="00F84B8C">
        <w:rPr>
          <w:rFonts w:ascii="Segoe UI" w:hAnsi="Segoe UI" w:cs="Segoe UI"/>
        </w:rPr>
        <w:t xml:space="preserve"> the Census Tract level. However, the ACS5 data are </w:t>
      </w:r>
      <w:r w:rsidR="2D0257C3" w:rsidRPr="00F84B8C">
        <w:rPr>
          <w:rFonts w:ascii="Segoe UI" w:hAnsi="Segoe UI" w:cs="Segoe UI"/>
        </w:rPr>
        <w:t>released</w:t>
      </w:r>
      <w:r w:rsidR="04853ADA" w:rsidRPr="00F84B8C">
        <w:rPr>
          <w:rFonts w:ascii="Segoe UI" w:hAnsi="Segoe UI" w:cs="Segoe UI"/>
        </w:rPr>
        <w:t xml:space="preserve"> as aggregate tables—such as the number of children in families with income below the federal poverty line—and not microdata. While CCAP-eligibility status is not </w:t>
      </w:r>
      <w:r w:rsidR="5DD0458E" w:rsidRPr="00F84B8C">
        <w:rPr>
          <w:rFonts w:ascii="Segoe UI" w:hAnsi="Segoe UI" w:cs="Segoe UI"/>
        </w:rPr>
        <w:t xml:space="preserve">reflected, the ACS5 does include a breadth of information useful for distinguishing the general socioeconomic </w:t>
      </w:r>
      <w:r w:rsidR="0801925A" w:rsidRPr="00F84B8C">
        <w:rPr>
          <w:rFonts w:ascii="Segoe UI" w:hAnsi="Segoe UI" w:cs="Segoe UI"/>
        </w:rPr>
        <w:t xml:space="preserve">characteristics of smaller </w:t>
      </w:r>
      <w:r w:rsidR="0000314A">
        <w:rPr>
          <w:rFonts w:ascii="Segoe UI" w:hAnsi="Segoe UI" w:cs="Segoe UI"/>
        </w:rPr>
        <w:t xml:space="preserve">geographic </w:t>
      </w:r>
      <w:r w:rsidR="0801925A" w:rsidRPr="00F84B8C">
        <w:rPr>
          <w:rFonts w:ascii="Segoe UI" w:hAnsi="Segoe UI" w:cs="Segoe UI"/>
        </w:rPr>
        <w:t>areas within Illinois.</w:t>
      </w:r>
    </w:p>
    <w:p w14:paraId="3A3C6E52" w14:textId="4FFA5378" w:rsidR="590A5E04" w:rsidRPr="00F84B8C" w:rsidRDefault="590A5E04" w:rsidP="2DE0BBDA">
      <w:pPr>
        <w:pStyle w:val="ListParagraph"/>
        <w:numPr>
          <w:ilvl w:val="0"/>
          <w:numId w:val="7"/>
        </w:numPr>
        <w:tabs>
          <w:tab w:val="left" w:pos="1200"/>
        </w:tabs>
        <w:jc w:val="both"/>
        <w:rPr>
          <w:rFonts w:ascii="Segoe UI" w:hAnsi="Segoe UI" w:cs="Segoe UI"/>
        </w:rPr>
      </w:pPr>
      <w:r w:rsidRPr="00F84B8C">
        <w:rPr>
          <w:rFonts w:ascii="Segoe UI" w:hAnsi="Segoe UI" w:cs="Segoe UI"/>
          <w:b/>
        </w:rPr>
        <w:t>Current Population</w:t>
      </w:r>
      <w:r w:rsidR="1C034A3A" w:rsidRPr="00F84B8C">
        <w:rPr>
          <w:rFonts w:ascii="Segoe UI" w:hAnsi="Segoe UI" w:cs="Segoe UI"/>
          <w:b/>
        </w:rPr>
        <w:t xml:space="preserve"> Survey ("</w:t>
      </w:r>
      <w:r w:rsidRPr="00F84B8C">
        <w:rPr>
          <w:rFonts w:ascii="Segoe UI" w:hAnsi="Segoe UI" w:cs="Segoe UI"/>
          <w:b/>
        </w:rPr>
        <w:t>CPS</w:t>
      </w:r>
      <w:r w:rsidR="1C034A3A" w:rsidRPr="00F84B8C">
        <w:rPr>
          <w:rFonts w:ascii="Segoe UI" w:hAnsi="Segoe UI" w:cs="Segoe UI"/>
          <w:b/>
        </w:rPr>
        <w:t xml:space="preserve">") </w:t>
      </w:r>
      <w:r w:rsidRPr="00F84B8C">
        <w:rPr>
          <w:rFonts w:ascii="Segoe UI" w:hAnsi="Segoe UI" w:cs="Segoe UI"/>
          <w:b/>
        </w:rPr>
        <w:t>m</w:t>
      </w:r>
      <w:r w:rsidR="1C034A3A" w:rsidRPr="00F84B8C">
        <w:rPr>
          <w:rFonts w:ascii="Segoe UI" w:hAnsi="Segoe UI" w:cs="Segoe UI"/>
          <w:b/>
        </w:rPr>
        <w:t>icrodata</w:t>
      </w:r>
      <w:r w:rsidR="1C034A3A" w:rsidRPr="00F84B8C">
        <w:rPr>
          <w:rFonts w:ascii="Segoe UI" w:hAnsi="Segoe UI" w:cs="Segoe UI"/>
        </w:rPr>
        <w:t xml:space="preserve"> – The </w:t>
      </w:r>
      <w:r w:rsidR="207C3D4B" w:rsidRPr="00F84B8C">
        <w:rPr>
          <w:rFonts w:ascii="Segoe UI" w:hAnsi="Segoe UI" w:cs="Segoe UI"/>
        </w:rPr>
        <w:t xml:space="preserve">CPS </w:t>
      </w:r>
      <w:r w:rsidR="7042C9FD" w:rsidRPr="00F84B8C">
        <w:rPr>
          <w:rFonts w:ascii="Segoe UI" w:hAnsi="Segoe UI" w:cs="Segoe UI"/>
        </w:rPr>
        <w:t>follows households across time, including time spans as long as 16 months.</w:t>
      </w:r>
      <w:r w:rsidR="7F4A759D" w:rsidRPr="00F84B8C">
        <w:rPr>
          <w:rFonts w:ascii="Segoe UI" w:hAnsi="Segoe UI" w:cs="Segoe UI"/>
        </w:rPr>
        <w:t xml:space="preserve"> These are the same data used to produce US monthly jobs reports but</w:t>
      </w:r>
      <w:r w:rsidR="5530ADF0" w:rsidRPr="00F84B8C">
        <w:rPr>
          <w:rFonts w:ascii="Segoe UI" w:hAnsi="Segoe UI" w:cs="Segoe UI"/>
        </w:rPr>
        <w:t>,</w:t>
      </w:r>
      <w:r w:rsidR="7F4A759D" w:rsidRPr="00F84B8C">
        <w:rPr>
          <w:rFonts w:ascii="Segoe UI" w:hAnsi="Segoe UI" w:cs="Segoe UI"/>
        </w:rPr>
        <w:t xml:space="preserve"> for our purposes</w:t>
      </w:r>
      <w:r w:rsidR="2B59F370" w:rsidRPr="00F84B8C">
        <w:rPr>
          <w:rFonts w:ascii="Segoe UI" w:hAnsi="Segoe UI" w:cs="Segoe UI"/>
        </w:rPr>
        <w:t>,</w:t>
      </w:r>
      <w:r w:rsidR="7F4A759D" w:rsidRPr="00F84B8C">
        <w:rPr>
          <w:rFonts w:ascii="Segoe UI" w:hAnsi="Segoe UI" w:cs="Segoe UI"/>
        </w:rPr>
        <w:t xml:space="preserve"> are </w:t>
      </w:r>
      <w:r w:rsidR="4D66FC38" w:rsidRPr="00F84B8C">
        <w:rPr>
          <w:rFonts w:ascii="Segoe UI" w:hAnsi="Segoe UI" w:cs="Segoe UI"/>
        </w:rPr>
        <w:t xml:space="preserve">valuable </w:t>
      </w:r>
      <w:r w:rsidR="6F047407" w:rsidRPr="00F84B8C">
        <w:rPr>
          <w:rFonts w:ascii="Segoe UI" w:hAnsi="Segoe UI" w:cs="Segoe UI"/>
        </w:rPr>
        <w:t>for seeing how the economic circumstances of families change over time</w:t>
      </w:r>
      <w:r w:rsidR="12DEDDBA" w:rsidRPr="00F84B8C">
        <w:rPr>
          <w:rFonts w:ascii="Segoe UI" w:hAnsi="Segoe UI" w:cs="Segoe UI"/>
        </w:rPr>
        <w:t>, including the ability to assess eligibility for CCAP</w:t>
      </w:r>
      <w:r w:rsidR="6F047407" w:rsidRPr="00F84B8C">
        <w:rPr>
          <w:rFonts w:ascii="Segoe UI" w:hAnsi="Segoe UI" w:cs="Segoe UI"/>
        </w:rPr>
        <w:t>.</w:t>
      </w:r>
      <w:r w:rsidR="20AC806F" w:rsidRPr="00F84B8C">
        <w:rPr>
          <w:rFonts w:ascii="Segoe UI" w:hAnsi="Segoe UI" w:cs="Segoe UI"/>
        </w:rPr>
        <w:t xml:space="preserve"> The CPS surveys a rotating group of households each month, and while each survey has too few households to build a reliable comparison of CCAP-eligibility specific to Illinois, it </w:t>
      </w:r>
      <w:r w:rsidR="46020E56" w:rsidRPr="00F84B8C">
        <w:rPr>
          <w:rFonts w:ascii="Segoe UI" w:hAnsi="Segoe UI" w:cs="Segoe UI"/>
        </w:rPr>
        <w:t xml:space="preserve">reflects major economic trends </w:t>
      </w:r>
      <w:r w:rsidR="459CD70A" w:rsidRPr="00F84B8C">
        <w:rPr>
          <w:rFonts w:ascii="Segoe UI" w:hAnsi="Segoe UI" w:cs="Segoe UI"/>
        </w:rPr>
        <w:t xml:space="preserve">with a reporting lag of only approximately </w:t>
      </w:r>
      <w:r w:rsidR="46020E56" w:rsidRPr="00F84B8C">
        <w:rPr>
          <w:rFonts w:ascii="Segoe UI" w:hAnsi="Segoe UI" w:cs="Segoe UI"/>
        </w:rPr>
        <w:t>2 months</w:t>
      </w:r>
      <w:r w:rsidR="543A3BF9" w:rsidRPr="00F84B8C">
        <w:rPr>
          <w:rFonts w:ascii="Segoe UI" w:hAnsi="Segoe UI" w:cs="Segoe UI"/>
        </w:rPr>
        <w:t>.</w:t>
      </w:r>
    </w:p>
    <w:p w14:paraId="0EB77CF3" w14:textId="0B474197" w:rsidR="19FC2621" w:rsidRPr="001557AC" w:rsidRDefault="001557AC" w:rsidP="2DE0BBDA">
      <w:pPr>
        <w:tabs>
          <w:tab w:val="left" w:pos="1200"/>
        </w:tabs>
        <w:jc w:val="both"/>
        <w:rPr>
          <w:rFonts w:ascii="Segoe UI" w:hAnsi="Segoe UI" w:cs="Segoe UI"/>
          <w:b/>
          <w:bCs/>
        </w:rPr>
      </w:pPr>
      <w:r>
        <w:rPr>
          <w:rFonts w:ascii="Segoe UI" w:hAnsi="Segoe UI" w:cs="Segoe UI"/>
          <w:b/>
          <w:bCs/>
        </w:rPr>
        <w:t>Table 1. Comparison of Features Among US Census Data Releases</w:t>
      </w:r>
    </w:p>
    <w:tbl>
      <w:tblPr>
        <w:tblStyle w:val="TableGrid"/>
        <w:tblW w:w="946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20" w:firstRow="1" w:lastRow="0" w:firstColumn="0" w:lastColumn="0" w:noHBand="0" w:noVBand="1"/>
      </w:tblPr>
      <w:tblGrid>
        <w:gridCol w:w="1485"/>
        <w:gridCol w:w="1530"/>
        <w:gridCol w:w="1710"/>
        <w:gridCol w:w="1380"/>
        <w:gridCol w:w="3360"/>
      </w:tblGrid>
      <w:tr w:rsidR="2DE0BBDA" w14:paraId="60902D29" w14:textId="77777777" w:rsidTr="00CE7173">
        <w:trPr>
          <w:trHeight w:val="300"/>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764CC1A" w14:textId="0BAFF168" w:rsidR="2DE0BBDA" w:rsidRPr="001D438A" w:rsidRDefault="2DE0BBDA" w:rsidP="2DE0BBDA">
            <w:pPr>
              <w:jc w:val="center"/>
              <w:rPr>
                <w:rFonts w:ascii="Segoe UI" w:eastAsia="Segoe UI" w:hAnsi="Segoe UI" w:cs="Segoe UI"/>
                <w:b/>
                <w:color w:val="FFFFFF" w:themeColor="background1"/>
              </w:rPr>
            </w:pPr>
            <w:r w:rsidRPr="00F66F35">
              <w:rPr>
                <w:rFonts w:ascii="Segoe UI" w:eastAsia="Segoe UI" w:hAnsi="Segoe UI" w:cs="Segoe UI"/>
                <w:b/>
              </w:rPr>
              <w:t>Data Source</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0BB687B" w14:textId="231940D3" w:rsidR="0FAC78C3" w:rsidRPr="001D438A" w:rsidRDefault="0FAC78C3" w:rsidP="2DE0BBDA">
            <w:pPr>
              <w:spacing w:line="259" w:lineRule="auto"/>
              <w:jc w:val="center"/>
              <w:rPr>
                <w:rFonts w:ascii="Segoe UI" w:eastAsia="Segoe UI" w:hAnsi="Segoe UI" w:cs="Segoe UI"/>
                <w:b/>
                <w:color w:val="FFFFFF" w:themeColor="background1"/>
              </w:rPr>
            </w:pPr>
            <w:r w:rsidRPr="001D438A">
              <w:rPr>
                <w:rFonts w:ascii="Segoe UI" w:eastAsia="Segoe UI" w:hAnsi="Segoe UI" w:cs="Segoe UI"/>
                <w:b/>
              </w:rPr>
              <w:t>Level of Information</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1053A47" w14:textId="4785B0FA" w:rsidR="2DE0BBDA" w:rsidRPr="001D438A" w:rsidRDefault="2DE0BBDA" w:rsidP="2DE0BBDA">
            <w:pPr>
              <w:jc w:val="center"/>
              <w:rPr>
                <w:rFonts w:ascii="Segoe UI" w:eastAsia="Segoe UI" w:hAnsi="Segoe UI" w:cs="Segoe UI"/>
                <w:b/>
                <w:color w:val="FFFFFF" w:themeColor="background1"/>
              </w:rPr>
            </w:pPr>
            <w:r w:rsidRPr="001D438A">
              <w:rPr>
                <w:rFonts w:ascii="Segoe UI" w:eastAsia="Segoe UI" w:hAnsi="Segoe UI" w:cs="Segoe UI"/>
                <w:b/>
              </w:rPr>
              <w:t>Geography</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0D93B1" w14:textId="06816C46" w:rsidR="2DE0BBDA" w:rsidRPr="001D438A" w:rsidRDefault="2DE0BBDA" w:rsidP="2DE0BBDA">
            <w:pPr>
              <w:jc w:val="center"/>
              <w:rPr>
                <w:rFonts w:ascii="Segoe UI" w:eastAsia="Segoe UI" w:hAnsi="Segoe UI" w:cs="Segoe UI"/>
                <w:b/>
                <w:color w:val="FFFFFF" w:themeColor="background1"/>
              </w:rPr>
            </w:pPr>
            <w:r w:rsidRPr="001D438A">
              <w:rPr>
                <w:rFonts w:ascii="Segoe UI" w:eastAsia="Segoe UI" w:hAnsi="Segoe UI" w:cs="Segoe UI"/>
                <w:b/>
              </w:rPr>
              <w:t>Recency</w:t>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720F26A" w14:textId="414DEB00" w:rsidR="663B270D" w:rsidRPr="001D438A" w:rsidRDefault="663B270D" w:rsidP="2DE0BBDA">
            <w:pPr>
              <w:jc w:val="center"/>
              <w:rPr>
                <w:rFonts w:ascii="Segoe UI" w:eastAsia="Segoe UI" w:hAnsi="Segoe UI" w:cs="Segoe UI"/>
                <w:b/>
                <w:color w:val="FFFFFF" w:themeColor="background1"/>
              </w:rPr>
            </w:pPr>
            <w:r w:rsidRPr="001D438A">
              <w:rPr>
                <w:rFonts w:ascii="Segoe UI" w:eastAsia="Segoe UI" w:hAnsi="Segoe UI" w:cs="Segoe UI"/>
                <w:b/>
              </w:rPr>
              <w:t>Role</w:t>
            </w:r>
            <w:r w:rsidR="41811CFC" w:rsidRPr="001D438A">
              <w:rPr>
                <w:rFonts w:ascii="Segoe UI" w:eastAsia="Segoe UI" w:hAnsi="Segoe UI" w:cs="Segoe UI"/>
                <w:b/>
              </w:rPr>
              <w:t xml:space="preserve"> in Method</w:t>
            </w:r>
          </w:p>
        </w:tc>
      </w:tr>
      <w:tr w:rsidR="2DE0BBDA" w:rsidRPr="00F66F35" w14:paraId="39CA91B1"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0FACFCE" w14:textId="541A7C13"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American Community Survey </w:t>
            </w:r>
          </w:p>
          <w:p w14:paraId="191CA795" w14:textId="6D2573CF"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1-Year (ACS1)</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C27B3CE" w14:textId="6E24B460" w:rsidR="7CF3693D" w:rsidRPr="00F66F35" w:rsidRDefault="7CF3693D" w:rsidP="2DE0BBDA">
            <w:pPr>
              <w:spacing w:line="259" w:lineRule="auto"/>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Detailed microdata</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296DE9B" w14:textId="3F312940"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PUMA-level </w:t>
            </w:r>
            <w:r w:rsidRPr="00F66F35">
              <w:rPr>
                <w:rFonts w:ascii="Segoe UI" w:eastAsia="Symbol" w:hAnsi="Segoe UI" w:cs="Segoe UI"/>
                <w:color w:val="000000" w:themeColor="text1"/>
                <w:sz w:val="21"/>
                <w:szCs w:val="21"/>
              </w:rPr>
              <w:t xml:space="preserve">» </w:t>
            </w:r>
            <w:r w:rsidRPr="00F66F35">
              <w:rPr>
                <w:rFonts w:ascii="Segoe UI" w:eastAsia="Segoe UI" w:hAnsi="Segoe UI" w:cs="Segoe UI"/>
                <w:color w:val="000000" w:themeColor="text1"/>
                <w:sz w:val="21"/>
                <w:szCs w:val="21"/>
              </w:rPr>
              <w:t>100,000 individuals</w:t>
            </w:r>
          </w:p>
          <w:p w14:paraId="7D6FF74F" w14:textId="5DC351F4" w:rsidR="2DE0BBDA" w:rsidRPr="00F66F35" w:rsidRDefault="2DE0BBDA" w:rsidP="2DE0BBDA">
            <w:pPr>
              <w:jc w:val="center"/>
              <w:rPr>
                <w:rFonts w:ascii="Segoe UI" w:eastAsia="Segoe UI" w:hAnsi="Segoe UI" w:cs="Segoe UI"/>
                <w:color w:val="000000" w:themeColor="text1"/>
                <w:sz w:val="21"/>
                <w:szCs w:val="21"/>
              </w:rPr>
            </w:pPr>
          </w:p>
          <w:p w14:paraId="19097961" w14:textId="64777062"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In IL: 15 multi-county PUMAs. Also: 17 in Chicago City.</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AEB4C18" w14:textId="07456E14"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~9</w:t>
            </w:r>
            <w:r w:rsidR="0DC7C64E" w:rsidRPr="00F66F35">
              <w:rPr>
                <w:rFonts w:ascii="Segoe UI" w:eastAsia="Segoe UI" w:hAnsi="Segoe UI" w:cs="Segoe UI"/>
                <w:color w:val="000000" w:themeColor="text1"/>
                <w:sz w:val="21"/>
                <w:szCs w:val="21"/>
              </w:rPr>
              <w:t>-21</w:t>
            </w:r>
            <w:r w:rsidRPr="00F66F35">
              <w:rPr>
                <w:rFonts w:ascii="Segoe UI" w:eastAsia="Segoe UI" w:hAnsi="Segoe UI" w:cs="Segoe UI"/>
                <w:color w:val="000000" w:themeColor="text1"/>
                <w:sz w:val="21"/>
                <w:szCs w:val="21"/>
              </w:rPr>
              <w:t xml:space="preserve"> months lagged</w:t>
            </w:r>
            <w:r w:rsidRPr="00F66F35">
              <w:rPr>
                <w:rStyle w:val="FootnoteReference"/>
                <w:rFonts w:ascii="Segoe UI" w:eastAsia="Segoe UI" w:hAnsi="Segoe UI" w:cs="Segoe UI"/>
                <w:color w:val="000000" w:themeColor="text1"/>
                <w:sz w:val="21"/>
                <w:szCs w:val="21"/>
              </w:rPr>
              <w:footnoteReference w:id="7"/>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29075C9" w14:textId="6F082804" w:rsidR="5BBCB4FC" w:rsidRPr="00F66F35" w:rsidRDefault="5BBCB4FC"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Identif</w:t>
            </w:r>
            <w:r w:rsidR="62709A11" w:rsidRPr="00F66F35">
              <w:rPr>
                <w:rFonts w:ascii="Segoe UI" w:eastAsia="Segoe UI" w:hAnsi="Segoe UI" w:cs="Segoe UI"/>
                <w:color w:val="000000" w:themeColor="text1"/>
                <w:sz w:val="21"/>
                <w:szCs w:val="21"/>
              </w:rPr>
              <w:t xml:space="preserve">ies </w:t>
            </w:r>
            <w:r w:rsidR="7A330D9E" w:rsidRPr="00F66F35">
              <w:rPr>
                <w:rFonts w:ascii="Segoe UI" w:eastAsia="Segoe UI" w:hAnsi="Segoe UI" w:cs="Segoe UI"/>
                <w:color w:val="000000" w:themeColor="text1"/>
                <w:sz w:val="21"/>
                <w:szCs w:val="21"/>
              </w:rPr>
              <w:t>the income/work circumstances of Illinois families, by PUMA, in the “baseline” year (e.g.</w:t>
            </w:r>
            <w:r w:rsidR="00AD76E8">
              <w:rPr>
                <w:rFonts w:ascii="Segoe UI" w:eastAsia="Segoe UI" w:hAnsi="Segoe UI" w:cs="Segoe UI"/>
                <w:color w:val="000000" w:themeColor="text1"/>
                <w:sz w:val="21"/>
                <w:szCs w:val="21"/>
              </w:rPr>
              <w:t>,</w:t>
            </w:r>
            <w:r w:rsidR="7A330D9E" w:rsidRPr="00F66F35">
              <w:rPr>
                <w:rFonts w:ascii="Segoe UI" w:eastAsia="Segoe UI" w:hAnsi="Segoe UI" w:cs="Segoe UI"/>
                <w:color w:val="000000" w:themeColor="text1"/>
                <w:sz w:val="21"/>
                <w:szCs w:val="21"/>
              </w:rPr>
              <w:t xml:space="preserve"> 202</w:t>
            </w:r>
            <w:r w:rsidR="00EB699D">
              <w:rPr>
                <w:rFonts w:ascii="Segoe UI" w:eastAsia="Segoe UI" w:hAnsi="Segoe UI" w:cs="Segoe UI"/>
                <w:color w:val="000000" w:themeColor="text1"/>
                <w:sz w:val="21"/>
                <w:szCs w:val="21"/>
              </w:rPr>
              <w:t>3</w:t>
            </w:r>
            <w:r w:rsidR="7A330D9E" w:rsidRPr="00F66F35">
              <w:rPr>
                <w:rFonts w:ascii="Segoe UI" w:eastAsia="Segoe UI" w:hAnsi="Segoe UI" w:cs="Segoe UI"/>
                <w:color w:val="000000" w:themeColor="text1"/>
                <w:sz w:val="21"/>
                <w:szCs w:val="21"/>
              </w:rPr>
              <w:t>)</w:t>
            </w:r>
          </w:p>
        </w:tc>
      </w:tr>
      <w:tr w:rsidR="2DE0BBDA" w:rsidRPr="00F66F35" w14:paraId="30BF1511"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C153875" w14:textId="0A0CCD1B"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American Community Survey </w:t>
            </w:r>
          </w:p>
          <w:p w14:paraId="2A96E455" w14:textId="2B34BB4E"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5-Year (ACS5)</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73CA405" w14:textId="2B86E741"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Select aggregates</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9B50BAA" w14:textId="6CD1B82C"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Tract-level </w:t>
            </w:r>
            <w:r w:rsidRPr="00F66F35">
              <w:rPr>
                <w:rFonts w:ascii="Segoe UI" w:eastAsia="Symbol" w:hAnsi="Segoe UI" w:cs="Segoe UI"/>
                <w:color w:val="000000" w:themeColor="text1"/>
                <w:sz w:val="21"/>
                <w:szCs w:val="21"/>
              </w:rPr>
              <w:t xml:space="preserve">» </w:t>
            </w:r>
            <w:r w:rsidRPr="00F66F35">
              <w:rPr>
                <w:rFonts w:ascii="Segoe UI" w:eastAsia="Segoe UI" w:hAnsi="Segoe UI" w:cs="Segoe UI"/>
                <w:color w:val="000000" w:themeColor="text1"/>
                <w:sz w:val="21"/>
                <w:szCs w:val="21"/>
              </w:rPr>
              <w:t>4,000 individuals</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36924E1" w14:textId="673A43E7"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5-year aggregate</w:t>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2BA530B" w14:textId="6EC6EFD0" w:rsidR="4BC07005" w:rsidRPr="00F66F35" w:rsidRDefault="4BC07005"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In conjunction with the ACS1 data, is used to estimate income/work circumstances of Illinois families down to the Census tract level in the “baseline” year (e.g. 202</w:t>
            </w:r>
            <w:r w:rsidR="00207F18">
              <w:rPr>
                <w:rFonts w:ascii="Segoe UI" w:eastAsia="Segoe UI" w:hAnsi="Segoe UI" w:cs="Segoe UI"/>
                <w:color w:val="000000" w:themeColor="text1"/>
                <w:sz w:val="21"/>
                <w:szCs w:val="21"/>
              </w:rPr>
              <w:t>3</w:t>
            </w:r>
            <w:r w:rsidRPr="00F66F35">
              <w:rPr>
                <w:rFonts w:ascii="Segoe UI" w:eastAsia="Segoe UI" w:hAnsi="Segoe UI" w:cs="Segoe UI"/>
                <w:color w:val="000000" w:themeColor="text1"/>
                <w:sz w:val="21"/>
                <w:szCs w:val="21"/>
              </w:rPr>
              <w:t>)</w:t>
            </w:r>
          </w:p>
        </w:tc>
      </w:tr>
      <w:tr w:rsidR="2DE0BBDA" w:rsidRPr="00F66F35" w14:paraId="684EDDCA"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474B72B" w14:textId="731B9BFB"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lastRenderedPageBreak/>
              <w:t>Current Population Survey (CPS)</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581E8D4" w14:textId="24C1BB69" w:rsidR="2DE0BBDA" w:rsidRPr="00F66F35" w:rsidRDefault="2DE0BBDA" w:rsidP="2DE0BBDA">
            <w:pPr>
              <w:spacing w:line="259" w:lineRule="auto"/>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Detailed microdata</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38DE01A" w14:textId="634E5C28"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National sample</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8833979" w14:textId="5F31F751"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w:t>
            </w:r>
            <w:r w:rsidR="00525EEA">
              <w:rPr>
                <w:rFonts w:ascii="Segoe UI" w:eastAsia="Segoe UI" w:hAnsi="Segoe UI" w:cs="Segoe UI"/>
                <w:color w:val="000000" w:themeColor="text1"/>
                <w:sz w:val="21"/>
                <w:szCs w:val="21"/>
              </w:rPr>
              <w:t>1-</w:t>
            </w:r>
            <w:r w:rsidRPr="00F66F35">
              <w:rPr>
                <w:rFonts w:ascii="Segoe UI" w:eastAsia="Segoe UI" w:hAnsi="Segoe UI" w:cs="Segoe UI"/>
                <w:color w:val="000000" w:themeColor="text1"/>
                <w:sz w:val="21"/>
                <w:szCs w:val="21"/>
              </w:rPr>
              <w:t>2 months lagged</w:t>
            </w:r>
            <w:r w:rsidR="00927A53" w:rsidRPr="00F66F35">
              <w:rPr>
                <w:rStyle w:val="FootnoteReference"/>
                <w:rFonts w:ascii="Segoe UI" w:eastAsia="Segoe UI" w:hAnsi="Segoe UI" w:cs="Segoe UI"/>
                <w:color w:val="000000" w:themeColor="text1"/>
                <w:sz w:val="21"/>
                <w:szCs w:val="21"/>
              </w:rPr>
              <w:footnoteReference w:id="8"/>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B54EFF9" w14:textId="7F7B19D7" w:rsidR="41A093DA" w:rsidRPr="00F66F35" w:rsidRDefault="37F2FCED"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Used to estimate counts of children in CCAP-eligible </w:t>
            </w:r>
            <w:r w:rsidR="54EB29C9" w:rsidRPr="00F66F35">
              <w:rPr>
                <w:rFonts w:ascii="Segoe UI" w:eastAsia="Segoe UI" w:hAnsi="Segoe UI" w:cs="Segoe UI"/>
                <w:color w:val="000000" w:themeColor="text1"/>
                <w:sz w:val="21"/>
                <w:szCs w:val="21"/>
              </w:rPr>
              <w:t>households</w:t>
            </w:r>
            <w:r w:rsidRPr="00F66F35">
              <w:rPr>
                <w:rFonts w:ascii="Segoe UI" w:eastAsia="Segoe UI" w:hAnsi="Segoe UI" w:cs="Segoe UI"/>
                <w:color w:val="000000" w:themeColor="text1"/>
                <w:sz w:val="21"/>
                <w:szCs w:val="21"/>
              </w:rPr>
              <w:t xml:space="preserve"> at the Census tract level, based on how past-year socioeconomic trends have likely shaped </w:t>
            </w:r>
            <w:r w:rsidR="52B97C65" w:rsidRPr="00F66F35">
              <w:rPr>
                <w:rFonts w:ascii="Segoe UI" w:eastAsia="Segoe UI" w:hAnsi="Segoe UI" w:cs="Segoe UI"/>
                <w:color w:val="000000" w:themeColor="text1"/>
                <w:sz w:val="21"/>
                <w:szCs w:val="21"/>
              </w:rPr>
              <w:t xml:space="preserve">recent </w:t>
            </w:r>
            <w:r w:rsidRPr="00F66F35">
              <w:rPr>
                <w:rFonts w:ascii="Segoe UI" w:eastAsia="Segoe UI" w:hAnsi="Segoe UI" w:cs="Segoe UI"/>
                <w:color w:val="000000" w:themeColor="text1"/>
                <w:sz w:val="21"/>
                <w:szCs w:val="21"/>
              </w:rPr>
              <w:t>eligibility dynamics of households</w:t>
            </w:r>
            <w:r w:rsidR="58259188" w:rsidRPr="00F66F35">
              <w:rPr>
                <w:rFonts w:ascii="Segoe UI" w:eastAsia="Segoe UI" w:hAnsi="Segoe UI" w:cs="Segoe UI"/>
                <w:color w:val="000000" w:themeColor="text1"/>
                <w:sz w:val="21"/>
                <w:szCs w:val="21"/>
              </w:rPr>
              <w:t>.</w:t>
            </w:r>
          </w:p>
        </w:tc>
      </w:tr>
    </w:tbl>
    <w:p w14:paraId="094CB00D" w14:textId="688E8B5F" w:rsidR="2DE0BBDA" w:rsidRPr="008554E3" w:rsidRDefault="2DE0BBDA" w:rsidP="2DE0BBDA">
      <w:pPr>
        <w:tabs>
          <w:tab w:val="left" w:pos="1200"/>
        </w:tabs>
        <w:jc w:val="both"/>
        <w:rPr>
          <w:rFonts w:ascii="Segoe UI" w:hAnsi="Segoe UI" w:cs="Segoe UI"/>
          <w:sz w:val="21"/>
          <w:szCs w:val="21"/>
        </w:rPr>
      </w:pPr>
    </w:p>
    <w:p w14:paraId="48C0ABA9" w14:textId="5005EC0D" w:rsidR="67014FAD" w:rsidRPr="00F84B8C" w:rsidRDefault="0000314A" w:rsidP="2DE0BBDA">
      <w:pPr>
        <w:tabs>
          <w:tab w:val="left" w:pos="1200"/>
        </w:tabs>
        <w:jc w:val="both"/>
        <w:rPr>
          <w:rFonts w:ascii="Segoe UI" w:hAnsi="Segoe UI" w:cs="Segoe UI"/>
        </w:rPr>
      </w:pPr>
      <w:r>
        <w:rPr>
          <w:rFonts w:ascii="Segoe UI" w:hAnsi="Segoe UI" w:cs="Segoe UI"/>
        </w:rPr>
        <w:t>We build our estimates model with the</w:t>
      </w:r>
      <w:r w:rsidR="004B4B28">
        <w:rPr>
          <w:rFonts w:ascii="Segoe UI" w:hAnsi="Segoe UI" w:cs="Segoe UI"/>
        </w:rPr>
        <w:t xml:space="preserve"> following steps: </w:t>
      </w:r>
      <w:r>
        <w:rPr>
          <w:rFonts w:ascii="Segoe UI" w:hAnsi="Segoe UI" w:cs="Segoe UI"/>
        </w:rPr>
        <w:t xml:space="preserve"> </w:t>
      </w:r>
    </w:p>
    <w:p w14:paraId="31570F96" w14:textId="48151E2D" w:rsidR="67014FAD" w:rsidRPr="00F84B8C" w:rsidRDefault="67014FAD"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ACS1 data are used to develop a “direct” estimate of the share of children in households eligible for CCAP, in each PUMA</w:t>
      </w:r>
      <w:r w:rsidR="15136B95" w:rsidRPr="00F84B8C">
        <w:rPr>
          <w:rFonts w:ascii="Segoe UI" w:hAnsi="Segoe UI" w:cs="Segoe UI"/>
        </w:rPr>
        <w:t>.</w:t>
      </w:r>
    </w:p>
    <w:p w14:paraId="443C6088" w14:textId="46A72FFC" w:rsidR="67014FAD" w:rsidRPr="00F84B8C" w:rsidRDefault="67014FAD"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ACS1 and ACS5 data are combined</w:t>
      </w:r>
      <w:r w:rsidR="004B4B28">
        <w:rPr>
          <w:rFonts w:ascii="Segoe UI" w:hAnsi="Segoe UI" w:cs="Segoe UI"/>
        </w:rPr>
        <w:t>,</w:t>
      </w:r>
      <w:r w:rsidRPr="00F84B8C">
        <w:rPr>
          <w:rFonts w:ascii="Segoe UI" w:hAnsi="Segoe UI" w:cs="Segoe UI"/>
        </w:rPr>
        <w:t xml:space="preserve"> </w:t>
      </w:r>
      <w:r w:rsidR="004B4B28" w:rsidRPr="00F84B8C">
        <w:rPr>
          <w:rFonts w:ascii="Segoe UI" w:hAnsi="Segoe UI" w:cs="Segoe UI"/>
        </w:rPr>
        <w:t>using statistic</w:t>
      </w:r>
      <w:r w:rsidR="003D5396">
        <w:rPr>
          <w:rFonts w:ascii="Segoe UI" w:hAnsi="Segoe UI" w:cs="Segoe UI"/>
        </w:rPr>
        <w:t>al</w:t>
      </w:r>
      <w:r w:rsidR="004B4B28" w:rsidRPr="00F84B8C">
        <w:rPr>
          <w:rFonts w:ascii="Segoe UI" w:hAnsi="Segoe UI" w:cs="Segoe UI"/>
        </w:rPr>
        <w:t xml:space="preserve"> regression modeling techniques</w:t>
      </w:r>
      <w:r w:rsidR="004B4B28">
        <w:rPr>
          <w:rFonts w:ascii="Segoe UI" w:hAnsi="Segoe UI" w:cs="Segoe UI"/>
        </w:rPr>
        <w:t>,</w:t>
      </w:r>
      <w:r w:rsidR="004B4B28" w:rsidRPr="00F84B8C">
        <w:rPr>
          <w:rFonts w:ascii="Segoe UI" w:hAnsi="Segoe UI" w:cs="Segoe UI"/>
        </w:rPr>
        <w:t xml:space="preserve"> </w:t>
      </w:r>
      <w:r w:rsidRPr="00F84B8C">
        <w:rPr>
          <w:rFonts w:ascii="Segoe UI" w:hAnsi="Segoe UI" w:cs="Segoe UI"/>
        </w:rPr>
        <w:t>to study the association between commun</w:t>
      </w:r>
      <w:r w:rsidR="638DD60E" w:rsidRPr="00F84B8C">
        <w:rPr>
          <w:rFonts w:ascii="Segoe UI" w:hAnsi="Segoe UI" w:cs="Segoe UI"/>
        </w:rPr>
        <w:t xml:space="preserve">ity characteristics </w:t>
      </w:r>
      <w:r w:rsidR="1039ED02" w:rsidRPr="00F84B8C">
        <w:rPr>
          <w:rFonts w:ascii="Segoe UI" w:hAnsi="Segoe UI" w:cs="Segoe UI"/>
        </w:rPr>
        <w:t>and the share of CCAP-eligible children. These associations are then used to generate predictions of the “model”-based estimate of the share of CCAP-</w:t>
      </w:r>
      <w:r w:rsidR="62418801" w:rsidRPr="00F84B8C">
        <w:rPr>
          <w:rFonts w:ascii="Segoe UI" w:hAnsi="Segoe UI" w:cs="Segoe UI"/>
        </w:rPr>
        <w:t>eligible children.</w:t>
      </w:r>
    </w:p>
    <w:p w14:paraId="09666B23" w14:textId="177BF5BE"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The “direct”</w:t>
      </w:r>
      <w:r>
        <w:rPr>
          <w:rFonts w:ascii="Segoe UI" w:hAnsi="Segoe UI" w:cs="Segoe UI"/>
        </w:rPr>
        <w:t xml:space="preserve"> </w:t>
      </w:r>
      <w:r w:rsidR="004B4B28">
        <w:rPr>
          <w:rFonts w:ascii="Segoe UI" w:hAnsi="Segoe UI" w:cs="Segoe UI"/>
        </w:rPr>
        <w:t>(step 1)</w:t>
      </w:r>
      <w:r w:rsidRPr="00F84B8C">
        <w:rPr>
          <w:rFonts w:ascii="Segoe UI" w:hAnsi="Segoe UI" w:cs="Segoe UI"/>
        </w:rPr>
        <w:t xml:space="preserve"> and “model” </w:t>
      </w:r>
      <w:r w:rsidR="004B4B28">
        <w:rPr>
          <w:rFonts w:ascii="Segoe UI" w:hAnsi="Segoe UI" w:cs="Segoe UI"/>
        </w:rPr>
        <w:t>(step 2)</w:t>
      </w:r>
      <w:r>
        <w:rPr>
          <w:rFonts w:ascii="Segoe UI" w:hAnsi="Segoe UI" w:cs="Segoe UI"/>
        </w:rPr>
        <w:t xml:space="preserve"> </w:t>
      </w:r>
      <w:r w:rsidRPr="00F84B8C">
        <w:rPr>
          <w:rFonts w:ascii="Segoe UI" w:hAnsi="Segoe UI" w:cs="Segoe UI"/>
        </w:rPr>
        <w:t xml:space="preserve">based estimates are combined </w:t>
      </w:r>
      <w:r w:rsidR="00D221D8">
        <w:rPr>
          <w:rFonts w:ascii="Segoe UI" w:hAnsi="Segoe UI" w:cs="Segoe UI"/>
        </w:rPr>
        <w:t xml:space="preserve">using a weighted average—based </w:t>
      </w:r>
      <w:r w:rsidR="00722A38">
        <w:rPr>
          <w:rFonts w:ascii="Segoe UI" w:hAnsi="Segoe UI" w:cs="Segoe UI"/>
        </w:rPr>
        <w:t>the relative estimated precision of each number—</w:t>
      </w:r>
      <w:r w:rsidRPr="00F84B8C">
        <w:rPr>
          <w:rFonts w:ascii="Segoe UI" w:hAnsi="Segoe UI" w:cs="Segoe UI"/>
        </w:rPr>
        <w:t>to</w:t>
      </w:r>
      <w:r w:rsidR="00722A38">
        <w:rPr>
          <w:rFonts w:ascii="Segoe UI" w:hAnsi="Segoe UI" w:cs="Segoe UI"/>
        </w:rPr>
        <w:t xml:space="preserve"> </w:t>
      </w:r>
      <w:r w:rsidRPr="00F84B8C">
        <w:rPr>
          <w:rFonts w:ascii="Segoe UI" w:hAnsi="Segoe UI" w:cs="Segoe UI"/>
        </w:rPr>
        <w:t>provide final estimates for the baseline year for tracts in Illinois.</w:t>
      </w:r>
      <w:r w:rsidR="00AA2104">
        <w:rPr>
          <w:rFonts w:ascii="Segoe UI" w:hAnsi="Segoe UI" w:cs="Segoe UI"/>
        </w:rPr>
        <w:t xml:space="preserve"> </w:t>
      </w:r>
      <w:r w:rsidR="00122C54">
        <w:rPr>
          <w:rFonts w:ascii="Segoe UI" w:hAnsi="Segoe UI" w:cs="Segoe UI"/>
        </w:rPr>
        <w:t xml:space="preserve">To address a natural compression of estimates towards PUMA-level </w:t>
      </w:r>
      <w:r w:rsidR="00CF4A92">
        <w:rPr>
          <w:rFonts w:ascii="Segoe UI" w:hAnsi="Segoe UI" w:cs="Segoe UI"/>
        </w:rPr>
        <w:t>averages, t</w:t>
      </w:r>
      <w:r w:rsidR="00AA2104">
        <w:rPr>
          <w:rFonts w:ascii="Segoe UI" w:hAnsi="Segoe UI" w:cs="Segoe UI"/>
        </w:rPr>
        <w:t xml:space="preserve">hese tract-level estimates are then </w:t>
      </w:r>
      <w:r w:rsidR="00F548CF">
        <w:rPr>
          <w:rFonts w:ascii="Segoe UI" w:hAnsi="Segoe UI" w:cs="Segoe UI"/>
        </w:rPr>
        <w:t>“fanned out”</w:t>
      </w:r>
      <w:r w:rsidR="00E329F8">
        <w:rPr>
          <w:rStyle w:val="FootnoteReference"/>
          <w:rFonts w:ascii="Segoe UI" w:hAnsi="Segoe UI" w:cs="Segoe UI"/>
        </w:rPr>
        <w:footnoteReference w:id="9"/>
      </w:r>
      <w:r w:rsidR="00537479">
        <w:rPr>
          <w:rFonts w:ascii="Segoe UI" w:hAnsi="Segoe UI" w:cs="Segoe UI"/>
        </w:rPr>
        <w:t xml:space="preserve"> to match </w:t>
      </w:r>
      <w:r w:rsidR="00083691">
        <w:rPr>
          <w:rFonts w:ascii="Segoe UI" w:hAnsi="Segoe UI" w:cs="Segoe UI"/>
        </w:rPr>
        <w:t>the geographic diversity of each measure.</w:t>
      </w:r>
      <w:r w:rsidR="00083691">
        <w:rPr>
          <w:rStyle w:val="FootnoteReference"/>
          <w:rFonts w:ascii="Segoe UI" w:hAnsi="Segoe UI" w:cs="Segoe UI"/>
        </w:rPr>
        <w:footnoteReference w:id="10"/>
      </w:r>
    </w:p>
    <w:p w14:paraId="1D81AA77" w14:textId="313D2744"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The CPS data is used to build statistical </w:t>
      </w:r>
      <w:r w:rsidR="008D7F71">
        <w:rPr>
          <w:rFonts w:ascii="Segoe UI" w:hAnsi="Segoe UI" w:cs="Segoe UI"/>
        </w:rPr>
        <w:t>relationships</w:t>
      </w:r>
      <w:r w:rsidR="008D7F71" w:rsidRPr="00F84B8C">
        <w:rPr>
          <w:rFonts w:ascii="Segoe UI" w:hAnsi="Segoe UI" w:cs="Segoe UI"/>
        </w:rPr>
        <w:t xml:space="preserve"> </w:t>
      </w:r>
      <w:r w:rsidRPr="00F84B8C">
        <w:rPr>
          <w:rFonts w:ascii="Segoe UI" w:hAnsi="Segoe UI" w:cs="Segoe UI"/>
        </w:rPr>
        <w:t>between household socioeconomic status as of the baseline year and CCAP eligibility as of its most recent available data.</w:t>
      </w:r>
    </w:p>
    <w:p w14:paraId="5137E268" w14:textId="12183000"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These CPS-based statistical </w:t>
      </w:r>
      <w:r w:rsidR="00CE0A5D">
        <w:rPr>
          <w:rFonts w:ascii="Segoe UI" w:hAnsi="Segoe UI" w:cs="Segoe UI"/>
        </w:rPr>
        <w:t>relationships</w:t>
      </w:r>
      <w:r w:rsidR="00CE0A5D" w:rsidRPr="00F84B8C">
        <w:rPr>
          <w:rFonts w:ascii="Segoe UI" w:hAnsi="Segoe UI" w:cs="Segoe UI"/>
        </w:rPr>
        <w:t xml:space="preserve"> </w:t>
      </w:r>
      <w:r w:rsidRPr="00F84B8C">
        <w:rPr>
          <w:rFonts w:ascii="Segoe UI" w:hAnsi="Segoe UI" w:cs="Segoe UI"/>
        </w:rPr>
        <w:t xml:space="preserve">are applied to the final baseline estimates for Illinois, using the specific </w:t>
      </w:r>
      <w:r w:rsidR="36C22CE2" w:rsidRPr="00F84B8C">
        <w:rPr>
          <w:rFonts w:ascii="Segoe UI" w:hAnsi="Segoe UI" w:cs="Segoe UI"/>
        </w:rPr>
        <w:t xml:space="preserve">estimated </w:t>
      </w:r>
      <w:r w:rsidRPr="00F84B8C">
        <w:rPr>
          <w:rFonts w:ascii="Segoe UI" w:hAnsi="Segoe UI" w:cs="Segoe UI"/>
        </w:rPr>
        <w:t xml:space="preserve">socioeconomic status of each Illinois </w:t>
      </w:r>
      <w:r w:rsidR="47D60EB0" w:rsidRPr="00F84B8C">
        <w:rPr>
          <w:rFonts w:ascii="Segoe UI" w:hAnsi="Segoe UI" w:cs="Segoe UI"/>
        </w:rPr>
        <w:t>Census tract to estimate CCAP-eligibility as of the most recent month of CPS data.</w:t>
      </w:r>
    </w:p>
    <w:p w14:paraId="69A56EB5" w14:textId="33B89A1A"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Estimated shares are converted to counts by </w:t>
      </w:r>
      <w:r w:rsidR="148D27C1" w:rsidRPr="00F84B8C">
        <w:rPr>
          <w:rFonts w:ascii="Segoe UI" w:hAnsi="Segoe UI" w:cs="Segoe UI"/>
        </w:rPr>
        <w:t xml:space="preserve">multiplying the estimates with </w:t>
      </w:r>
      <w:r w:rsidR="10E693EB" w:rsidRPr="00F84B8C">
        <w:rPr>
          <w:rFonts w:ascii="Segoe UI" w:hAnsi="Segoe UI" w:cs="Segoe UI"/>
        </w:rPr>
        <w:t>projec</w:t>
      </w:r>
      <w:r w:rsidR="00956E4A">
        <w:rPr>
          <w:rFonts w:ascii="Segoe UI" w:hAnsi="Segoe UI" w:cs="Segoe UI"/>
        </w:rPr>
        <w:t>ted proportions</w:t>
      </w:r>
      <w:r w:rsidR="10E693EB" w:rsidRPr="00F84B8C">
        <w:rPr>
          <w:rFonts w:ascii="Segoe UI" w:hAnsi="Segoe UI" w:cs="Segoe UI"/>
        </w:rPr>
        <w:t xml:space="preserve"> of </w:t>
      </w:r>
      <w:r w:rsidR="17937F6E" w:rsidRPr="00F84B8C">
        <w:rPr>
          <w:rFonts w:ascii="Segoe UI" w:hAnsi="Segoe UI" w:cs="Segoe UI"/>
        </w:rPr>
        <w:t xml:space="preserve">the </w:t>
      </w:r>
      <w:r w:rsidR="3E899AFD" w:rsidRPr="00F84B8C">
        <w:rPr>
          <w:rFonts w:ascii="Segoe UI" w:hAnsi="Segoe UI" w:cs="Segoe UI"/>
        </w:rPr>
        <w:t xml:space="preserve">overall </w:t>
      </w:r>
      <w:r w:rsidR="17937F6E" w:rsidRPr="00F84B8C">
        <w:rPr>
          <w:rFonts w:ascii="Segoe UI" w:hAnsi="Segoe UI" w:cs="Segoe UI"/>
        </w:rPr>
        <w:t xml:space="preserve">number of children </w:t>
      </w:r>
      <w:r w:rsidR="7B0F659F" w:rsidRPr="00F84B8C">
        <w:rPr>
          <w:rFonts w:ascii="Segoe UI" w:hAnsi="Segoe UI" w:cs="Segoe UI"/>
        </w:rPr>
        <w:t>age</w:t>
      </w:r>
      <w:r w:rsidR="1EB7DDF6" w:rsidRPr="00F84B8C">
        <w:rPr>
          <w:rFonts w:ascii="Segoe UI" w:hAnsi="Segoe UI" w:cs="Segoe UI"/>
        </w:rPr>
        <w:t>d</w:t>
      </w:r>
      <w:r w:rsidR="7B0F659F" w:rsidRPr="00F84B8C">
        <w:rPr>
          <w:rFonts w:ascii="Segoe UI" w:hAnsi="Segoe UI" w:cs="Segoe UI"/>
        </w:rPr>
        <w:t xml:space="preserve"> </w:t>
      </w:r>
      <w:r w:rsidR="17937F6E" w:rsidRPr="00F84B8C">
        <w:rPr>
          <w:rFonts w:ascii="Segoe UI" w:hAnsi="Segoe UI" w:cs="Segoe UI"/>
        </w:rPr>
        <w:t xml:space="preserve">0-5 and 6-12 </w:t>
      </w:r>
      <w:r w:rsidR="174D2A4F" w:rsidRPr="00F84B8C">
        <w:rPr>
          <w:rFonts w:ascii="Segoe UI" w:hAnsi="Segoe UI" w:cs="Segoe UI"/>
        </w:rPr>
        <w:t xml:space="preserve">forecast </w:t>
      </w:r>
      <w:r w:rsidR="70810B74" w:rsidRPr="00F84B8C">
        <w:rPr>
          <w:rFonts w:ascii="Segoe UI" w:hAnsi="Segoe UI" w:cs="Segoe UI"/>
        </w:rPr>
        <w:t>using Census decennial data.</w:t>
      </w:r>
    </w:p>
    <w:p w14:paraId="2EF9A581" w14:textId="09F500E2" w:rsidR="7AB1CB20" w:rsidRPr="00F84B8C" w:rsidRDefault="7AB1CB20" w:rsidP="2DE0BBDA">
      <w:pPr>
        <w:tabs>
          <w:tab w:val="left" w:pos="1200"/>
        </w:tabs>
        <w:jc w:val="both"/>
        <w:rPr>
          <w:rFonts w:ascii="Segoe UI" w:hAnsi="Segoe UI" w:cs="Segoe UI"/>
        </w:rPr>
      </w:pPr>
      <w:r w:rsidRPr="72F6147B">
        <w:rPr>
          <w:rFonts w:ascii="Segoe UI" w:hAnsi="Segoe UI" w:cs="Segoe UI"/>
        </w:rPr>
        <w:t xml:space="preserve">Steps (1)-(3) are formally known as “Small Area Estimation (SAE)” </w:t>
      </w:r>
      <w:r w:rsidR="4C06415C" w:rsidRPr="72F6147B">
        <w:rPr>
          <w:rFonts w:ascii="Segoe UI" w:hAnsi="Segoe UI" w:cs="Segoe UI"/>
        </w:rPr>
        <w:t xml:space="preserve">statistical </w:t>
      </w:r>
      <w:r w:rsidR="72963305" w:rsidRPr="72F6147B">
        <w:rPr>
          <w:rFonts w:ascii="Segoe UI" w:hAnsi="Segoe UI" w:cs="Segoe UI"/>
        </w:rPr>
        <w:t>methods in the f</w:t>
      </w:r>
      <w:r w:rsidR="083987AD" w:rsidRPr="72F6147B">
        <w:rPr>
          <w:rFonts w:ascii="Segoe UI" w:hAnsi="Segoe UI" w:cs="Segoe UI"/>
        </w:rPr>
        <w:t xml:space="preserve">ield of </w:t>
      </w:r>
      <w:r w:rsidR="285214E9" w:rsidRPr="72F6147B">
        <w:rPr>
          <w:rFonts w:ascii="Segoe UI" w:hAnsi="Segoe UI" w:cs="Segoe UI"/>
        </w:rPr>
        <w:t>academic demography</w:t>
      </w:r>
      <w:r w:rsidR="72963305" w:rsidRPr="72F6147B">
        <w:rPr>
          <w:rFonts w:ascii="Segoe UI" w:hAnsi="Segoe UI" w:cs="Segoe UI"/>
        </w:rPr>
        <w:t>. Steps (4)-(6)</w:t>
      </w:r>
      <w:r w:rsidR="540A84E9" w:rsidRPr="72F6147B">
        <w:rPr>
          <w:rFonts w:ascii="Segoe UI" w:hAnsi="Segoe UI" w:cs="Segoe UI"/>
        </w:rPr>
        <w:t xml:space="preserve"> represent a novel “now-casting”</w:t>
      </w:r>
      <w:r w:rsidR="25764FB3" w:rsidRPr="72F6147B">
        <w:rPr>
          <w:rFonts w:ascii="Segoe UI" w:hAnsi="Segoe UI" w:cs="Segoe UI"/>
        </w:rPr>
        <w:t xml:space="preserve"> </w:t>
      </w:r>
      <w:r w:rsidR="004B4B28" w:rsidRPr="72F6147B">
        <w:rPr>
          <w:rFonts w:ascii="Segoe UI" w:hAnsi="Segoe UI" w:cs="Segoe UI"/>
        </w:rPr>
        <w:t xml:space="preserve">method developed by </w:t>
      </w:r>
      <w:r w:rsidR="00E172CD" w:rsidRPr="72F6147B">
        <w:rPr>
          <w:rFonts w:ascii="Segoe UI" w:hAnsi="Segoe UI" w:cs="Segoe UI"/>
        </w:rPr>
        <w:lastRenderedPageBreak/>
        <w:t>NORC</w:t>
      </w:r>
      <w:r w:rsidR="004B4B28" w:rsidRPr="72F6147B">
        <w:rPr>
          <w:rFonts w:ascii="Segoe UI" w:hAnsi="Segoe UI" w:cs="Segoe UI"/>
        </w:rPr>
        <w:t xml:space="preserve"> researchers. Now-casting is </w:t>
      </w:r>
      <w:r w:rsidR="00E172CD" w:rsidRPr="72F6147B">
        <w:rPr>
          <w:rFonts w:ascii="Segoe UI" w:hAnsi="Segoe UI" w:cs="Segoe UI"/>
        </w:rPr>
        <w:t xml:space="preserve">a </w:t>
      </w:r>
      <w:r w:rsidR="540A84E9" w:rsidRPr="72F6147B">
        <w:rPr>
          <w:rFonts w:ascii="Segoe UI" w:hAnsi="Segoe UI" w:cs="Segoe UI"/>
        </w:rPr>
        <w:t xml:space="preserve">term adapted from “fore-casting”, </w:t>
      </w:r>
      <w:r w:rsidR="004B4B28" w:rsidRPr="72F6147B">
        <w:rPr>
          <w:rFonts w:ascii="Segoe UI" w:hAnsi="Segoe UI" w:cs="Segoe UI"/>
        </w:rPr>
        <w:t xml:space="preserve">meant </w:t>
      </w:r>
      <w:r w:rsidR="540A84E9" w:rsidRPr="72F6147B">
        <w:rPr>
          <w:rFonts w:ascii="Segoe UI" w:hAnsi="Segoe UI" w:cs="Segoe UI"/>
        </w:rPr>
        <w:t xml:space="preserve">to imply that the method uses lagged </w:t>
      </w:r>
      <w:r w:rsidR="0003498F" w:rsidRPr="72F6147B">
        <w:rPr>
          <w:rFonts w:ascii="Segoe UI" w:hAnsi="Segoe UI" w:cs="Segoe UI"/>
        </w:rPr>
        <w:t xml:space="preserve">(historical) </w:t>
      </w:r>
      <w:r w:rsidR="540A84E9" w:rsidRPr="72F6147B">
        <w:rPr>
          <w:rFonts w:ascii="Segoe UI" w:hAnsi="Segoe UI" w:cs="Segoe UI"/>
        </w:rPr>
        <w:t>data to characterize present circumstances</w:t>
      </w:r>
      <w:r w:rsidR="2022ADEA" w:rsidRPr="72F6147B">
        <w:rPr>
          <w:rFonts w:ascii="Segoe UI" w:hAnsi="Segoe UI" w:cs="Segoe UI"/>
        </w:rPr>
        <w:t>.</w:t>
      </w:r>
    </w:p>
    <w:p w14:paraId="03091C33" w14:textId="45F63672" w:rsidR="5A7EDF43" w:rsidRDefault="2EDDEBB5" w:rsidP="5A7EDF43">
      <w:pPr>
        <w:tabs>
          <w:tab w:val="left" w:pos="1200"/>
        </w:tabs>
        <w:jc w:val="both"/>
        <w:rPr>
          <w:rFonts w:ascii="Segoe UI" w:hAnsi="Segoe UI" w:cs="Segoe UI"/>
        </w:rPr>
      </w:pPr>
      <w:r w:rsidRPr="1CDFC7DE">
        <w:rPr>
          <w:rFonts w:ascii="Segoe UI" w:hAnsi="Segoe UI" w:cs="Segoe UI"/>
        </w:rPr>
        <w:t xml:space="preserve">Recognizing that every estimate </w:t>
      </w:r>
      <w:r w:rsidR="2EC90D1E" w:rsidRPr="1CDFC7DE">
        <w:rPr>
          <w:rFonts w:ascii="Segoe UI" w:hAnsi="Segoe UI" w:cs="Segoe UI"/>
        </w:rPr>
        <w:t xml:space="preserve">yielded from </w:t>
      </w:r>
      <w:r w:rsidR="00287EFE">
        <w:rPr>
          <w:rFonts w:ascii="Segoe UI" w:hAnsi="Segoe UI" w:cs="Segoe UI"/>
        </w:rPr>
        <w:t xml:space="preserve">both </w:t>
      </w:r>
      <w:r w:rsidR="2EC90D1E" w:rsidRPr="1CDFC7DE">
        <w:rPr>
          <w:rFonts w:ascii="Segoe UI" w:hAnsi="Segoe UI" w:cs="Segoe UI"/>
        </w:rPr>
        <w:t xml:space="preserve">survey data and </w:t>
      </w:r>
      <w:r w:rsidRPr="1CDFC7DE">
        <w:rPr>
          <w:rFonts w:ascii="Segoe UI" w:hAnsi="Segoe UI" w:cs="Segoe UI"/>
        </w:rPr>
        <w:t xml:space="preserve">statistical methods </w:t>
      </w:r>
      <w:r w:rsidR="02EBC008" w:rsidRPr="1CDFC7DE">
        <w:rPr>
          <w:rFonts w:ascii="Segoe UI" w:hAnsi="Segoe UI" w:cs="Segoe UI"/>
        </w:rPr>
        <w:t xml:space="preserve">has a specific amount of uncertainty, </w:t>
      </w:r>
      <w:r w:rsidR="215C7474" w:rsidRPr="1CDFC7DE">
        <w:rPr>
          <w:rFonts w:ascii="Segoe UI" w:hAnsi="Segoe UI" w:cs="Segoe UI"/>
        </w:rPr>
        <w:t xml:space="preserve">we use a range of statistical </w:t>
      </w:r>
      <w:r w:rsidR="4708C66E" w:rsidRPr="1CDFC7DE">
        <w:rPr>
          <w:rFonts w:ascii="Segoe UI" w:hAnsi="Segoe UI" w:cs="Segoe UI"/>
        </w:rPr>
        <w:t>calculations</w:t>
      </w:r>
      <w:r w:rsidR="002D7972">
        <w:rPr>
          <w:rFonts w:ascii="Segoe UI" w:hAnsi="Segoe UI" w:cs="Segoe UI"/>
        </w:rPr>
        <w:t xml:space="preserve"> </w:t>
      </w:r>
      <w:r w:rsidR="215C7474" w:rsidRPr="1CDFC7DE">
        <w:rPr>
          <w:rFonts w:ascii="Segoe UI" w:hAnsi="Segoe UI" w:cs="Segoe UI"/>
        </w:rPr>
        <w:t xml:space="preserve">to </w:t>
      </w:r>
      <w:r w:rsidR="0B75CD15" w:rsidRPr="1CDFC7DE">
        <w:rPr>
          <w:rFonts w:ascii="Segoe UI" w:hAnsi="Segoe UI" w:cs="Segoe UI"/>
        </w:rPr>
        <w:t xml:space="preserve">capture </w:t>
      </w:r>
      <w:r w:rsidR="215C7474" w:rsidRPr="1CDFC7DE">
        <w:rPr>
          <w:rFonts w:ascii="Segoe UI" w:hAnsi="Segoe UI" w:cs="Segoe UI"/>
        </w:rPr>
        <w:t>this combined uncertainty throughout our full method</w:t>
      </w:r>
      <w:r w:rsidR="1BE46D8E" w:rsidRPr="1CDFC7DE">
        <w:rPr>
          <w:rFonts w:ascii="Segoe UI" w:hAnsi="Segoe UI" w:cs="Segoe UI"/>
        </w:rPr>
        <w:t>.</w:t>
      </w:r>
      <w:r w:rsidR="002D7972">
        <w:rPr>
          <w:rFonts w:ascii="Segoe UI" w:hAnsi="Segoe UI" w:cs="Segoe UI"/>
        </w:rPr>
        <w:t xml:space="preserve"> </w:t>
      </w:r>
      <w:r w:rsidR="53D9C6CE" w:rsidRPr="1EC58D94">
        <w:rPr>
          <w:rFonts w:ascii="Segoe UI" w:hAnsi="Segoe UI" w:cs="Segoe UI"/>
        </w:rPr>
        <w:t>The amount of uncertainty</w:t>
      </w:r>
      <w:r w:rsidR="00E35393" w:rsidRPr="1EC58D94">
        <w:rPr>
          <w:rFonts w:ascii="Segoe UI" w:hAnsi="Segoe UI" w:cs="Segoe UI"/>
        </w:rPr>
        <w:t xml:space="preserve"> for a given eligibility estimate</w:t>
      </w:r>
      <w:r w:rsidR="53D9C6CE" w:rsidRPr="1EC58D94">
        <w:rPr>
          <w:rFonts w:ascii="Segoe UI" w:hAnsi="Segoe UI" w:cs="Segoe UI"/>
        </w:rPr>
        <w:t xml:space="preserve"> is reflected in lower bound and the upper bound</w:t>
      </w:r>
      <w:r w:rsidR="008560E6">
        <w:rPr>
          <w:rFonts w:ascii="Segoe UI" w:hAnsi="Segoe UI" w:cs="Segoe UI"/>
        </w:rPr>
        <w:t xml:space="preserve"> estimates</w:t>
      </w:r>
      <w:r w:rsidR="53D9C6CE" w:rsidRPr="1EC58D94">
        <w:rPr>
          <w:rFonts w:ascii="Segoe UI" w:hAnsi="Segoe UI" w:cs="Segoe UI"/>
        </w:rPr>
        <w:t xml:space="preserve">. These bounds indicate confidence levels in the precision of each estimate, which is useful for </w:t>
      </w:r>
      <w:r w:rsidR="00736E6B" w:rsidRPr="1EC58D94">
        <w:rPr>
          <w:rFonts w:ascii="Segoe UI" w:hAnsi="Segoe UI" w:cs="Segoe UI"/>
        </w:rPr>
        <w:t>decision</w:t>
      </w:r>
      <w:r w:rsidR="53D9C6CE" w:rsidRPr="1EC58D94">
        <w:rPr>
          <w:rFonts w:ascii="Segoe UI" w:hAnsi="Segoe UI" w:cs="Segoe UI"/>
        </w:rPr>
        <w:t xml:space="preserve">-making purposes. </w:t>
      </w:r>
    </w:p>
    <w:p w14:paraId="5074F3E3" w14:textId="7E21CF9F" w:rsidR="005A5206" w:rsidRDefault="00B13884" w:rsidP="5A7EDF43">
      <w:pPr>
        <w:tabs>
          <w:tab w:val="left" w:pos="1200"/>
        </w:tabs>
        <w:jc w:val="both"/>
        <w:rPr>
          <w:rFonts w:ascii="Segoe UI" w:hAnsi="Segoe UI" w:cs="Segoe UI"/>
        </w:rPr>
      </w:pPr>
      <w:r>
        <w:rPr>
          <w:rFonts w:ascii="Segoe UI" w:hAnsi="Segoe UI" w:cs="Segoe UI"/>
        </w:rPr>
        <w:t xml:space="preserve">The code used to implement ELPEP—as well as documentation describing its use for new users, and highly detailed technical notes—can be found in open source at </w:t>
      </w:r>
      <w:hyperlink r:id="rId11" w:history="1">
        <w:r w:rsidRPr="00B13884">
          <w:rPr>
            <w:rStyle w:val="Hyperlink"/>
            <w:rFonts w:ascii="Segoe UI" w:hAnsi="Segoe UI" w:cs="Segoe UI"/>
          </w:rPr>
          <w:t>this link</w:t>
        </w:r>
      </w:hyperlink>
      <w:r>
        <w:rPr>
          <w:rFonts w:ascii="Segoe UI" w:hAnsi="Segoe UI" w:cs="Segoe UI"/>
        </w:rPr>
        <w:t>.</w:t>
      </w:r>
    </w:p>
    <w:p w14:paraId="655A2B94" w14:textId="1F99CE23" w:rsidR="00AE6465" w:rsidRDefault="00AE6465" w:rsidP="5A7EDF43">
      <w:pPr>
        <w:tabs>
          <w:tab w:val="left" w:pos="1200"/>
        </w:tabs>
        <w:jc w:val="both"/>
        <w:rPr>
          <w:rFonts w:ascii="Segoe UI" w:hAnsi="Segoe UI" w:cs="Segoe UI"/>
          <w:b/>
          <w:bCs/>
        </w:rPr>
      </w:pPr>
      <w:r>
        <w:rPr>
          <w:rFonts w:ascii="Segoe UI" w:hAnsi="Segoe UI" w:cs="Segoe UI"/>
          <w:b/>
          <w:bCs/>
        </w:rPr>
        <w:t>Limitations</w:t>
      </w:r>
    </w:p>
    <w:p w14:paraId="2DD5DE01" w14:textId="1E511F02" w:rsidR="00AE6465" w:rsidRDefault="00146405" w:rsidP="00AE6465">
      <w:pPr>
        <w:pStyle w:val="ListParagraph"/>
        <w:numPr>
          <w:ilvl w:val="0"/>
          <w:numId w:val="8"/>
        </w:numPr>
        <w:tabs>
          <w:tab w:val="left" w:pos="1200"/>
        </w:tabs>
        <w:jc w:val="both"/>
        <w:rPr>
          <w:rFonts w:ascii="Segoe UI" w:hAnsi="Segoe UI" w:cs="Segoe UI"/>
        </w:rPr>
      </w:pPr>
      <w:r w:rsidRPr="00146405">
        <w:rPr>
          <w:rFonts w:ascii="Segoe UI" w:hAnsi="Segoe UI" w:cs="Segoe UI"/>
        </w:rPr>
        <w:t>Precision</w:t>
      </w:r>
      <w:r w:rsidR="00C51A59">
        <w:rPr>
          <w:rFonts w:ascii="Segoe UI" w:hAnsi="Segoe UI" w:cs="Segoe UI"/>
        </w:rPr>
        <w:t xml:space="preserve"> is naturally </w:t>
      </w:r>
      <w:r w:rsidR="001E5A79">
        <w:rPr>
          <w:rFonts w:ascii="Segoe UI" w:hAnsi="Segoe UI" w:cs="Segoe UI"/>
        </w:rPr>
        <w:t xml:space="preserve">reduced </w:t>
      </w:r>
      <w:r w:rsidR="00D25DB5">
        <w:rPr>
          <w:rFonts w:ascii="Segoe UI" w:hAnsi="Segoe UI" w:cs="Segoe UI"/>
        </w:rPr>
        <w:t xml:space="preserve">when making estimates at </w:t>
      </w:r>
      <w:r w:rsidR="001E5A79">
        <w:rPr>
          <w:rFonts w:ascii="Segoe UI" w:hAnsi="Segoe UI" w:cs="Segoe UI"/>
        </w:rPr>
        <w:t>more geographically granular level</w:t>
      </w:r>
    </w:p>
    <w:p w14:paraId="52C306BA" w14:textId="10214811" w:rsidR="00457D92" w:rsidRDefault="00C166C4" w:rsidP="00AE6465">
      <w:pPr>
        <w:pStyle w:val="ListParagraph"/>
        <w:numPr>
          <w:ilvl w:val="0"/>
          <w:numId w:val="8"/>
        </w:numPr>
        <w:tabs>
          <w:tab w:val="left" w:pos="1200"/>
        </w:tabs>
        <w:jc w:val="both"/>
        <w:rPr>
          <w:rFonts w:ascii="Segoe UI" w:hAnsi="Segoe UI" w:cs="Segoe UI"/>
        </w:rPr>
      </w:pPr>
      <w:r>
        <w:rPr>
          <w:rFonts w:ascii="Segoe UI" w:hAnsi="Segoe UI" w:cs="Segoe UI"/>
        </w:rPr>
        <w:t xml:space="preserve">Reliance on Census incorporates some known sources of bias, such as </w:t>
      </w:r>
      <w:r w:rsidR="00876A4B">
        <w:rPr>
          <w:rFonts w:ascii="Segoe UI" w:hAnsi="Segoe UI" w:cs="Segoe UI"/>
        </w:rPr>
        <w:t xml:space="preserve">documented </w:t>
      </w:r>
      <w:r>
        <w:rPr>
          <w:rFonts w:ascii="Segoe UI" w:hAnsi="Segoe UI" w:cs="Segoe UI"/>
        </w:rPr>
        <w:t>undercounting of young children</w:t>
      </w:r>
    </w:p>
    <w:p w14:paraId="269D329B" w14:textId="5DBAE24C" w:rsidR="00AC4771" w:rsidRPr="00146405" w:rsidRDefault="00AC4771" w:rsidP="00AE6465">
      <w:pPr>
        <w:pStyle w:val="ListParagraph"/>
        <w:numPr>
          <w:ilvl w:val="0"/>
          <w:numId w:val="8"/>
        </w:numPr>
        <w:tabs>
          <w:tab w:val="left" w:pos="1200"/>
        </w:tabs>
        <w:jc w:val="both"/>
        <w:rPr>
          <w:rFonts w:ascii="Segoe UI" w:hAnsi="Segoe UI" w:cs="Segoe UI"/>
        </w:rPr>
      </w:pPr>
      <w:r w:rsidRPr="3035D8B8">
        <w:rPr>
          <w:rFonts w:ascii="Segoe UI" w:hAnsi="Segoe UI" w:cs="Segoe UI"/>
        </w:rPr>
        <w:t xml:space="preserve">Some state </w:t>
      </w:r>
      <w:r w:rsidR="00167E1A" w:rsidRPr="3035D8B8">
        <w:rPr>
          <w:rFonts w:ascii="Segoe UI" w:hAnsi="Segoe UI" w:cs="Segoe UI"/>
        </w:rPr>
        <w:t xml:space="preserve">eligibility rules may not be adequately identified in the Census data, such as </w:t>
      </w:r>
      <w:r w:rsidR="00D43F88" w:rsidRPr="3035D8B8">
        <w:rPr>
          <w:rFonts w:ascii="Segoe UI" w:hAnsi="Segoe UI" w:cs="Segoe UI"/>
        </w:rPr>
        <w:t xml:space="preserve">families involved in the child welfare system, deployed </w:t>
      </w:r>
      <w:r w:rsidR="00167E1A" w:rsidRPr="3035D8B8">
        <w:rPr>
          <w:rFonts w:ascii="Segoe UI" w:hAnsi="Segoe UI" w:cs="Segoe UI"/>
        </w:rPr>
        <w:t xml:space="preserve">military families, </w:t>
      </w:r>
      <w:r w:rsidR="00E864B0" w:rsidRPr="3035D8B8">
        <w:rPr>
          <w:rFonts w:ascii="Segoe UI" w:hAnsi="Segoe UI" w:cs="Segoe UI"/>
        </w:rPr>
        <w:t xml:space="preserve">or </w:t>
      </w:r>
      <w:r w:rsidR="00167E1A" w:rsidRPr="3035D8B8">
        <w:rPr>
          <w:rFonts w:ascii="Segoe UI" w:hAnsi="Segoe UI" w:cs="Segoe UI"/>
        </w:rPr>
        <w:t xml:space="preserve">youth with </w:t>
      </w:r>
      <w:r w:rsidR="00322409" w:rsidRPr="3035D8B8">
        <w:rPr>
          <w:rFonts w:ascii="Segoe UI" w:hAnsi="Segoe UI" w:cs="Segoe UI"/>
        </w:rPr>
        <w:t>documented</w:t>
      </w:r>
      <w:r w:rsidR="637023F2" w:rsidRPr="3035D8B8">
        <w:rPr>
          <w:rFonts w:ascii="Segoe UI" w:hAnsi="Segoe UI" w:cs="Segoe UI"/>
        </w:rPr>
        <w:t xml:space="preserve"> </w:t>
      </w:r>
      <w:r w:rsidR="00167E1A" w:rsidRPr="3035D8B8">
        <w:rPr>
          <w:rFonts w:ascii="Segoe UI" w:hAnsi="Segoe UI" w:cs="Segoe UI"/>
        </w:rPr>
        <w:t>disabilities</w:t>
      </w:r>
      <w:r w:rsidR="6CB6717D" w:rsidRPr="3035D8B8">
        <w:rPr>
          <w:rFonts w:ascii="Segoe UI" w:hAnsi="Segoe UI" w:cs="Segoe UI"/>
        </w:rPr>
        <w:t xml:space="preserve">. </w:t>
      </w:r>
    </w:p>
    <w:p w14:paraId="117A041B" w14:textId="67F70A2A" w:rsidR="00287EFE" w:rsidRPr="00D52803" w:rsidRDefault="0011304C" w:rsidP="00023886">
      <w:pPr>
        <w:pStyle w:val="Heading2"/>
        <w:rPr>
          <w:color w:val="auto"/>
        </w:rPr>
      </w:pPr>
      <w:r w:rsidRPr="00D52803">
        <w:rPr>
          <w:color w:val="auto"/>
        </w:rPr>
        <w:t>Potential Applications</w:t>
      </w:r>
    </w:p>
    <w:p w14:paraId="596DBD9E" w14:textId="7A293295" w:rsidR="0054061E" w:rsidRDefault="000028C5" w:rsidP="000F75A0">
      <w:pPr>
        <w:tabs>
          <w:tab w:val="left" w:pos="1200"/>
        </w:tabs>
        <w:jc w:val="both"/>
        <w:rPr>
          <w:rFonts w:ascii="Segoe UI" w:hAnsi="Segoe UI" w:cs="Segoe UI"/>
        </w:rPr>
      </w:pPr>
      <w:r>
        <w:rPr>
          <w:rFonts w:ascii="Segoe UI" w:hAnsi="Segoe UI" w:cs="Segoe UI"/>
        </w:rPr>
        <w:t xml:space="preserve">ELPEP </w:t>
      </w:r>
      <w:r w:rsidR="0054061E">
        <w:rPr>
          <w:rFonts w:ascii="Segoe UI" w:hAnsi="Segoe UI" w:cs="Segoe UI"/>
        </w:rPr>
        <w:t>has distinct potential relative to other tools in the applied research space.</w:t>
      </w:r>
      <w:r w:rsidR="003621AC">
        <w:rPr>
          <w:rFonts w:ascii="Segoe UI" w:hAnsi="Segoe UI" w:cs="Segoe UI"/>
        </w:rPr>
        <w:t xml:space="preserve"> </w:t>
      </w:r>
      <w:r w:rsidR="001D4B1B">
        <w:rPr>
          <w:rFonts w:ascii="Segoe UI" w:hAnsi="Segoe UI" w:cs="Segoe UI"/>
        </w:rPr>
        <w:t xml:space="preserve">A </w:t>
      </w:r>
      <w:proofErr w:type="gramStart"/>
      <w:r w:rsidR="001D4B1B">
        <w:rPr>
          <w:rFonts w:ascii="Segoe UI" w:hAnsi="Segoe UI" w:cs="Segoe UI"/>
        </w:rPr>
        <w:t>widely-known</w:t>
      </w:r>
      <w:proofErr w:type="gramEnd"/>
      <w:r w:rsidR="001D4B1B">
        <w:rPr>
          <w:rFonts w:ascii="Segoe UI" w:hAnsi="Segoe UI" w:cs="Segoe UI"/>
        </w:rPr>
        <w:t xml:space="preserve"> tool for estimating </w:t>
      </w:r>
      <w:r w:rsidR="002C7861">
        <w:rPr>
          <w:rFonts w:ascii="Segoe UI" w:hAnsi="Segoe UI" w:cs="Segoe UI"/>
        </w:rPr>
        <w:t>eligibility status for means-tested programs is the Urban Institute’s Analy</w:t>
      </w:r>
      <w:r w:rsidR="00F031DC">
        <w:rPr>
          <w:rFonts w:ascii="Segoe UI" w:hAnsi="Segoe UI" w:cs="Segoe UI"/>
        </w:rPr>
        <w:t xml:space="preserve">sis of Transfers, Taxes, and Income Security (ATTIS) model. ATTIS is designed to </w:t>
      </w:r>
      <w:r w:rsidR="008E54E9">
        <w:rPr>
          <w:rFonts w:ascii="Segoe UI" w:hAnsi="Segoe UI" w:cs="Segoe UI"/>
        </w:rPr>
        <w:t xml:space="preserve">capture detailed eligibility criteria for a wide range of programs, and to estimate how patterns of eligibility would change with respect to proposed rules. </w:t>
      </w:r>
      <w:r w:rsidR="002D3C02">
        <w:rPr>
          <w:rFonts w:ascii="Segoe UI" w:hAnsi="Segoe UI" w:cs="Segoe UI"/>
        </w:rPr>
        <w:t xml:space="preserve">However, ATTIS reporting is limited to reporting at the PUMA-level at its most </w:t>
      </w:r>
      <w:r w:rsidR="003621AC">
        <w:rPr>
          <w:rFonts w:ascii="Segoe UI" w:hAnsi="Segoe UI" w:cs="Segoe UI"/>
        </w:rPr>
        <w:t xml:space="preserve">geographically </w:t>
      </w:r>
      <w:r w:rsidR="002D3C02">
        <w:rPr>
          <w:rFonts w:ascii="Segoe UI" w:hAnsi="Segoe UI" w:cs="Segoe UI"/>
        </w:rPr>
        <w:t>granular.</w:t>
      </w:r>
      <w:r w:rsidR="003621AC">
        <w:rPr>
          <w:rFonts w:ascii="Segoe UI" w:hAnsi="Segoe UI" w:cs="Segoe UI"/>
        </w:rPr>
        <w:t xml:space="preserve"> </w:t>
      </w:r>
    </w:p>
    <w:p w14:paraId="54E63470" w14:textId="4FB52C73" w:rsidR="003621AC" w:rsidRDefault="003621AC" w:rsidP="000F75A0">
      <w:pPr>
        <w:tabs>
          <w:tab w:val="left" w:pos="1200"/>
        </w:tabs>
        <w:jc w:val="both"/>
        <w:rPr>
          <w:rFonts w:ascii="Segoe UI" w:hAnsi="Segoe UI" w:cs="Segoe UI"/>
        </w:rPr>
      </w:pPr>
      <w:r>
        <w:rPr>
          <w:rFonts w:ascii="Segoe UI" w:hAnsi="Segoe UI" w:cs="Segoe UI"/>
        </w:rPr>
        <w:t xml:space="preserve">While ELPEP has been developed only for estimating eligibility for </w:t>
      </w:r>
      <w:proofErr w:type="gramStart"/>
      <w:r>
        <w:rPr>
          <w:rFonts w:ascii="Segoe UI" w:hAnsi="Segoe UI" w:cs="Segoe UI"/>
        </w:rPr>
        <w:t>child care</w:t>
      </w:r>
      <w:proofErr w:type="gramEnd"/>
      <w:r>
        <w:rPr>
          <w:rFonts w:ascii="Segoe UI" w:hAnsi="Segoe UI" w:cs="Segoe UI"/>
        </w:rPr>
        <w:t xml:space="preserve"> subsidies</w:t>
      </w:r>
      <w:r w:rsidR="006D3B20">
        <w:rPr>
          <w:rFonts w:ascii="Segoe UI" w:hAnsi="Segoe UI" w:cs="Segoe UI"/>
        </w:rPr>
        <w:t xml:space="preserve">, it </w:t>
      </w:r>
      <w:r w:rsidR="00FD08A1">
        <w:rPr>
          <w:rFonts w:ascii="Segoe UI" w:hAnsi="Segoe UI" w:cs="Segoe UI"/>
        </w:rPr>
        <w:t xml:space="preserve">has several advantages to </w:t>
      </w:r>
      <w:r w:rsidR="006D3B20">
        <w:rPr>
          <w:rFonts w:ascii="Segoe UI" w:hAnsi="Segoe UI" w:cs="Segoe UI"/>
        </w:rPr>
        <w:t>ATTIS</w:t>
      </w:r>
      <w:r w:rsidR="00FD08A1">
        <w:rPr>
          <w:rFonts w:ascii="Segoe UI" w:hAnsi="Segoe UI" w:cs="Segoe UI"/>
        </w:rPr>
        <w:t xml:space="preserve">. First and most prominently, ELPEP is a statistical framework that </w:t>
      </w:r>
      <w:r w:rsidR="001557AC">
        <w:rPr>
          <w:rFonts w:ascii="Segoe UI" w:hAnsi="Segoe UI" w:cs="Segoe UI"/>
        </w:rPr>
        <w:t xml:space="preserve">can incorporate the strengths of additional data. As seen in Table 1 above, ELPEP </w:t>
      </w:r>
      <w:proofErr w:type="gramStart"/>
      <w:r w:rsidR="00B65D34">
        <w:rPr>
          <w:rFonts w:ascii="Segoe UI" w:hAnsi="Segoe UI" w:cs="Segoe UI"/>
        </w:rPr>
        <w:t>is able to</w:t>
      </w:r>
      <w:proofErr w:type="gramEnd"/>
      <w:r w:rsidR="00B65D34">
        <w:rPr>
          <w:rFonts w:ascii="Segoe UI" w:hAnsi="Segoe UI" w:cs="Segoe UI"/>
        </w:rPr>
        <w:t xml:space="preserve"> use the granularity of the ACS 5-year data, and economic trends in the CPS to develop estimates that </w:t>
      </w:r>
      <w:r w:rsidR="000F67E9">
        <w:rPr>
          <w:rFonts w:ascii="Segoe UI" w:hAnsi="Segoe UI" w:cs="Segoe UI"/>
        </w:rPr>
        <w:t xml:space="preserve">more up-to-date, and more local than ATTIS. Second, ELPEP has </w:t>
      </w:r>
      <w:r w:rsidR="00A63A87">
        <w:rPr>
          <w:rFonts w:ascii="Segoe UI" w:hAnsi="Segoe UI" w:cs="Segoe UI"/>
        </w:rPr>
        <w:t xml:space="preserve">to-date </w:t>
      </w:r>
      <w:r w:rsidR="000F67E9">
        <w:rPr>
          <w:rFonts w:ascii="Segoe UI" w:hAnsi="Segoe UI" w:cs="Segoe UI"/>
        </w:rPr>
        <w:t xml:space="preserve">been developed </w:t>
      </w:r>
      <w:hyperlink r:id="rId12" w:history="1">
        <w:r w:rsidR="000F67E9" w:rsidRPr="00A63A87">
          <w:rPr>
            <w:rStyle w:val="Hyperlink"/>
            <w:rFonts w:ascii="Segoe UI" w:hAnsi="Segoe UI" w:cs="Segoe UI"/>
          </w:rPr>
          <w:t>in open source</w:t>
        </w:r>
      </w:hyperlink>
      <w:r w:rsidR="00A63A87">
        <w:rPr>
          <w:rFonts w:ascii="Segoe UI" w:hAnsi="Segoe UI" w:cs="Segoe UI"/>
        </w:rPr>
        <w:t>, offering greater transparency and potential for use and adaptation.</w:t>
      </w:r>
      <w:r w:rsidR="000F67E9">
        <w:rPr>
          <w:rFonts w:ascii="Segoe UI" w:hAnsi="Segoe UI" w:cs="Segoe UI"/>
        </w:rPr>
        <w:t xml:space="preserve"> </w:t>
      </w:r>
    </w:p>
    <w:p w14:paraId="349BE725" w14:textId="16BADCC5" w:rsidR="000F75A0" w:rsidRPr="00F84B8C" w:rsidRDefault="004F339A" w:rsidP="000132CB">
      <w:pPr>
        <w:tabs>
          <w:tab w:val="left" w:pos="1200"/>
        </w:tabs>
        <w:jc w:val="both"/>
        <w:rPr>
          <w:rFonts w:ascii="Segoe UI" w:hAnsi="Segoe UI" w:cs="Segoe UI"/>
        </w:rPr>
      </w:pPr>
      <w:r>
        <w:rPr>
          <w:rFonts w:ascii="Segoe UI" w:hAnsi="Segoe UI" w:cs="Segoe UI"/>
        </w:rPr>
        <w:t xml:space="preserve">Whereas ATTIS may be best suited as feedback to </w:t>
      </w:r>
      <w:proofErr w:type="gramStart"/>
      <w:r>
        <w:rPr>
          <w:rFonts w:ascii="Segoe UI" w:hAnsi="Segoe UI" w:cs="Segoe UI"/>
        </w:rPr>
        <w:t>rule-making</w:t>
      </w:r>
      <w:proofErr w:type="gramEnd"/>
      <w:r>
        <w:rPr>
          <w:rFonts w:ascii="Segoe UI" w:hAnsi="Segoe UI" w:cs="Segoe UI"/>
        </w:rPr>
        <w:t xml:space="preserve"> and budgeting for states, we believe that ELPEP provides the best evidence </w:t>
      </w:r>
      <w:r w:rsidR="0063354A">
        <w:rPr>
          <w:rFonts w:ascii="Segoe UI" w:hAnsi="Segoe UI" w:cs="Segoe UI"/>
        </w:rPr>
        <w:t xml:space="preserve">for assessing, motivating, and evaluating program local efforts for making public programs accessible. </w:t>
      </w:r>
      <w:r w:rsidR="000132CB">
        <w:rPr>
          <w:rFonts w:ascii="Segoe UI" w:hAnsi="Segoe UI" w:cs="Segoe UI"/>
        </w:rPr>
        <w:t xml:space="preserve">NORC researchers are currently developing automated reports for Illinois </w:t>
      </w:r>
      <w:r w:rsidR="00DE4715">
        <w:rPr>
          <w:rFonts w:ascii="Segoe UI" w:hAnsi="Segoe UI" w:cs="Segoe UI"/>
        </w:rPr>
        <w:t>that make use of ELPEP estimates to assess both</w:t>
      </w:r>
      <w:r w:rsidR="000132CB">
        <w:rPr>
          <w:rFonts w:ascii="Segoe UI" w:hAnsi="Segoe UI" w:cs="Segoe UI"/>
        </w:rPr>
        <w:t>:</w:t>
      </w:r>
    </w:p>
    <w:p w14:paraId="5BFF341B" w14:textId="77777777" w:rsidR="000F75A0" w:rsidRPr="00F84B8C" w:rsidRDefault="1EF3CCD2" w:rsidP="000F75A0">
      <w:pPr>
        <w:pStyle w:val="ListParagraph"/>
        <w:numPr>
          <w:ilvl w:val="0"/>
          <w:numId w:val="4"/>
        </w:numPr>
        <w:tabs>
          <w:tab w:val="left" w:pos="1200"/>
        </w:tabs>
        <w:jc w:val="both"/>
        <w:rPr>
          <w:rFonts w:ascii="Segoe UI" w:hAnsi="Segoe UI" w:cs="Segoe UI"/>
        </w:rPr>
      </w:pPr>
      <w:r w:rsidRPr="1CDFC7DE">
        <w:rPr>
          <w:rFonts w:ascii="Segoe UI" w:hAnsi="Segoe UI" w:cs="Segoe UI"/>
          <w:b/>
          <w:bCs/>
        </w:rPr>
        <w:t xml:space="preserve">Engagement with CCAP among eligible families. </w:t>
      </w:r>
      <w:r w:rsidRPr="1CDFC7DE">
        <w:rPr>
          <w:rFonts w:ascii="Segoe UI" w:hAnsi="Segoe UI" w:cs="Segoe UI"/>
        </w:rPr>
        <w:t xml:space="preserve">In which areas of the state are children in eligible families more likely to take-up CCAP subsidies—measured by a ratio between </w:t>
      </w:r>
      <w:r w:rsidRPr="1CDFC7DE">
        <w:rPr>
          <w:rFonts w:ascii="Segoe UI" w:hAnsi="Segoe UI" w:cs="Segoe UI"/>
        </w:rPr>
        <w:lastRenderedPageBreak/>
        <w:t>the number of CCAP-enrolled and CCAP-eligible and what are the characteristics/contexts of areas that are above/below state averages?</w:t>
      </w:r>
    </w:p>
    <w:p w14:paraId="687EDC74" w14:textId="2F0F27E5" w:rsidR="000F75A0" w:rsidRPr="00F84B8C" w:rsidRDefault="1EF3CCD2" w:rsidP="000F75A0">
      <w:pPr>
        <w:pStyle w:val="ListParagraph"/>
        <w:numPr>
          <w:ilvl w:val="0"/>
          <w:numId w:val="4"/>
        </w:numPr>
        <w:tabs>
          <w:tab w:val="left" w:pos="1200"/>
        </w:tabs>
        <w:jc w:val="both"/>
        <w:rPr>
          <w:rFonts w:ascii="Segoe UI" w:hAnsi="Segoe UI" w:cs="Segoe UI"/>
        </w:rPr>
      </w:pPr>
      <w:r w:rsidRPr="1CDFC7DE">
        <w:rPr>
          <w:rFonts w:ascii="Segoe UI" w:hAnsi="Segoe UI" w:cs="Segoe UI"/>
          <w:b/>
          <w:bCs/>
        </w:rPr>
        <w:t xml:space="preserve">Accessibility/sufficiency of existing provider capacity. </w:t>
      </w:r>
      <w:r w:rsidRPr="1CDFC7DE">
        <w:rPr>
          <w:rFonts w:ascii="Segoe UI" w:hAnsi="Segoe UI" w:cs="Segoe UI"/>
        </w:rPr>
        <w:t>In which areas of the state may there be gaps in the capacity of CCAP-accepting providers to serve potential/likely families</w:t>
      </w:r>
      <w:r w:rsidR="00DE4715">
        <w:rPr>
          <w:rFonts w:ascii="Segoe UI" w:hAnsi="Segoe UI" w:cs="Segoe UI"/>
        </w:rPr>
        <w:t>?</w:t>
      </w:r>
    </w:p>
    <w:p w14:paraId="762B2457" w14:textId="6C8C73BD" w:rsidR="2EDDEBB5" w:rsidRDefault="00AD0F68" w:rsidP="00AD0F68">
      <w:pPr>
        <w:pStyle w:val="Heading1"/>
      </w:pPr>
      <w:r>
        <w:t>Technical Notes on ELPEP Methods</w:t>
      </w:r>
    </w:p>
    <w:p w14:paraId="3F84E202" w14:textId="77777777" w:rsidR="00AD0F68" w:rsidRPr="00562A1D" w:rsidRDefault="00AD0F68" w:rsidP="00AD0F68">
      <w:pPr>
        <w:rPr>
          <w:rFonts w:ascii="Segoe UI" w:hAnsi="Segoe UI" w:cs="Segoe UI"/>
        </w:rPr>
      </w:pPr>
      <w:r w:rsidRPr="00562A1D">
        <w:rPr>
          <w:rFonts w:ascii="Segoe UI" w:hAnsi="Segoe UI" w:cs="Segoe UI"/>
        </w:rPr>
        <w:t>The ELPEP statistical method works in two stages:</w:t>
      </w:r>
    </w:p>
    <w:p w14:paraId="67DF345A" w14:textId="77777777" w:rsidR="00AD0F68" w:rsidRPr="00562A1D" w:rsidRDefault="00AD0F68" w:rsidP="00AD0F68">
      <w:pPr>
        <w:numPr>
          <w:ilvl w:val="0"/>
          <w:numId w:val="9"/>
        </w:numPr>
        <w:rPr>
          <w:rFonts w:ascii="Segoe UI" w:hAnsi="Segoe UI" w:cs="Segoe UI"/>
        </w:rPr>
      </w:pPr>
      <w:r w:rsidRPr="00562A1D">
        <w:rPr>
          <w:rFonts w:ascii="Segoe UI" w:hAnsi="Segoe UI" w:cs="Segoe UI"/>
        </w:rPr>
        <w:t xml:space="preserve">use of custom </w:t>
      </w:r>
      <w:r w:rsidRPr="00562A1D">
        <w:rPr>
          <w:rFonts w:ascii="Segoe UI" w:hAnsi="Segoe UI" w:cs="Segoe UI"/>
          <w:b/>
          <w:bCs/>
        </w:rPr>
        <w:t>Small Area Estimation</w:t>
      </w:r>
      <w:r w:rsidRPr="00562A1D">
        <w:rPr>
          <w:rFonts w:ascii="Segoe UI" w:hAnsi="Segoe UI" w:cs="Segoe UI"/>
        </w:rPr>
        <w:t xml:space="preserve"> methods to estimate a range of community characteristics related to childcare program eligibility at a small geographic level; and</w:t>
      </w:r>
    </w:p>
    <w:p w14:paraId="78E8416D" w14:textId="77777777" w:rsidR="00AD0F68" w:rsidRPr="00562A1D" w:rsidRDefault="00AD0F68" w:rsidP="00AD0F68">
      <w:pPr>
        <w:numPr>
          <w:ilvl w:val="0"/>
          <w:numId w:val="9"/>
        </w:numPr>
        <w:rPr>
          <w:rFonts w:ascii="Segoe UI" w:hAnsi="Segoe UI" w:cs="Segoe UI"/>
        </w:rPr>
      </w:pPr>
      <w:r w:rsidRPr="00562A1D">
        <w:rPr>
          <w:rFonts w:ascii="Segoe UI" w:hAnsi="Segoe UI" w:cs="Segoe UI"/>
        </w:rPr>
        <w:t>use of statistical methods to bring the first stage estimates up to the “</w:t>
      </w:r>
      <w:proofErr w:type="gramStart"/>
      <w:r w:rsidRPr="00562A1D">
        <w:rPr>
          <w:rFonts w:ascii="Segoe UI" w:hAnsi="Segoe UI" w:cs="Segoe UI"/>
        </w:rPr>
        <w:t>near-present</w:t>
      </w:r>
      <w:proofErr w:type="gramEnd"/>
      <w:r w:rsidRPr="00562A1D">
        <w:rPr>
          <w:rFonts w:ascii="Segoe UI" w:hAnsi="Segoe UI" w:cs="Segoe UI"/>
        </w:rPr>
        <w:t>” by capture macroeconomic trends relevant to these smaller geographies.</w:t>
      </w:r>
    </w:p>
    <w:p w14:paraId="0122DF8C" w14:textId="77777777" w:rsidR="00AD0F68" w:rsidRPr="00562A1D" w:rsidRDefault="00AD0F68" w:rsidP="00AD0F68">
      <w:pPr>
        <w:pStyle w:val="Heading3"/>
        <w:rPr>
          <w:rFonts w:ascii="Segoe UI" w:hAnsi="Segoe UI" w:cs="Segoe UI"/>
          <w:sz w:val="22"/>
          <w:szCs w:val="22"/>
        </w:rPr>
      </w:pPr>
      <w:bookmarkStart w:id="0" w:name="_Toc180574648"/>
      <w:bookmarkStart w:id="1" w:name="small-area-estimation"/>
      <w:r w:rsidRPr="00562A1D">
        <w:rPr>
          <w:rFonts w:ascii="Segoe UI" w:hAnsi="Segoe UI" w:cs="Segoe UI"/>
          <w:sz w:val="22"/>
          <w:szCs w:val="22"/>
        </w:rPr>
        <w:t>5.1.1 Small Area Estimation</w:t>
      </w:r>
      <w:bookmarkEnd w:id="0"/>
    </w:p>
    <w:p w14:paraId="31E6B588" w14:textId="5A0881F0" w:rsidR="00AD0F68" w:rsidRPr="00562A1D" w:rsidRDefault="00AD0F68" w:rsidP="00AD0F68">
      <w:pPr>
        <w:rPr>
          <w:rFonts w:ascii="Segoe UI" w:hAnsi="Segoe UI" w:cs="Segoe UI"/>
        </w:rPr>
      </w:pPr>
      <w:r w:rsidRPr="00562A1D">
        <w:rPr>
          <w:rFonts w:ascii="Segoe UI" w:hAnsi="Segoe UI" w:cs="Segoe UI"/>
        </w:rPr>
        <w:t>ELPEP’s implementation Small Area Estimation (SAE) uses several modifications to canonical methods to estimate community characteristics down to the Census tract level.</w:t>
      </w:r>
      <w:r w:rsidR="00CC23A3" w:rsidRPr="00562A1D">
        <w:rPr>
          <w:rStyle w:val="FootnoteReference"/>
          <w:rFonts w:ascii="Segoe UI" w:hAnsi="Segoe UI" w:cs="Segoe UI"/>
        </w:rPr>
        <w:footnoteReference w:id="11"/>
      </w:r>
    </w:p>
    <w:p w14:paraId="7ACEFAAB" w14:textId="77777777" w:rsidR="00AD0F68" w:rsidRPr="00562A1D" w:rsidRDefault="00AD0F68" w:rsidP="00AD0F68">
      <w:pPr>
        <w:rPr>
          <w:rFonts w:ascii="Segoe UI" w:hAnsi="Segoe UI" w:cs="Segoe UI"/>
        </w:rPr>
      </w:pPr>
      <w:r w:rsidRPr="00562A1D">
        <w:rPr>
          <w:rFonts w:ascii="Segoe UI" w:hAnsi="Segoe UI" w:cs="Segoe UI"/>
        </w:rPr>
        <w:t xml:space="preserve">Let </w:t>
      </w: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sub>
          <m:sup>
            <m:r>
              <w:rPr>
                <w:rFonts w:ascii="Cambria Math" w:hAnsi="Cambria Math" w:cs="Segoe UI"/>
              </w:rPr>
              <m:t>c</m:t>
            </m:r>
          </m:sup>
        </m:sSubSup>
      </m:oMath>
      <w:r w:rsidRPr="00562A1D">
        <w:rPr>
          <w:rFonts w:ascii="Segoe UI" w:hAnsi="Segoe UI" w:cs="Segoe UI"/>
        </w:rPr>
        <w:t xml:space="preserve"> be the share of young children in category </w:t>
      </w:r>
      <m:oMath>
        <m:r>
          <w:rPr>
            <w:rFonts w:ascii="Cambria Math" w:hAnsi="Cambria Math" w:cs="Segoe UI"/>
          </w:rPr>
          <m:t>c</m:t>
        </m:r>
        <m:r>
          <m:rPr>
            <m:sty m:val="p"/>
          </m:rPr>
          <w:rPr>
            <w:rFonts w:ascii="Cambria Math" w:hAnsi="Cambria Math" w:cs="Segoe UI"/>
          </w:rPr>
          <m:t>∈{</m:t>
        </m:r>
        <m:r>
          <w:rPr>
            <w:rFonts w:ascii="Cambria Math" w:hAnsi="Cambria Math" w:cs="Segoe UI"/>
          </w:rPr>
          <m:t>1</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oMath>
      <w:r w:rsidRPr="00562A1D">
        <w:rPr>
          <w:rFonts w:ascii="Segoe UI" w:hAnsi="Segoe UI" w:cs="Segoe UI"/>
        </w:rPr>
        <w:t xml:space="preserve">, e.g. the % of young children with income between 0-100% of the Federal Poverty Level (FPL), 100-200% FPL, etc., in geography </w:t>
      </w:r>
      <m:oMath>
        <m:r>
          <w:rPr>
            <w:rFonts w:ascii="Cambria Math" w:hAnsi="Cambria Math" w:cs="Segoe UI"/>
          </w:rPr>
          <m:t>G</m:t>
        </m:r>
      </m:oMath>
      <w:r w:rsidRPr="00562A1D">
        <w:rPr>
          <w:rFonts w:ascii="Segoe UI" w:hAnsi="Segoe UI" w:cs="Segoe UI"/>
        </w:rPr>
        <w:t xml:space="preserve">, at time </w:t>
      </w:r>
      <m:oMath>
        <m:r>
          <w:rPr>
            <w:rFonts w:ascii="Cambria Math" w:hAnsi="Cambria Math" w:cs="Segoe UI"/>
          </w:rPr>
          <m:t>t</m:t>
        </m:r>
      </m:oMath>
      <w:r w:rsidRPr="00562A1D">
        <w:rPr>
          <w:rFonts w:ascii="Segoe UI" w:hAnsi="Segoe UI" w:cs="Segoe UI"/>
        </w:rPr>
        <w:t>. Note that although eligibility of children for public childcare subsidies is typically determined by household status (e.g. presence, labor force participation, and income of parents), our analysis is at the level of children and thus makes use of person–rather than household–sampling weights. This is motivated by the final goal of assessing whether affordable childcare slots are sufficient for the number of children (rather than for the number of local families).</w:t>
      </w:r>
    </w:p>
    <w:p w14:paraId="71737CC6" w14:textId="77777777" w:rsidR="00AD0F68" w:rsidRPr="00562A1D" w:rsidRDefault="00AD0F68" w:rsidP="00AD0F68">
      <w:pPr>
        <w:rPr>
          <w:rFonts w:ascii="Segoe UI" w:hAnsi="Segoe UI" w:cs="Segoe UI"/>
        </w:rPr>
      </w:pPr>
      <w:r w:rsidRPr="00562A1D">
        <w:rPr>
          <w:rFonts w:ascii="Segoe UI" w:hAnsi="Segoe UI" w:cs="Segoe UI"/>
        </w:rPr>
        <w:t>“Direct” estimates are calculated by assuming PUMA-level population shares are, in expectation, representative of tract-level shares:</w:t>
      </w:r>
    </w:p>
    <w:p w14:paraId="7686A9E5" w14:textId="77777777" w:rsidR="00AD0F68" w:rsidRPr="00562A1D" w:rsidRDefault="00AD0F68" w:rsidP="00AD0F68">
      <w:pPr>
        <w:rPr>
          <w:rFonts w:ascii="Segoe UI" w:hAnsi="Segoe UI" w:cs="Segoe UI"/>
        </w:rPr>
      </w:pPr>
      <m:oMathPara>
        <m:oMathParaPr>
          <m:jc m:val="center"/>
        </m:oMathParaPr>
        <m:oMath>
          <m:r>
            <w:rPr>
              <w:rFonts w:ascii="Cambria Math" w:hAnsi="Cambria Math" w:cs="Segoe UI"/>
            </w:rPr>
            <m:t>E</m:t>
          </m:r>
          <m:d>
            <m:dPr>
              <m:begChr m:val="["/>
              <m:endChr m:val="]"/>
              <m:ctrlPr>
                <w:rPr>
                  <w:rFonts w:ascii="Cambria Math" w:hAnsi="Cambria Math" w:cs="Segoe UI"/>
                </w:rPr>
              </m:ctrlPr>
            </m:dPr>
            <m:e>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e>
          </m:d>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oMath>
      </m:oMathPara>
    </w:p>
    <w:p w14:paraId="27309AAC" w14:textId="77777777" w:rsidR="00AD0F68" w:rsidRPr="00562A1D" w:rsidRDefault="00AD0F68" w:rsidP="00AD0F68">
      <w:pPr>
        <w:rPr>
          <w:rFonts w:ascii="Segoe UI" w:hAnsi="Segoe UI" w:cs="Segoe UI"/>
        </w:rPr>
      </w:pPr>
      <w:r w:rsidRPr="00562A1D">
        <w:rPr>
          <w:rFonts w:ascii="Segoe UI" w:hAnsi="Segoe UI" w:cs="Segoe UI"/>
        </w:rPr>
        <w:t xml:space="preserve">where </w:t>
      </w:r>
      <m:oMath>
        <m:r>
          <w:rPr>
            <w:rFonts w:ascii="Cambria Math" w:hAnsi="Cambria Math" w:cs="Segoe UI"/>
          </w:rPr>
          <m:t>g</m:t>
        </m:r>
      </m:oMath>
      <w:r w:rsidRPr="00562A1D">
        <w:rPr>
          <w:rFonts w:ascii="Segoe UI" w:hAnsi="Segoe UI" w:cs="Segoe UI"/>
        </w:rPr>
        <w:t xml:space="preserve"> is our small geography (tract), and </w:t>
      </w:r>
      <m:oMath>
        <m:r>
          <w:rPr>
            <w:rFonts w:ascii="Cambria Math" w:hAnsi="Cambria Math" w:cs="Segoe UI"/>
          </w:rPr>
          <m:t>G</m:t>
        </m:r>
      </m:oMath>
      <w:r w:rsidRPr="00562A1D">
        <w:rPr>
          <w:rFonts w:ascii="Segoe UI" w:hAnsi="Segoe UI" w:cs="Segoe UI"/>
        </w:rPr>
        <w:t xml:space="preserve"> is the big geography (i.e. Public Use Microdata Area, or PUMA).</w:t>
      </w:r>
    </w:p>
    <w:p w14:paraId="0EAA824B" w14:textId="77777777" w:rsidR="00AD0F68" w:rsidRPr="00562A1D" w:rsidRDefault="00AD0F68" w:rsidP="00AD0F68">
      <w:pPr>
        <w:rPr>
          <w:rFonts w:ascii="Segoe UI" w:hAnsi="Segoe UI" w:cs="Segoe UI"/>
        </w:rPr>
      </w:pPr>
      <w:r w:rsidRPr="00562A1D">
        <w:rPr>
          <w:rFonts w:ascii="Segoe UI" w:hAnsi="Segoe UI" w:cs="Segoe UI"/>
        </w:rPr>
        <w:t>Within the SAE method, “Model” estimates use PUMA-level data to draw inference using regression model:</w:t>
      </w:r>
    </w:p>
    <w:p w14:paraId="3E552780"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r>
            <w:rPr>
              <w:rFonts w:ascii="Cambria Math" w:hAnsi="Cambria Math" w:cs="Segoe UI"/>
            </w:rPr>
            <m:t>β</m:t>
          </m:r>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ϵ</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m:oMathPara>
    </w:p>
    <w:p w14:paraId="63D93270" w14:textId="77777777" w:rsidR="00AD0F68" w:rsidRPr="00562A1D" w:rsidRDefault="00AD0F68" w:rsidP="00AD0F68">
      <w:pPr>
        <w:rPr>
          <w:rFonts w:ascii="Segoe UI" w:hAnsi="Segoe UI" w:cs="Segoe UI"/>
        </w:rPr>
      </w:pPr>
      <w:r w:rsidRPr="00562A1D">
        <w:rPr>
          <w:rFonts w:ascii="Segoe UI" w:hAnsi="Segoe UI" w:cs="Segoe UI"/>
        </w:rPr>
        <w:t xml:space="preserve">where the tract-level estimate is obtained using </w:t>
      </w:r>
      <m:oMath>
        <m:acc>
          <m:accPr>
            <m:ctrlPr>
              <w:rPr>
                <w:rFonts w:ascii="Cambria Math" w:hAnsi="Cambria Math" w:cs="Segoe UI"/>
              </w:rPr>
            </m:ctrlPr>
          </m:accPr>
          <m:e>
            <m:r>
              <w:rPr>
                <w:rFonts w:ascii="Cambria Math" w:hAnsi="Cambria Math" w:cs="Segoe UI"/>
              </w:rPr>
              <m:t>β</m:t>
            </m:r>
          </m:e>
        </m:acc>
      </m:oMath>
      <w:r w:rsidRPr="00562A1D">
        <w:rPr>
          <w:rFonts w:ascii="Segoe UI" w:hAnsi="Segoe UI" w:cs="Segoe UI"/>
        </w:rPr>
        <w:t xml:space="preserve"> with tract-level values:</w:t>
      </w:r>
    </w:p>
    <w:p w14:paraId="1E70E3D5"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acc>
            <m:accPr>
              <m:ctrlPr>
                <w:rPr>
                  <w:rFonts w:ascii="Cambria Math" w:hAnsi="Cambria Math" w:cs="Segoe UI"/>
                </w:rPr>
              </m:ctrlPr>
            </m:accPr>
            <m:e>
              <m:r>
                <w:rPr>
                  <w:rFonts w:ascii="Cambria Math" w:hAnsi="Cambria Math" w:cs="Segoe UI"/>
                </w:rPr>
                <m:t>β</m:t>
              </m:r>
            </m:e>
          </m:acc>
        </m:oMath>
      </m:oMathPara>
    </w:p>
    <w:p w14:paraId="6BE1207E" w14:textId="77777777" w:rsidR="00AD0F68" w:rsidRPr="00562A1D" w:rsidRDefault="00AD0F68" w:rsidP="00AD0F68">
      <w:pPr>
        <w:rPr>
          <w:rFonts w:ascii="Segoe UI" w:hAnsi="Segoe UI" w:cs="Segoe UI"/>
        </w:rPr>
      </w:pPr>
      <w:r w:rsidRPr="00562A1D">
        <w:rPr>
          <w:rFonts w:ascii="Segoe UI" w:hAnsi="Segoe UI" w:cs="Segoe UI"/>
        </w:rPr>
        <w:lastRenderedPageBreak/>
        <w:t xml:space="preserve">with standard error of estimation of </w:t>
      </w:r>
      <m:oMath>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w:t>
      </w:r>
    </w:p>
    <w:p w14:paraId="36A871DE" w14:textId="77777777" w:rsidR="00AD0F68" w:rsidRPr="00562A1D" w:rsidRDefault="00AD0F68" w:rsidP="00AD0F68">
      <w:pPr>
        <w:rPr>
          <w:rFonts w:ascii="Segoe UI" w:hAnsi="Segoe UI" w:cs="Segoe UI"/>
        </w:rPr>
      </w:pPr>
      <w:r w:rsidRPr="00562A1D">
        <w:rPr>
          <w:rFonts w:ascii="Segoe UI" w:hAnsi="Segoe UI" w:cs="Segoe UI"/>
        </w:rPr>
        <w:t xml:space="preserve">Note that the regression equation used above mixes an outcome measured at the larger geographic level </w:t>
      </w:r>
      <m:oMath>
        <m:r>
          <w:rPr>
            <w:rFonts w:ascii="Cambria Math" w:hAnsi="Cambria Math" w:cs="Segoe UI"/>
          </w:rPr>
          <m:t>G</m:t>
        </m:r>
      </m:oMath>
      <w:r w:rsidRPr="00562A1D">
        <w:rPr>
          <w:rFonts w:ascii="Segoe UI" w:hAnsi="Segoe UI" w:cs="Segoe UI"/>
        </w:rPr>
        <w:t xml:space="preserve"> and predictors measured at the smaller geographic level </w:t>
      </w:r>
      <m:oMath>
        <m:r>
          <w:rPr>
            <w:rFonts w:ascii="Cambria Math" w:hAnsi="Cambria Math" w:cs="Segoe UI"/>
          </w:rPr>
          <m:t>g</m:t>
        </m:r>
      </m:oMath>
      <w:r w:rsidRPr="00562A1D">
        <w:rPr>
          <w:rFonts w:ascii="Segoe UI" w:hAnsi="Segoe UI" w:cs="Segoe UI"/>
        </w:rPr>
        <w:t xml:space="preserve">. This is an adaptation of canonical SAE methods which would otherwise use a measure of </w:t>
      </w:r>
      <m:oMath>
        <m:sSub>
          <m:sSubPr>
            <m:ctrlPr>
              <w:rPr>
                <w:rFonts w:ascii="Cambria Math" w:hAnsi="Cambria Math" w:cs="Segoe UI"/>
              </w:rPr>
            </m:ctrlPr>
          </m:sSub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for both parameter estimation and prediction. An outcome of </w:t>
      </w:r>
      <m:oMath>
        <m:sSub>
          <m:sSubPr>
            <m:ctrlPr>
              <w:rPr>
                <w:rFonts w:ascii="Cambria Math" w:hAnsi="Cambria Math" w:cs="Segoe UI"/>
              </w:rPr>
            </m:ctrlPr>
          </m:sSub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that would represent equivalent geographic basis is not available, and the use of </w:t>
      </w:r>
      <m:oMath>
        <m:sSub>
          <m:sSubPr>
            <m:ctrlPr>
              <w:rPr>
                <w:rFonts w:ascii="Cambria Math" w:hAnsi="Cambria Math" w:cs="Segoe UI"/>
              </w:rPr>
            </m:ctrlPr>
          </m:sSub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as a substitute invites non-classical measurement error. ELPEP proceeds with this method because it maintained estimation and prediction using the same (</w:t>
      </w:r>
      <m:oMath>
        <m:sSub>
          <m:sSubPr>
            <m:ctrlPr>
              <w:rPr>
                <w:rFonts w:ascii="Cambria Math" w:hAnsi="Cambria Math" w:cs="Segoe UI"/>
              </w:rPr>
            </m:ctrlPr>
          </m:sSub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w:t>
      </w:r>
      <w:proofErr w:type="gramStart"/>
      <w:r w:rsidRPr="00562A1D">
        <w:rPr>
          <w:rFonts w:ascii="Segoe UI" w:hAnsi="Segoe UI" w:cs="Segoe UI"/>
        </w:rPr>
        <w:t>measures, and</w:t>
      </w:r>
      <w:proofErr w:type="gramEnd"/>
      <w:r w:rsidRPr="00562A1D">
        <w:rPr>
          <w:rFonts w:ascii="Segoe UI" w:hAnsi="Segoe UI" w:cs="Segoe UI"/>
        </w:rPr>
        <w:t xml:space="preserve"> utilizes the full distributional support (i.e. the total variation of the </w:t>
      </w:r>
      <m:oMath>
        <m:r>
          <w:rPr>
            <w:rFonts w:ascii="Cambria Math" w:hAnsi="Cambria Math" w:cs="Segoe UI"/>
          </w:rPr>
          <m:t>x</m:t>
        </m:r>
      </m:oMath>
      <w:r w:rsidRPr="00562A1D">
        <w:rPr>
          <w:rFonts w:ascii="Segoe UI" w:hAnsi="Segoe UI" w:cs="Segoe UI"/>
        </w:rPr>
        <w:t xml:space="preserve"> measures across small geographies).</w:t>
      </w:r>
    </w:p>
    <w:p w14:paraId="7725214B" w14:textId="77777777" w:rsidR="00AD0F68" w:rsidRPr="00562A1D" w:rsidRDefault="00AD0F68" w:rsidP="00AD0F68">
      <w:pPr>
        <w:rPr>
          <w:rFonts w:ascii="Segoe UI" w:hAnsi="Segoe UI" w:cs="Segoe UI"/>
        </w:rPr>
      </w:pPr>
      <w:r w:rsidRPr="00562A1D">
        <w:rPr>
          <w:rFonts w:ascii="Segoe UI" w:hAnsi="Segoe UI" w:cs="Segoe UI"/>
        </w:rPr>
        <w:t xml:space="preserve">This step produces estimates that capture the “direction” of projection onto local community </w:t>
      </w:r>
      <w:proofErr w:type="gramStart"/>
      <w:r w:rsidRPr="00562A1D">
        <w:rPr>
          <w:rFonts w:ascii="Segoe UI" w:hAnsi="Segoe UI" w:cs="Segoe UI"/>
        </w:rPr>
        <w:t>characteristics, but</w:t>
      </w:r>
      <w:proofErr w:type="gramEnd"/>
      <w:r w:rsidRPr="00562A1D">
        <w:rPr>
          <w:rFonts w:ascii="Segoe UI" w:hAnsi="Segoe UI" w:cs="Segoe UI"/>
        </w:rPr>
        <w:t xml:space="preserve"> have compressed variance. To re-establish the appropriate level of variance, ELPEP re-inflates the first </w:t>
      </w:r>
      <m:oMath>
        <m:sSub>
          <m:sSubPr>
            <m:ctrlPr>
              <w:rPr>
                <w:rFonts w:ascii="Cambria Math" w:hAnsi="Cambria Math" w:cs="Segoe UI"/>
              </w:rPr>
            </m:ctrlPr>
          </m:sSub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estimates using the closest available estimates of variance at the level of </w:t>
      </w:r>
      <m:oMath>
        <m:r>
          <w:rPr>
            <w:rFonts w:ascii="Cambria Math" w:hAnsi="Cambria Math" w:cs="Segoe UI"/>
          </w:rPr>
          <m:t>g</m:t>
        </m:r>
      </m:oMath>
      <w:r w:rsidRPr="00562A1D">
        <w:rPr>
          <w:rFonts w:ascii="Segoe UI" w:hAnsi="Segoe UI" w:cs="Segoe UI"/>
        </w:rPr>
        <w:t xml:space="preserve"> as follows:</w:t>
      </w:r>
    </w:p>
    <w:p w14:paraId="667B3DAB"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r>
                <m:rPr>
                  <m:sty m:val="p"/>
                </m:rPr>
                <w:rPr>
                  <w:rFonts w:ascii="Cambria Math" w:hAnsi="Cambria Math" w:cs="Segoe UI"/>
                </w:rPr>
                <m:t>,</m:t>
              </m:r>
              <m:r>
                <w:rPr>
                  <w:rFonts w:ascii="Cambria Math" w:hAnsi="Cambria Math" w:cs="Segoe UI"/>
                </w:rPr>
                <m:t>infl</m:t>
              </m:r>
            </m:sup>
          </m:sSubSup>
          <m:r>
            <m:rPr>
              <m:sty m:val="p"/>
            </m:rPr>
            <w:rPr>
              <w:rFonts w:ascii="Cambria Math" w:hAnsi="Cambria Math" w:cs="Segoe UI"/>
            </w:rPr>
            <m:t>=</m:t>
          </m:r>
          <m:f>
            <m:fPr>
              <m:ctrlPr>
                <w:rPr>
                  <w:rFonts w:ascii="Cambria Math" w:hAnsi="Cambria Math" w:cs="Segoe UI"/>
                </w:rPr>
              </m:ctrlPr>
            </m:fPr>
            <m:num>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num>
            <m:den>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σ</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s</m:t>
                  </m:r>
                </m:sup>
              </m:sSubSup>
            </m:den>
          </m:f>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m:oMathPara>
    </w:p>
    <w:p w14:paraId="20F9BA0A" w14:textId="77777777" w:rsidR="00AD0F68" w:rsidRPr="00562A1D" w:rsidRDefault="00AD0F68" w:rsidP="00AD0F68">
      <w:pPr>
        <w:rPr>
          <w:rFonts w:ascii="Segoe UI" w:hAnsi="Segoe UI" w:cs="Segoe UI"/>
        </w:rPr>
      </w:pPr>
      <w:r w:rsidRPr="00562A1D">
        <w:rPr>
          <w:rFonts w:ascii="Segoe UI" w:hAnsi="Segoe UI" w:cs="Segoe UI"/>
        </w:rPr>
        <w:t xml:space="preserve">where </w:t>
      </w:r>
      <m:oMath>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 xml:space="preserve"> is the mean of the </w:t>
      </w: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 xml:space="preserve"> estimates, </w:t>
      </w: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σ</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s</m:t>
            </m:r>
          </m:sup>
        </m:sSubSup>
      </m:oMath>
      <w:r w:rsidRPr="00562A1D">
        <w:rPr>
          <w:rFonts w:ascii="Segoe UI" w:hAnsi="Segoe UI" w:cs="Segoe UI"/>
        </w:rPr>
        <w:t xml:space="preserve"> is the standard deviation of those estimates, and </w:t>
      </w:r>
      <m:oMath>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oMath>
      <w:r w:rsidRPr="00562A1D">
        <w:rPr>
          <w:rFonts w:ascii="Segoe UI" w:hAnsi="Segoe UI" w:cs="Segoe UI"/>
        </w:rPr>
        <w:t xml:space="preserve"> is the standard deviation of tract-level estimates for share category </w:t>
      </w:r>
      <m:oMath>
        <m:r>
          <w:rPr>
            <w:rFonts w:ascii="Cambria Math" w:hAnsi="Cambria Math" w:cs="Segoe UI"/>
          </w:rPr>
          <m:t>c</m:t>
        </m:r>
      </m:oMath>
      <w:r w:rsidRPr="00562A1D">
        <w:rPr>
          <w:rFonts w:ascii="Segoe UI" w:hAnsi="Segoe UI" w:cs="Segoe UI"/>
        </w:rPr>
        <w:t>.</w:t>
      </w:r>
    </w:p>
    <w:p w14:paraId="2762E135" w14:textId="77777777" w:rsidR="00AD0F68" w:rsidRPr="00562A1D" w:rsidRDefault="00AD0F68" w:rsidP="00AD0F68">
      <w:pPr>
        <w:rPr>
          <w:rFonts w:ascii="Segoe UI" w:hAnsi="Segoe UI" w:cs="Segoe UI"/>
        </w:rPr>
      </w:pPr>
      <w:r w:rsidRPr="00562A1D">
        <w:rPr>
          <w:rFonts w:ascii="Segoe UI" w:hAnsi="Segoe UI" w:cs="Segoe UI"/>
        </w:rPr>
        <w:t xml:space="preserve">For categories </w:t>
      </w:r>
      <m:oMath>
        <m:r>
          <w:rPr>
            <w:rFonts w:ascii="Cambria Math" w:hAnsi="Cambria Math" w:cs="Segoe UI"/>
          </w:rPr>
          <m:t>c</m:t>
        </m:r>
      </m:oMath>
      <w:r w:rsidRPr="00562A1D">
        <w:rPr>
          <w:rFonts w:ascii="Segoe UI" w:hAnsi="Segoe UI" w:cs="Segoe UI"/>
        </w:rPr>
        <w:t xml:space="preserve"> that:</w:t>
      </w:r>
    </w:p>
    <w:p w14:paraId="17668459" w14:textId="77777777" w:rsidR="00AD0F68" w:rsidRPr="00562A1D" w:rsidRDefault="00AD0F68" w:rsidP="00AD0F68">
      <w:pPr>
        <w:numPr>
          <w:ilvl w:val="0"/>
          <w:numId w:val="10"/>
        </w:numPr>
        <w:rPr>
          <w:rFonts w:ascii="Segoe UI" w:hAnsi="Segoe UI" w:cs="Segoe UI"/>
        </w:rPr>
      </w:pPr>
      <w:r w:rsidRPr="00562A1D">
        <w:rPr>
          <w:rFonts w:ascii="Segoe UI" w:hAnsi="Segoe UI" w:cs="Segoe UI"/>
        </w:rPr>
        <w:t xml:space="preserve">correspond to household shares of income-to-poverty ratio, ACS 5-year estimates are used directly to calculate </w:t>
      </w:r>
      <m:oMath>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oMath>
      <w:r w:rsidRPr="00562A1D">
        <w:rPr>
          <w:rFonts w:ascii="Segoe UI" w:hAnsi="Segoe UI" w:cs="Segoe UI"/>
        </w:rPr>
        <w:t xml:space="preserve"> since income-to-poverty ratios are directly represented in ACS5 aggregate tables.</w:t>
      </w:r>
    </w:p>
    <w:p w14:paraId="52F018DB" w14:textId="77777777" w:rsidR="00AD0F68" w:rsidRPr="00562A1D" w:rsidRDefault="00AD0F68" w:rsidP="00AD0F68">
      <w:pPr>
        <w:numPr>
          <w:ilvl w:val="0"/>
          <w:numId w:val="10"/>
        </w:numPr>
        <w:rPr>
          <w:rFonts w:ascii="Segoe UI" w:hAnsi="Segoe UI" w:cs="Segoe UI"/>
        </w:rPr>
      </w:pPr>
      <w:r w:rsidRPr="00562A1D">
        <w:rPr>
          <w:rFonts w:ascii="Segoe UI" w:hAnsi="Segoe UI" w:cs="Segoe UI"/>
        </w:rPr>
        <w:t xml:space="preserve">correspond to a combination of (1) household income-to-poverty rate shares crossed with (2) shares of families that are work eligible (due to all adults in the household working), while that cross-tabbed status is not available in ACS5 tables, each separate measure is. ACS1 PUMS data are used to calculate the correlation between each measure for each PUMA, and these correlations are used within the delta method to calculate the standard deviation of the product of each component of </w:t>
      </w:r>
      <m:oMath>
        <m:r>
          <w:rPr>
            <w:rFonts w:ascii="Cambria Math" w:hAnsi="Cambria Math" w:cs="Segoe UI"/>
          </w:rPr>
          <m:t>c</m:t>
        </m:r>
      </m:oMath>
      <w:r w:rsidRPr="00562A1D">
        <w:rPr>
          <w:rFonts w:ascii="Segoe UI" w:hAnsi="Segoe UI" w:cs="Segoe UI"/>
        </w:rPr>
        <w:t xml:space="preserve"> (i.e. income and work eligibility status).</w:t>
      </w:r>
    </w:p>
    <w:p w14:paraId="5FF6712F" w14:textId="77777777" w:rsidR="00AD0F68" w:rsidRPr="00562A1D" w:rsidRDefault="00AD0F68" w:rsidP="00AD0F68">
      <w:pPr>
        <w:rPr>
          <w:rFonts w:ascii="Segoe UI" w:hAnsi="Segoe UI" w:cs="Segoe UI"/>
        </w:rPr>
      </w:pPr>
      <w:r w:rsidRPr="00562A1D">
        <w:rPr>
          <w:rFonts w:ascii="Segoe UI" w:hAnsi="Segoe UI" w:cs="Segoe UI"/>
        </w:rPr>
        <w:t>Within the SAE method, the blended estimates (Empirical Best Linear Unbiased Predictor; EBLUP) are a weighted average of the direct and model estimates:</w:t>
      </w:r>
    </w:p>
    <w:p w14:paraId="0C60F9EF"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r>
            <m:rPr>
              <m:sty m:val="p"/>
            </m:rPr>
            <w:rPr>
              <w:rFonts w:ascii="Cambria Math" w:hAnsi="Cambria Math" w:cs="Segoe UI"/>
            </w:rPr>
            <m:t>+</m:t>
          </m:r>
          <m:d>
            <m:dPr>
              <m:ctrlPr>
                <w:rPr>
                  <w:rFonts w:ascii="Cambria Math" w:hAnsi="Cambria Math" w:cs="Segoe UI"/>
                </w:rPr>
              </m:ctrlPr>
            </m:dPr>
            <m:e>
              <m:r>
                <w:rPr>
                  <w:rFonts w:ascii="Cambria Math" w:hAnsi="Cambria Math" w:cs="Segoe UI"/>
                </w:rPr>
                <m:t>1</m:t>
              </m:r>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e>
          </m:d>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r>
                <m:rPr>
                  <m:sty m:val="p"/>
                </m:rPr>
                <w:rPr>
                  <w:rFonts w:ascii="Cambria Math" w:hAnsi="Cambria Math" w:cs="Segoe UI"/>
                </w:rPr>
                <m:t>,</m:t>
              </m:r>
              <m:r>
                <w:rPr>
                  <w:rFonts w:ascii="Cambria Math" w:hAnsi="Cambria Math" w:cs="Segoe UI"/>
                </w:rPr>
                <m:t>infl</m:t>
              </m:r>
            </m:sup>
          </m:sSubSup>
        </m:oMath>
      </m:oMathPara>
    </w:p>
    <w:p w14:paraId="7F6101D7" w14:textId="77777777" w:rsidR="00AD0F68" w:rsidRPr="00562A1D" w:rsidRDefault="00AD0F68" w:rsidP="00AD0F68">
      <w:pPr>
        <w:rPr>
          <w:rFonts w:ascii="Segoe UI" w:hAnsi="Segoe UI" w:cs="Segoe UI"/>
        </w:rPr>
      </w:pPr>
      <w:proofErr w:type="gramStart"/>
      <w:r w:rsidRPr="00562A1D">
        <w:rPr>
          <w:rFonts w:ascii="Segoe UI" w:hAnsi="Segoe UI" w:cs="Segoe UI"/>
        </w:rPr>
        <w:t>where</w:t>
      </w:r>
      <w:proofErr w:type="gramEnd"/>
    </w:p>
    <w:p w14:paraId="479081E7" w14:textId="77777777" w:rsidR="00AD0F68" w:rsidRPr="00562A1D" w:rsidRDefault="00000000" w:rsidP="00AD0F68">
      <w:pPr>
        <w:rPr>
          <w:rFonts w:ascii="Segoe UI" w:hAnsi="Segoe UI" w:cs="Segoe UI"/>
        </w:rPr>
      </w:pPr>
      <m:oMathPara>
        <m:oMathParaPr>
          <m:jc m:val="center"/>
        </m:oMathParaPr>
        <m:oMath>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r>
            <m:rPr>
              <m:sty m:val="p"/>
            </m:rPr>
            <w:rPr>
              <w:rFonts w:ascii="Cambria Math" w:hAnsi="Cambria Math" w:cs="Segoe UI"/>
            </w:rPr>
            <m:t>≡</m:t>
          </m:r>
          <m:f>
            <m:fPr>
              <m:ctrlPr>
                <w:rPr>
                  <w:rFonts w:ascii="Cambria Math" w:hAnsi="Cambria Math" w:cs="Segoe UI"/>
                </w:rPr>
              </m:ctrlPr>
            </m:fPr>
            <m:num>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num>
            <m:den>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direct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den>
          </m:f>
        </m:oMath>
      </m:oMathPara>
    </w:p>
    <w:p w14:paraId="0DD44ADF" w14:textId="77777777" w:rsidR="00AD0F68" w:rsidRPr="00562A1D" w:rsidRDefault="00AD0F68" w:rsidP="00AD0F68">
      <w:pPr>
        <w:rPr>
          <w:rFonts w:ascii="Segoe UI" w:hAnsi="Segoe UI" w:cs="Segoe UI"/>
        </w:rPr>
      </w:pPr>
      <w:r w:rsidRPr="00562A1D">
        <w:rPr>
          <w:rFonts w:ascii="Segoe UI" w:hAnsi="Segoe UI" w:cs="Segoe UI"/>
        </w:rPr>
        <w:lastRenderedPageBreak/>
        <w:t xml:space="preserve">Because </w:t>
      </w:r>
      <m:oMath>
        <m:r>
          <w:rPr>
            <w:rFonts w:ascii="Cambria Math" w:hAnsi="Cambria Math" w:cs="Segoe UI"/>
          </w:rPr>
          <m:t>k</m:t>
        </m:r>
        <m:r>
          <m:rPr>
            <m:sty m:val="p"/>
          </m:rPr>
          <w:rPr>
            <w:rFonts w:ascii="Cambria Math" w:hAnsi="Cambria Math" w:cs="Segoe UI"/>
          </w:rPr>
          <m:t>≡</m:t>
        </m:r>
        <m:nary>
          <m:naryPr>
            <m:chr m:val="∑"/>
            <m:limLoc m:val="undOvr"/>
            <m:supHide m:val="1"/>
            <m:ctrlPr>
              <w:rPr>
                <w:rFonts w:ascii="Cambria Math" w:hAnsi="Cambria Math" w:cs="Segoe UI"/>
              </w:rPr>
            </m:ctrlPr>
          </m:naryPr>
          <m:sub>
            <m:r>
              <w:rPr>
                <w:rFonts w:ascii="Cambria Math" w:hAnsi="Cambria Math" w:cs="Segoe UI"/>
              </w:rPr>
              <m:t>c</m:t>
            </m:r>
            <m:r>
              <m:rPr>
                <m:sty m:val="p"/>
              </m:rPr>
              <w:rPr>
                <w:rFonts w:ascii="Cambria Math" w:hAnsi="Cambria Math" w:cs="Segoe UI"/>
              </w:rPr>
              <m:t>=</m:t>
            </m:r>
            <m:r>
              <w:rPr>
                <w:rFonts w:ascii="Cambria Math" w:hAnsi="Cambria Math" w:cs="Segoe UI"/>
              </w:rPr>
              <m:t>1</m:t>
            </m:r>
            <m:r>
              <m:rPr>
                <m:sty m:val="p"/>
              </m:rPr>
              <w:rPr>
                <w:rFonts w:ascii="Cambria Math" w:hAnsi="Cambria Math" w:cs="Segoe UI"/>
              </w:rPr>
              <m:t>,…,</m:t>
            </m:r>
            <m:r>
              <w:rPr>
                <w:rFonts w:ascii="Cambria Math" w:hAnsi="Cambria Math" w:cs="Segoe UI"/>
              </w:rPr>
              <m:t>C</m:t>
            </m:r>
          </m:sub>
          <m:sup>
            <m:r>
              <w:rPr>
                <w:rFonts w:ascii="Cambria Math" w:hAnsi="Cambria Math" w:cs="Segoe UI"/>
              </w:rPr>
              <m:t>​</m:t>
            </m:r>
          </m:sup>
          <m:e>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e>
        </m:nary>
        <m:r>
          <m:rPr>
            <m:sty m:val="p"/>
          </m:rPr>
          <w:rPr>
            <w:rFonts w:ascii="Cambria Math" w:hAnsi="Cambria Math" w:cs="Segoe UI"/>
          </w:rPr>
          <m:t>=</m:t>
        </m:r>
        <m:r>
          <w:rPr>
            <w:rFonts w:ascii="Cambria Math" w:hAnsi="Cambria Math" w:cs="Segoe UI"/>
          </w:rPr>
          <m:t>1</m:t>
        </m:r>
      </m:oMath>
      <w:r w:rsidRPr="00562A1D">
        <w:rPr>
          <w:rFonts w:ascii="Segoe UI" w:hAnsi="Segoe UI" w:cs="Segoe UI"/>
        </w:rPr>
        <w:t xml:space="preserve"> is not guaranteed in the estimates, ELPEP obtains final estimates </w:t>
      </w: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r>
          <w:rPr>
            <w:rFonts w:ascii="Cambria Math" w:hAnsi="Cambria Math" w:cs="Segoe UI"/>
          </w:rPr>
          <m:t>k</m:t>
        </m:r>
      </m:oMath>
      <w:r w:rsidRPr="00562A1D">
        <w:rPr>
          <w:rFonts w:ascii="Segoe UI" w:hAnsi="Segoe UI" w:cs="Segoe UI"/>
        </w:rPr>
        <w:t xml:space="preserve"> and </w:t>
      </w:r>
      <m:oMath>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r>
          <w:rPr>
            <w:rFonts w:ascii="Cambria Math" w:hAnsi="Cambria Math" w:cs="Segoe UI"/>
          </w:rPr>
          <m:t>k</m:t>
        </m:r>
      </m:oMath>
      <w:r w:rsidRPr="00562A1D">
        <w:rPr>
          <w:rFonts w:ascii="Segoe UI" w:hAnsi="Segoe UI" w:cs="Segoe UI"/>
        </w:rPr>
        <w:t>.</w:t>
      </w:r>
    </w:p>
    <w:p w14:paraId="2448F939" w14:textId="77777777" w:rsidR="00AD0F68" w:rsidRPr="00562A1D" w:rsidRDefault="00AD0F68" w:rsidP="00AD0F68">
      <w:pPr>
        <w:pStyle w:val="Heading3"/>
        <w:rPr>
          <w:rFonts w:ascii="Segoe UI" w:hAnsi="Segoe UI" w:cs="Segoe UI"/>
          <w:sz w:val="22"/>
          <w:szCs w:val="22"/>
        </w:rPr>
      </w:pPr>
      <w:bookmarkStart w:id="2" w:name="_Toc180574649"/>
      <w:bookmarkStart w:id="3" w:name="now-casting-methods"/>
      <w:bookmarkEnd w:id="1"/>
      <w:r w:rsidRPr="00562A1D">
        <w:rPr>
          <w:rFonts w:ascii="Segoe UI" w:hAnsi="Segoe UI" w:cs="Segoe UI"/>
          <w:sz w:val="22"/>
          <w:szCs w:val="22"/>
        </w:rPr>
        <w:t>5.1.2 Now-Casting Methods</w:t>
      </w:r>
      <w:bookmarkEnd w:id="2"/>
    </w:p>
    <w:p w14:paraId="1E8DB9A1" w14:textId="77777777" w:rsidR="00AD0F68" w:rsidRPr="00562A1D" w:rsidRDefault="00AD0F68" w:rsidP="00AD0F68">
      <w:pPr>
        <w:rPr>
          <w:rFonts w:ascii="Segoe UI" w:hAnsi="Segoe UI" w:cs="Segoe UI"/>
        </w:rPr>
      </w:pPr>
      <w:r w:rsidRPr="00562A1D">
        <w:rPr>
          <w:rFonts w:ascii="Segoe UI" w:hAnsi="Segoe UI" w:cs="Segoe UI"/>
        </w:rPr>
        <w:t xml:space="preserve">The </w:t>
      </w:r>
      <w:proofErr w:type="gramStart"/>
      <w:r w:rsidRPr="00562A1D">
        <w:rPr>
          <w:rFonts w:ascii="Segoe UI" w:hAnsi="Segoe UI" w:cs="Segoe UI"/>
        </w:rPr>
        <w:t>ultimate goal</w:t>
      </w:r>
      <w:proofErr w:type="gramEnd"/>
      <w:r w:rsidRPr="00562A1D">
        <w:rPr>
          <w:rFonts w:ascii="Segoe UI" w:hAnsi="Segoe UI" w:cs="Segoe UI"/>
        </w:rPr>
        <w:t xml:space="preserve"> is to predict counts of children who are eligible for program </w:t>
      </w:r>
      <m:oMath>
        <m:r>
          <w:rPr>
            <w:rFonts w:ascii="Cambria Math" w:hAnsi="Cambria Math" w:cs="Segoe UI"/>
          </w:rPr>
          <m:t>p</m:t>
        </m:r>
      </m:oMath>
      <w:r w:rsidRPr="00562A1D">
        <w:rPr>
          <w:rFonts w:ascii="Segoe UI" w:hAnsi="Segoe UI" w:cs="Segoe UI"/>
        </w:rPr>
        <w:t>:</w:t>
      </w:r>
    </w:p>
    <w:p w14:paraId="3E1718A0"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n</m:t>
              </m:r>
            </m:e>
            <m:sub>
              <m:r>
                <w:rPr>
                  <w:rFonts w:ascii="Cambria Math" w:hAnsi="Cambria Math" w:cs="Segoe UI"/>
                </w:rPr>
                <m:t>gt</m:t>
              </m:r>
            </m:sub>
            <m:sup>
              <m:r>
                <w:rPr>
                  <w:rFonts w:ascii="Cambria Math" w:hAnsi="Cambria Math" w:cs="Segoe UI"/>
                </w:rPr>
                <m:t>p</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π</m:t>
              </m:r>
            </m:e>
            <m:sub>
              <m:r>
                <w:rPr>
                  <w:rFonts w:ascii="Cambria Math" w:hAnsi="Cambria Math" w:cs="Segoe UI"/>
                </w:rPr>
                <m:t>gt</m:t>
              </m:r>
            </m:sub>
            <m:sup>
              <m:r>
                <w:rPr>
                  <w:rFonts w:ascii="Cambria Math" w:hAnsi="Cambria Math" w:cs="Segoe UI"/>
                </w:rPr>
                <m:t>p</m:t>
              </m:r>
            </m:sup>
          </m:sSubSup>
          <m:sSub>
            <m:sSubPr>
              <m:ctrlPr>
                <w:rPr>
                  <w:rFonts w:ascii="Cambria Math" w:hAnsi="Cambria Math" w:cs="Segoe UI"/>
                </w:rPr>
              </m:ctrlPr>
            </m:sSubPr>
            <m:e>
              <m:r>
                <w:rPr>
                  <w:rFonts w:ascii="Cambria Math" w:hAnsi="Cambria Math" w:cs="Segoe UI"/>
                </w:rPr>
                <m:t>n</m:t>
              </m:r>
            </m:e>
            <m:sub>
              <m:r>
                <w:rPr>
                  <w:rFonts w:ascii="Cambria Math" w:hAnsi="Cambria Math" w:cs="Segoe UI"/>
                </w:rPr>
                <m:t>gt</m:t>
              </m:r>
            </m:sub>
          </m:sSub>
        </m:oMath>
      </m:oMathPara>
    </w:p>
    <w:p w14:paraId="17188260" w14:textId="77777777" w:rsidR="00AD0F68" w:rsidRPr="00562A1D" w:rsidRDefault="00AD0F68" w:rsidP="00AD0F68">
      <w:pPr>
        <w:rPr>
          <w:rFonts w:ascii="Segoe UI" w:hAnsi="Segoe UI" w:cs="Segoe UI"/>
        </w:rPr>
      </w:pPr>
      <w:r w:rsidRPr="00562A1D">
        <w:rPr>
          <w:rFonts w:ascii="Segoe UI" w:hAnsi="Segoe UI" w:cs="Segoe UI"/>
        </w:rPr>
        <w:t xml:space="preserve">where </w:t>
      </w:r>
      <m:oMath>
        <m:r>
          <w:rPr>
            <w:rFonts w:ascii="Cambria Math" w:hAnsi="Cambria Math" w:cs="Segoe UI"/>
          </w:rPr>
          <m:t>g</m:t>
        </m:r>
      </m:oMath>
      <w:r w:rsidRPr="00562A1D">
        <w:rPr>
          <w:rFonts w:ascii="Segoe UI" w:hAnsi="Segoe UI" w:cs="Segoe UI"/>
        </w:rPr>
        <w:t xml:space="preserve"> is the target “small” geography, </w:t>
      </w:r>
      <m:oMath>
        <m:r>
          <w:rPr>
            <w:rFonts w:ascii="Cambria Math" w:hAnsi="Cambria Math" w:cs="Segoe UI"/>
          </w:rPr>
          <m:t>t</m:t>
        </m:r>
      </m:oMath>
      <w:r w:rsidRPr="00562A1D">
        <w:rPr>
          <w:rFonts w:ascii="Segoe UI" w:hAnsi="Segoe UI" w:cs="Segoe UI"/>
        </w:rPr>
        <w:t xml:space="preserve"> is near-present time, and </w:t>
      </w:r>
      <m:oMath>
        <m:sSup>
          <m:sSupPr>
            <m:ctrlPr>
              <w:rPr>
                <w:rFonts w:ascii="Cambria Math" w:hAnsi="Cambria Math" w:cs="Segoe UI"/>
              </w:rPr>
            </m:ctrlPr>
          </m:sSupPr>
          <m:e>
            <m:r>
              <w:rPr>
                <w:rFonts w:ascii="Cambria Math" w:hAnsi="Cambria Math" w:cs="Segoe UI"/>
              </w:rPr>
              <m:t>π</m:t>
            </m:r>
          </m:e>
          <m:sup>
            <m:r>
              <w:rPr>
                <w:rFonts w:ascii="Cambria Math" w:hAnsi="Cambria Math" w:cs="Segoe UI"/>
              </w:rPr>
              <m:t>p</m:t>
            </m:r>
          </m:sup>
        </m:sSup>
      </m:oMath>
      <w:r w:rsidRPr="00562A1D">
        <w:rPr>
          <w:rFonts w:ascii="Segoe UI" w:hAnsi="Segoe UI" w:cs="Segoe UI"/>
        </w:rPr>
        <w:t xml:space="preserve"> is the proportion of the count of all young children </w:t>
      </w:r>
      <m:oMath>
        <m:r>
          <w:rPr>
            <w:rFonts w:ascii="Cambria Math" w:hAnsi="Cambria Math" w:cs="Segoe UI"/>
          </w:rPr>
          <m:t>n</m:t>
        </m:r>
      </m:oMath>
      <w:r w:rsidRPr="00562A1D">
        <w:rPr>
          <w:rFonts w:ascii="Segoe UI" w:hAnsi="Segoe UI" w:cs="Segoe UI"/>
        </w:rPr>
        <w:t xml:space="preserve"> that are eligible for </w:t>
      </w:r>
      <m:oMath>
        <m:r>
          <w:rPr>
            <w:rFonts w:ascii="Cambria Math" w:hAnsi="Cambria Math" w:cs="Segoe UI"/>
          </w:rPr>
          <m:t>p</m:t>
        </m:r>
      </m:oMath>
      <w:r w:rsidRPr="00562A1D">
        <w:rPr>
          <w:rFonts w:ascii="Segoe UI" w:hAnsi="Segoe UI" w:cs="Segoe UI"/>
        </w:rPr>
        <w:t>.</w:t>
      </w:r>
    </w:p>
    <w:p w14:paraId="224E64F5" w14:textId="77777777" w:rsidR="00AD0F68" w:rsidRPr="00562A1D" w:rsidRDefault="00AD0F68" w:rsidP="00AD0F68">
      <w:pPr>
        <w:rPr>
          <w:rFonts w:ascii="Segoe UI" w:hAnsi="Segoe UI" w:cs="Segoe UI"/>
        </w:rPr>
      </w:pPr>
      <w:r w:rsidRPr="00562A1D">
        <w:rPr>
          <w:rFonts w:ascii="Segoe UI" w:hAnsi="Segoe UI" w:cs="Segoe UI"/>
        </w:rPr>
        <w:t xml:space="preserve">No direct measurements of </w:t>
      </w:r>
      <m:oMath>
        <m:sSubSup>
          <m:sSubSupPr>
            <m:ctrlPr>
              <w:rPr>
                <w:rFonts w:ascii="Cambria Math" w:hAnsi="Cambria Math" w:cs="Segoe UI"/>
              </w:rPr>
            </m:ctrlPr>
          </m:sSubSupPr>
          <m:e>
            <m:r>
              <w:rPr>
                <w:rFonts w:ascii="Cambria Math" w:hAnsi="Cambria Math" w:cs="Segoe UI"/>
              </w:rPr>
              <m:t>π</m:t>
            </m:r>
          </m:e>
          <m:sub>
            <m:r>
              <w:rPr>
                <w:rFonts w:ascii="Cambria Math" w:hAnsi="Cambria Math" w:cs="Segoe UI"/>
              </w:rPr>
              <m:t>gt</m:t>
            </m:r>
          </m:sub>
          <m:sup>
            <m:r>
              <w:rPr>
                <w:rFonts w:ascii="Cambria Math" w:hAnsi="Cambria Math" w:cs="Segoe UI"/>
              </w:rPr>
              <m:t>p</m:t>
            </m:r>
          </m:sup>
        </m:sSubSup>
      </m:oMath>
      <w:r w:rsidRPr="00562A1D">
        <w:rPr>
          <w:rFonts w:ascii="Segoe UI" w:hAnsi="Segoe UI" w:cs="Segoe UI"/>
        </w:rPr>
        <w:t xml:space="preserve"> are available, so ELPEP accounts for both community composition–using SAE results–and recent eligibility dynamics. Thus, ELPEP models binary </w:t>
      </w:r>
      <m:oMath>
        <m:r>
          <w:rPr>
            <w:rFonts w:ascii="Cambria Math" w:hAnsi="Cambria Math" w:cs="Segoe UI"/>
          </w:rPr>
          <m:t>p</m:t>
        </m:r>
      </m:oMath>
      <w:r w:rsidRPr="00562A1D">
        <w:rPr>
          <w:rFonts w:ascii="Segoe UI" w:hAnsi="Segoe UI" w:cs="Segoe UI"/>
        </w:rPr>
        <w:t xml:space="preserve"> eligibility status as</w:t>
      </w:r>
    </w:p>
    <w:p w14:paraId="3483DACE"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ν</m:t>
              </m:r>
            </m:e>
            <m:sub>
              <m:r>
                <w:rPr>
                  <w:rFonts w:ascii="Cambria Math" w:hAnsi="Cambria Math" w:cs="Segoe UI"/>
                </w:rPr>
                <m:t>it</m:t>
              </m:r>
            </m:sub>
          </m:sSub>
        </m:oMath>
      </m:oMathPara>
    </w:p>
    <w:p w14:paraId="416DD578" w14:textId="77777777" w:rsidR="00AD0F68" w:rsidRPr="00562A1D" w:rsidRDefault="00AD0F68" w:rsidP="00AD0F68">
      <w:pPr>
        <w:rPr>
          <w:rFonts w:ascii="Segoe UI" w:hAnsi="Segoe UI" w:cs="Segoe UI"/>
        </w:rPr>
      </w:pPr>
      <w:r w:rsidRPr="00562A1D">
        <w:rPr>
          <w:rFonts w:ascii="Segoe UI" w:hAnsi="Segoe UI" w:cs="Segoe UI"/>
        </w:rPr>
        <w:t xml:space="preserve">with observations from individual child </w:t>
      </w:r>
      <m:oMath>
        <m:r>
          <w:rPr>
            <w:rFonts w:ascii="Cambria Math" w:hAnsi="Cambria Math" w:cs="Segoe UI"/>
          </w:rPr>
          <m:t>i</m:t>
        </m:r>
      </m:oMath>
      <w:r w:rsidRPr="00562A1D">
        <w:rPr>
          <w:rFonts w:ascii="Segoe UI" w:hAnsi="Segoe UI" w:cs="Segoe UI"/>
        </w:rPr>
        <w:t xml:space="preserve"> and their observed characteristics </w:t>
      </w:r>
      <m:oMath>
        <m:sSub>
          <m:sSubPr>
            <m:ctrlPr>
              <w:rPr>
                <w:rFonts w:ascii="Cambria Math" w:hAnsi="Cambria Math" w:cs="Segoe UI"/>
              </w:rPr>
            </m:ctrlPr>
          </m:sSub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which reflect individual and household measures. The parameters </w:t>
      </w:r>
      <m:oMath>
        <m:acc>
          <m:accPr>
            <m:ctrlPr>
              <w:rPr>
                <w:rFonts w:ascii="Cambria Math" w:hAnsi="Cambria Math" w:cs="Segoe UI"/>
              </w:rPr>
            </m:ctrlPr>
          </m:accPr>
          <m:e>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e>
        </m:acc>
      </m:oMath>
      <w:r w:rsidRPr="00562A1D">
        <w:rPr>
          <w:rFonts w:ascii="Segoe UI" w:hAnsi="Segoe UI" w:cs="Segoe UI"/>
        </w:rPr>
        <w:t xml:space="preserve"> can be estimated from analysis of individuals and households in the CPS. However, in the applied exercise of “</w:t>
      </w:r>
      <w:proofErr w:type="gramStart"/>
      <w:r w:rsidRPr="00562A1D">
        <w:rPr>
          <w:rFonts w:ascii="Segoe UI" w:hAnsi="Segoe UI" w:cs="Segoe UI"/>
        </w:rPr>
        <w:t>now”casting</w:t>
      </w:r>
      <w:proofErr w:type="gramEnd"/>
      <w:r w:rsidRPr="00562A1D">
        <w:rPr>
          <w:rFonts w:ascii="Segoe UI" w:hAnsi="Segoe UI" w:cs="Segoe UI"/>
        </w:rPr>
        <w:t xml:space="preserve"> for each tract, only tract-level averages exist as analogs to </w:t>
      </w:r>
      <m:oMath>
        <m:r>
          <w:rPr>
            <w:rFonts w:ascii="Cambria Math" w:hAnsi="Cambria Math" w:cs="Segoe UI"/>
          </w:rPr>
          <m:t>z</m:t>
        </m:r>
      </m:oMath>
      <w:r w:rsidRPr="00562A1D">
        <w:rPr>
          <w:rFonts w:ascii="Segoe UI" w:hAnsi="Segoe UI" w:cs="Segoe UI"/>
        </w:rPr>
        <w:t>.</w:t>
      </w:r>
    </w:p>
    <w:p w14:paraId="2DA3451F" w14:textId="77777777" w:rsidR="00AD0F68" w:rsidRPr="00562A1D" w:rsidRDefault="00AD0F68" w:rsidP="00AD0F68">
      <w:pPr>
        <w:rPr>
          <w:rFonts w:ascii="Segoe UI" w:hAnsi="Segoe UI" w:cs="Segoe UI"/>
        </w:rPr>
      </w:pPr>
      <w:r w:rsidRPr="00562A1D">
        <w:rPr>
          <w:rFonts w:ascii="Segoe UI" w:hAnsi="Segoe UI" w:cs="Segoe UI"/>
        </w:rPr>
        <w:t xml:space="preserve">ELPEP assumes the following structure of linear expectations with respect to individual eligibility measures </w:t>
      </w:r>
      <m:oMath>
        <m:sSup>
          <m:sSupPr>
            <m:ctrlPr>
              <w:rPr>
                <w:rFonts w:ascii="Cambria Math" w:hAnsi="Cambria Math" w:cs="Segoe UI"/>
              </w:rPr>
            </m:ctrlPr>
          </m:sSupPr>
          <m:e>
            <m:r>
              <w:rPr>
                <w:rFonts w:ascii="Cambria Math" w:hAnsi="Cambria Math" w:cs="Segoe UI"/>
              </w:rPr>
              <m:t>y</m:t>
            </m:r>
          </m:e>
          <m:sup>
            <m:r>
              <w:rPr>
                <w:rFonts w:ascii="Cambria Math" w:hAnsi="Cambria Math" w:cs="Segoe UI"/>
              </w:rPr>
              <m:t>p</m:t>
            </m:r>
          </m:sup>
        </m:sSup>
      </m:oMath>
      <w:r w:rsidRPr="00562A1D">
        <w:rPr>
          <w:rFonts w:ascii="Segoe UI" w:hAnsi="Segoe UI" w:cs="Segoe UI"/>
        </w:rPr>
        <w:t xml:space="preserve"> to be able to form estimates of </w:t>
      </w:r>
      <m:oMath>
        <m:sSup>
          <m:sSupPr>
            <m:ctrlPr>
              <w:rPr>
                <w:rFonts w:ascii="Cambria Math" w:hAnsi="Cambria Math" w:cs="Segoe UI"/>
              </w:rPr>
            </m:ctrlPr>
          </m:sSupPr>
          <m:e>
            <m:r>
              <w:rPr>
                <w:rFonts w:ascii="Cambria Math" w:hAnsi="Cambria Math" w:cs="Segoe UI"/>
              </w:rPr>
              <m:t>π</m:t>
            </m:r>
          </m:e>
          <m:sup>
            <m:r>
              <w:rPr>
                <w:rFonts w:ascii="Cambria Math" w:hAnsi="Cambria Math" w:cs="Segoe UI"/>
              </w:rPr>
              <m:t>p</m:t>
            </m:r>
          </m:sup>
        </m:sSup>
      </m:oMath>
      <w:r w:rsidRPr="00562A1D">
        <w:rPr>
          <w:rFonts w:ascii="Segoe UI" w:hAnsi="Segoe UI" w:cs="Segoe UI"/>
        </w:rPr>
        <w:t xml:space="preserve"> using community averages:</w:t>
      </w:r>
    </w:p>
    <w:p w14:paraId="6B9F78A5" w14:textId="77777777" w:rsidR="00AD0F68" w:rsidRPr="00562A1D" w:rsidRDefault="00000000"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π</m:t>
                  </m:r>
                </m:e>
              </m:acc>
            </m:e>
            <m:sub>
              <m:r>
                <w:rPr>
                  <w:rFonts w:ascii="Cambria Math" w:hAnsi="Cambria Math" w:cs="Segoe UI"/>
                </w:rPr>
                <m:t>gt</m:t>
              </m:r>
            </m:sub>
            <m:sup>
              <m:r>
                <w:rPr>
                  <w:rFonts w:ascii="Cambria Math" w:hAnsi="Cambria Math" w:cs="Segoe UI"/>
                </w:rPr>
                <m:t>p</m:t>
              </m:r>
            </m:sup>
          </m:sSubSup>
          <m:r>
            <m:rPr>
              <m:sty m:val="p"/>
            </m:rPr>
            <w:rPr>
              <w:rFonts w:ascii="Cambria Math" w:hAnsi="Cambria Math" w:cs="Segoe UI"/>
            </w:rPr>
            <m:t>=</m:t>
          </m:r>
          <m:r>
            <w:rPr>
              <w:rFonts w:ascii="Cambria Math" w:hAnsi="Cambria Math" w:cs="Segoe UI"/>
            </w:rPr>
            <m:t>E</m:t>
          </m:r>
          <m:d>
            <m:dPr>
              <m:begChr m:val="["/>
              <m:endChr m:val="]"/>
              <m:ctrlPr>
                <w:rPr>
                  <w:rFonts w:ascii="Cambria Math" w:hAnsi="Cambria Math" w:cs="Segoe UI"/>
                </w:rPr>
              </m:ctrlPr>
            </m:dPr>
            <m:e>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Sub>
            </m:e>
          </m:d>
          <m:r>
            <m:rPr>
              <m:sty m:val="p"/>
            </m:rPr>
            <w:rPr>
              <w:rFonts w:ascii="Cambria Math" w:hAnsi="Cambria Math" w:cs="Segoe UI"/>
            </w:rPr>
            <m:t>=</m:t>
          </m:r>
          <m:sSubSup>
            <m:sSubSupPr>
              <m:ctrlPr>
                <w:rPr>
                  <w:rFonts w:ascii="Cambria Math" w:hAnsi="Cambria Math" w:cs="Segoe UI"/>
                </w:rPr>
              </m:ctrlPr>
            </m:sSubSupPr>
            <m:e>
              <m:acc>
                <m:accPr>
                  <m:chr m:val="‾"/>
                  <m:ctrlPr>
                    <w:rPr>
                      <w:rFonts w:ascii="Cambria Math" w:hAnsi="Cambria Math" w:cs="Segoe UI"/>
                    </w:rPr>
                  </m:ctrlPr>
                </m:accPr>
                <m:e>
                  <m:r>
                    <w:rPr>
                      <w:rFonts w:ascii="Cambria Math" w:hAnsi="Cambria Math" w:cs="Segoe UI"/>
                    </w:rPr>
                    <m:t>z</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acc>
            <m:accPr>
              <m:ctrlPr>
                <w:rPr>
                  <w:rFonts w:ascii="Cambria Math" w:hAnsi="Cambria Math" w:cs="Segoe UI"/>
                </w:rPr>
              </m:ctrlPr>
            </m:accPr>
            <m:e>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e>
          </m:acc>
        </m:oMath>
      </m:oMathPara>
    </w:p>
    <w:p w14:paraId="5FE44F98" w14:textId="77777777" w:rsidR="00AD0F68" w:rsidRPr="00562A1D" w:rsidRDefault="00AD0F68" w:rsidP="00AD0F68">
      <w:pPr>
        <w:rPr>
          <w:rFonts w:ascii="Segoe UI" w:hAnsi="Segoe UI" w:cs="Segoe UI"/>
        </w:rPr>
      </w:pPr>
      <w:r w:rsidRPr="00562A1D">
        <w:rPr>
          <w:rFonts w:ascii="Segoe UI" w:hAnsi="Segoe UI" w:cs="Segoe UI"/>
        </w:rPr>
        <w:t xml:space="preserve">The linear expectations form of </w:t>
      </w:r>
      <m:oMath>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oMath>
      <w:r w:rsidRPr="00562A1D">
        <w:rPr>
          <w:rFonts w:ascii="Segoe UI" w:hAnsi="Segoe UI" w:cs="Segoe UI"/>
        </w:rPr>
        <w:t xml:space="preserve"> in the regression above implies that </w:t>
      </w:r>
      <m:oMath>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oMath>
      <w:r w:rsidRPr="00562A1D">
        <w:rPr>
          <w:rFonts w:ascii="Segoe UI" w:hAnsi="Segoe UI" w:cs="Segoe UI"/>
        </w:rPr>
        <w:t xml:space="preserve"> must be estimated using a linear probability model (LPM) rather than a logit or probit. While the use of LPMs are necessary given the community- (rather than individual</w:t>
      </w:r>
      <w:proofErr w:type="gramStart"/>
      <w:r w:rsidRPr="00562A1D">
        <w:rPr>
          <w:rFonts w:ascii="Segoe UI" w:hAnsi="Segoe UI" w:cs="Segoe UI"/>
        </w:rPr>
        <w:t>-)level</w:t>
      </w:r>
      <w:proofErr w:type="gramEnd"/>
      <w:r w:rsidRPr="00562A1D">
        <w:rPr>
          <w:rFonts w:ascii="Segoe UI" w:hAnsi="Segoe UI" w:cs="Segoe UI"/>
        </w:rPr>
        <w:t xml:space="preserve"> predictors, in practice, the predictions of program eligibility rates are far enough from 0% (and 100%) that LPMs are reasonable approximations to other non-linear estimation methods.</w:t>
      </w:r>
    </w:p>
    <w:p w14:paraId="54CE6B96" w14:textId="3CC944E2" w:rsidR="00AD0F68" w:rsidRPr="00562A1D" w:rsidRDefault="00AD0F68" w:rsidP="00AD0F68">
      <w:pPr>
        <w:rPr>
          <w:rFonts w:ascii="Segoe UI" w:hAnsi="Segoe UI" w:cs="Segoe UI"/>
        </w:rPr>
      </w:pPr>
      <w:r w:rsidRPr="00562A1D">
        <w:rPr>
          <w:rFonts w:ascii="Segoe UI" w:hAnsi="Segoe UI" w:cs="Segoe UI"/>
        </w:rPr>
        <w:t xml:space="preserve">In practice, </w:t>
      </w:r>
      <m:oMath>
        <m:sSub>
          <m:sSubPr>
            <m:ctrlPr>
              <w:rPr>
                <w:rFonts w:ascii="Cambria Math" w:hAnsi="Cambria Math" w:cs="Segoe UI"/>
              </w:rPr>
            </m:ctrlPr>
          </m:sSubPr>
          <m:e>
            <m:acc>
              <m:accPr>
                <m:chr m:val="‾"/>
                <m:ctrlPr>
                  <w:rPr>
                    <w:rFonts w:ascii="Cambria Math" w:hAnsi="Cambria Math" w:cs="Segoe UI"/>
                  </w:rPr>
                </m:ctrlPr>
              </m:accPr>
              <m:e>
                <m:r>
                  <w:rPr>
                    <w:rFonts w:ascii="Cambria Math" w:hAnsi="Cambria Math" w:cs="Segoe UI"/>
                  </w:rPr>
                  <m:t>z</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is composed of both SAE estimates as well as ACS5 measures that can reasonable be assumed to be representative of “</w:t>
      </w:r>
      <m:oMath>
        <m:r>
          <w:rPr>
            <w:rFonts w:ascii="Cambria Math" w:hAnsi="Cambria Math" w:cs="Segoe UI"/>
          </w:rPr>
          <m:t>t</m:t>
        </m:r>
        <m:r>
          <m:rPr>
            <m:sty m:val="p"/>
          </m:rPr>
          <w:rPr>
            <w:rFonts w:ascii="Cambria Math" w:hAnsi="Cambria Math" w:cs="Segoe UI"/>
          </w:rPr>
          <m:t>-</m:t>
        </m:r>
        <m:r>
          <w:rPr>
            <w:rFonts w:ascii="Cambria Math" w:hAnsi="Cambria Math" w:cs="Segoe UI"/>
          </w:rPr>
          <m:t>1</m:t>
        </m:r>
      </m:oMath>
      <w:r w:rsidRPr="00562A1D">
        <w:rPr>
          <w:rFonts w:ascii="Segoe UI" w:hAnsi="Segoe UI" w:cs="Segoe UI"/>
        </w:rPr>
        <w:t xml:space="preserve">” because they do not change </w:t>
      </w:r>
      <w:proofErr w:type="gramStart"/>
      <w:r w:rsidRPr="00562A1D">
        <w:rPr>
          <w:rFonts w:ascii="Segoe UI" w:hAnsi="Segoe UI" w:cs="Segoe UI"/>
        </w:rPr>
        <w:t>rapidly, or</w:t>
      </w:r>
      <w:proofErr w:type="gramEnd"/>
      <w:r w:rsidRPr="00562A1D">
        <w:rPr>
          <w:rFonts w:ascii="Segoe UI" w:hAnsi="Segoe UI" w:cs="Segoe UI"/>
        </w:rPr>
        <w:t xml:space="preserve"> are more accurately observed via ACS5 rather than estimated via SAE. Community measures such as income-to-poverty status, which we presume are highly dynamic given both macro and local economic factors, are sourced via our SAE method. Other measures that we believe are more persistent, such as adult educational attainment, are sourced directly from ACS5 data.</w:t>
      </w:r>
    </w:p>
    <w:p w14:paraId="0E022C84" w14:textId="77777777" w:rsidR="00AD0F68" w:rsidRPr="00562A1D" w:rsidRDefault="00AD0F68" w:rsidP="00AD0F68">
      <w:pPr>
        <w:rPr>
          <w:rFonts w:ascii="Segoe UI" w:hAnsi="Segoe UI" w:cs="Segoe UI"/>
        </w:rPr>
      </w:pPr>
      <w:r w:rsidRPr="00562A1D">
        <w:rPr>
          <w:rFonts w:ascii="Segoe UI" w:hAnsi="Segoe UI" w:cs="Segoe UI"/>
        </w:rPr>
        <w:t xml:space="preserve">The final estimated counts of young children eligible for a given program are produced by multiplying the estimates of </w:t>
      </w:r>
      <m:oMath>
        <m:sSubSup>
          <m:sSubSupPr>
            <m:ctrlPr>
              <w:rPr>
                <w:rFonts w:ascii="Cambria Math" w:hAnsi="Cambria Math" w:cs="Segoe UI"/>
                <w:i/>
              </w:rPr>
            </m:ctrlPr>
          </m:sSubSupPr>
          <m:e>
            <m:acc>
              <m:accPr>
                <m:ctrlPr>
                  <w:rPr>
                    <w:rFonts w:ascii="Cambria Math" w:hAnsi="Cambria Math" w:cs="Segoe UI"/>
                    <w:i/>
                  </w:rPr>
                </m:ctrlPr>
              </m:accPr>
              <m:e>
                <m:r>
                  <w:rPr>
                    <w:rFonts w:ascii="Cambria Math" w:hAnsi="Cambria Math" w:cs="Segoe UI"/>
                  </w:rPr>
                  <m:t>π</m:t>
                </m:r>
              </m:e>
            </m:acc>
          </m:e>
          <m:sub>
            <m:r>
              <w:rPr>
                <w:rFonts w:ascii="Cambria Math" w:hAnsi="Cambria Math" w:cs="Segoe UI"/>
              </w:rPr>
              <m:t>gt</m:t>
            </m:r>
          </m:sub>
          <m:sup>
            <m:r>
              <w:rPr>
                <w:rFonts w:ascii="Cambria Math" w:hAnsi="Cambria Math" w:cs="Segoe UI"/>
              </w:rPr>
              <m:t>p</m:t>
            </m:r>
          </m:sup>
        </m:sSubSup>
      </m:oMath>
      <w:r w:rsidRPr="00562A1D">
        <w:rPr>
          <w:rFonts w:ascii="Segoe UI" w:eastAsiaTheme="minorEastAsia" w:hAnsi="Segoe UI" w:cs="Segoe UI"/>
        </w:rPr>
        <w:t xml:space="preserve"> with an estimate of the overall youth population from a simple forecast of Decennial Census counts at the Census tract level.</w:t>
      </w:r>
    </w:p>
    <w:bookmarkEnd w:id="3"/>
    <w:p w14:paraId="532B2960" w14:textId="77777777" w:rsidR="00AD0F68" w:rsidRPr="00562A1D" w:rsidRDefault="00AD0F68" w:rsidP="00AD0F68">
      <w:pPr>
        <w:rPr>
          <w:rFonts w:ascii="Segoe UI" w:hAnsi="Segoe UI" w:cs="Segoe UI"/>
        </w:rPr>
      </w:pPr>
    </w:p>
    <w:sectPr w:rsidR="00AD0F68" w:rsidRPr="00562A1D" w:rsidSect="002367A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D5B62" w14:textId="77777777" w:rsidR="00CC748B" w:rsidRDefault="00CC748B">
      <w:pPr>
        <w:spacing w:after="0" w:line="240" w:lineRule="auto"/>
      </w:pPr>
      <w:r>
        <w:separator/>
      </w:r>
    </w:p>
  </w:endnote>
  <w:endnote w:type="continuationSeparator" w:id="0">
    <w:p w14:paraId="2816649B" w14:textId="77777777" w:rsidR="00CC748B" w:rsidRDefault="00CC748B">
      <w:pPr>
        <w:spacing w:after="0" w:line="240" w:lineRule="auto"/>
      </w:pPr>
      <w:r>
        <w:continuationSeparator/>
      </w:r>
    </w:p>
  </w:endnote>
  <w:endnote w:type="continuationNotice" w:id="1">
    <w:p w14:paraId="6DD0BF85" w14:textId="77777777" w:rsidR="00CC748B" w:rsidRDefault="00CC7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0F98D" w14:textId="77777777" w:rsidR="00CC748B" w:rsidRDefault="00CC748B">
      <w:pPr>
        <w:spacing w:after="0" w:line="240" w:lineRule="auto"/>
      </w:pPr>
      <w:r>
        <w:separator/>
      </w:r>
    </w:p>
  </w:footnote>
  <w:footnote w:type="continuationSeparator" w:id="0">
    <w:p w14:paraId="738F6909" w14:textId="77777777" w:rsidR="00CC748B" w:rsidRDefault="00CC748B">
      <w:pPr>
        <w:spacing w:after="0" w:line="240" w:lineRule="auto"/>
      </w:pPr>
      <w:r>
        <w:continuationSeparator/>
      </w:r>
    </w:p>
  </w:footnote>
  <w:footnote w:type="continuationNotice" w:id="1">
    <w:p w14:paraId="7F87E94B" w14:textId="77777777" w:rsidR="00CC748B" w:rsidRDefault="00CC748B">
      <w:pPr>
        <w:spacing w:after="0" w:line="240" w:lineRule="auto"/>
      </w:pPr>
    </w:p>
  </w:footnote>
  <w:footnote w:id="2">
    <w:p w14:paraId="179AD950" w14:textId="79B33383" w:rsidR="00657256" w:rsidRDefault="00657256">
      <w:pPr>
        <w:pStyle w:val="FootnoteText"/>
      </w:pPr>
      <w:r>
        <w:rPr>
          <w:rStyle w:val="FootnoteReference"/>
        </w:rPr>
        <w:footnoteRef/>
      </w:r>
      <w:r>
        <w:t xml:space="preserve"> Corresponding author: Nick Mader (mader-nick1@norc.org).</w:t>
      </w:r>
    </w:p>
  </w:footnote>
  <w:footnote w:id="3">
    <w:p w14:paraId="47C2E0B0" w14:textId="2E5A98BF" w:rsidR="00791D73" w:rsidRDefault="00791D73" w:rsidP="00805677">
      <w:pPr>
        <w:pStyle w:val="FootnoteText"/>
        <w:jc w:val="both"/>
      </w:pPr>
      <w:r>
        <w:rPr>
          <w:rStyle w:val="FootnoteReference"/>
        </w:rPr>
        <w:footnoteRef/>
      </w:r>
      <w:r>
        <w:t xml:space="preserve"> </w:t>
      </w:r>
      <w:r w:rsidR="008E248A">
        <w:t xml:space="preserve">Work supported by </w:t>
      </w:r>
      <w:r w:rsidRPr="00791D73">
        <w:t>Child Care Policy Research Partnership (CCPRP) Cooperative Agreement (Grant No. 90YE0225), Office of Research, Planning, and Evaluation (OPRE), Administration for Children and Families U.S. Department of Health and Human Services</w:t>
      </w:r>
      <w:r w:rsidR="005911C2">
        <w:t xml:space="preserve">. </w:t>
      </w:r>
      <w:r w:rsidR="00886A85">
        <w:t xml:space="preserve">CCPRP </w:t>
      </w:r>
      <w:r w:rsidR="005911C2" w:rsidRPr="005911C2">
        <w:t>Grant No. 90YE0225</w:t>
      </w:r>
      <w:r w:rsidR="005911C2">
        <w:t xml:space="preserve"> was awarded to Chapin Hall at the University of Chicago</w:t>
      </w:r>
      <w:r w:rsidR="0010360B">
        <w:t xml:space="preserve"> and supported foundation ELPEP work</w:t>
      </w:r>
      <w:r w:rsidR="00417912">
        <w:t xml:space="preserve"> fro</w:t>
      </w:r>
      <w:r w:rsidR="00274116">
        <w:t xml:space="preserve">m September 2019 – September 2024. </w:t>
      </w:r>
    </w:p>
  </w:footnote>
  <w:footnote w:id="4">
    <w:p w14:paraId="3D422E75" w14:textId="77777777" w:rsidR="008E248A" w:rsidRDefault="008E248A" w:rsidP="008E248A">
      <w:pPr>
        <w:pStyle w:val="FootnoteText"/>
        <w:jc w:val="both"/>
      </w:pPr>
      <w:r>
        <w:rPr>
          <w:rStyle w:val="FootnoteReference"/>
        </w:rPr>
        <w:footnoteRef/>
      </w:r>
      <w:r>
        <w:t xml:space="preserve"> Census Tracts are constructed by the US Census Bureau as areas that generally include between 1,200 and 8,000 individuals, 4,000 on average. See </w:t>
      </w:r>
      <w:hyperlink r:id="rId1" w:anchor=":~:text=Census%20Tract,-Census%20Tracts%20are&amp;text=Census%20tracts%20generally%20have%20a,optimum%20size%20of%204%2C000%20people." w:history="1">
        <w:r w:rsidRPr="00BD79DE">
          <w:rPr>
            <w:rStyle w:val="Hyperlink"/>
          </w:rPr>
          <w:t>this reference</w:t>
        </w:r>
      </w:hyperlink>
      <w:r>
        <w:t xml:space="preserve"> for details.</w:t>
      </w:r>
    </w:p>
  </w:footnote>
  <w:footnote w:id="5">
    <w:p w14:paraId="65CADB81" w14:textId="619B4100" w:rsidR="00FA4330" w:rsidRDefault="00FA4330" w:rsidP="00805677">
      <w:pPr>
        <w:pStyle w:val="FootnoteText"/>
        <w:jc w:val="both"/>
      </w:pPr>
      <w:r>
        <w:rPr>
          <w:rStyle w:val="FootnoteReference"/>
        </w:rPr>
        <w:footnoteRef/>
      </w:r>
      <w:r w:rsidR="662A20EE">
        <w:t xml:space="preserve"> Zip codes are calculated as ZIP Code Tabulation Areas (ZCTAs), which are generalized areal representations of Zip Codes that are populated. For example, ZIP Codes for PO Boxes only have no corresponding ZCTAs. In most cases the ZCTA is the same as the ZIP Code. See </w:t>
      </w:r>
      <w:hyperlink r:id="rId2" w:history="1">
        <w:r w:rsidR="662A20EE" w:rsidRPr="000E21E9">
          <w:rPr>
            <w:rStyle w:val="Hyperlink"/>
          </w:rPr>
          <w:t>this</w:t>
        </w:r>
      </w:hyperlink>
      <w:r w:rsidR="662A20EE">
        <w:rPr>
          <w:rStyle w:val="Hyperlink"/>
        </w:rPr>
        <w:t xml:space="preserve"> reference</w:t>
      </w:r>
      <w:r w:rsidR="662A20EE">
        <w:t xml:space="preserve"> for details.</w:t>
      </w:r>
    </w:p>
  </w:footnote>
  <w:footnote w:id="6">
    <w:p w14:paraId="06FA7446" w14:textId="00BB252F" w:rsidR="4FD84FF4" w:rsidRDefault="4FD84FF4" w:rsidP="4FD84FF4">
      <w:pPr>
        <w:pStyle w:val="FootnoteText"/>
      </w:pPr>
      <w:r w:rsidRPr="4FD84FF4">
        <w:rPr>
          <w:rStyle w:val="FootnoteReference"/>
        </w:rPr>
        <w:footnoteRef/>
      </w:r>
      <w:r w:rsidR="43E7CD68">
        <w:t xml:space="preserve"> See </w:t>
      </w:r>
      <w:hyperlink r:id="rId3">
        <w:r w:rsidR="43E7CD68" w:rsidRPr="4FD84FF4">
          <w:rPr>
            <w:rStyle w:val="Hyperlink"/>
          </w:rPr>
          <w:t>this reference</w:t>
        </w:r>
      </w:hyperlink>
      <w:r w:rsidR="43E7CD68">
        <w:t xml:space="preserve"> for details</w:t>
      </w:r>
      <w:r w:rsidR="0021463E">
        <w:t xml:space="preserve"> on Census Public Use Micr</w:t>
      </w:r>
      <w:r w:rsidR="00330BB3">
        <w:t>odata Areas (PUMAs)</w:t>
      </w:r>
      <w:r w:rsidR="43E7CD68">
        <w:t>.</w:t>
      </w:r>
    </w:p>
  </w:footnote>
  <w:footnote w:id="7">
    <w:p w14:paraId="78AEA644" w14:textId="2A8FB332" w:rsidR="2DE0BBDA" w:rsidRDefault="2DE0BBDA" w:rsidP="2DE0BBDA">
      <w:pPr>
        <w:pStyle w:val="FootnoteText"/>
      </w:pPr>
      <w:r w:rsidRPr="2DE0BBDA">
        <w:rPr>
          <w:rStyle w:val="FootnoteReference"/>
        </w:rPr>
        <w:footnoteRef/>
      </w:r>
      <w:r>
        <w:t xml:space="preserve"> The ACS1 for a given year (e.g. 2021) is typically released by the Census Bureau in the following September (i.e., 09/2022</w:t>
      </w:r>
      <w:proofErr w:type="gramStart"/>
      <w:r>
        <w:t>), and</w:t>
      </w:r>
      <w:proofErr w:type="gramEnd"/>
      <w:r>
        <w:t xml:space="preserve"> is the most recent release until the September of the subsequent release.</w:t>
      </w:r>
    </w:p>
  </w:footnote>
  <w:footnote w:id="8">
    <w:p w14:paraId="02BF29C8" w14:textId="6B2563EB" w:rsidR="00927A53" w:rsidRDefault="00927A53" w:rsidP="00927A53">
      <w:pPr>
        <w:pStyle w:val="FootnoteText"/>
      </w:pPr>
      <w:r w:rsidRPr="2DE0BBDA">
        <w:rPr>
          <w:rStyle w:val="FootnoteReference"/>
        </w:rPr>
        <w:footnoteRef/>
      </w:r>
      <w:r>
        <w:t xml:space="preserve"> The CPS Basic Monthly </w:t>
      </w:r>
      <w:r w:rsidR="00103C6E">
        <w:t>is typically released by the Census Bureau in the following month</w:t>
      </w:r>
      <w:r w:rsidR="00AF5CA5">
        <w:t xml:space="preserve"> and becomes available </w:t>
      </w:r>
      <w:r w:rsidR="00445EA6">
        <w:t xml:space="preserve">on IPUMS </w:t>
      </w:r>
      <w:r w:rsidR="002C3B30">
        <w:t>shortly after the Census release</w:t>
      </w:r>
      <w:r w:rsidR="00525EEA">
        <w:t>.</w:t>
      </w:r>
    </w:p>
  </w:footnote>
  <w:footnote w:id="9">
    <w:p w14:paraId="018D8382" w14:textId="27EC9AC1" w:rsidR="00E329F8" w:rsidRDefault="00E329F8">
      <w:pPr>
        <w:pStyle w:val="FootnoteText"/>
      </w:pPr>
      <w:r>
        <w:rPr>
          <w:rStyle w:val="FootnoteReference"/>
        </w:rPr>
        <w:footnoteRef/>
      </w:r>
      <w:r>
        <w:t xml:space="preserve"> Specifically, this involves a mean-</w:t>
      </w:r>
      <w:r w:rsidR="00F30662">
        <w:t xml:space="preserve"> and order-</w:t>
      </w:r>
      <w:r>
        <w:t>preserving</w:t>
      </w:r>
      <w:r w:rsidR="00DF43B0">
        <w:t xml:space="preserve"> inflation, </w:t>
      </w:r>
      <w:r w:rsidR="00F30662">
        <w:t xml:space="preserve">where the variance of the </w:t>
      </w:r>
      <w:r w:rsidR="00DF43B0">
        <w:t xml:space="preserve">resulting estimates </w:t>
      </w:r>
      <w:proofErr w:type="gramStart"/>
      <w:r w:rsidR="00F30662">
        <w:t>equal</w:t>
      </w:r>
      <w:proofErr w:type="gramEnd"/>
      <w:r w:rsidR="00F30662">
        <w:t xml:space="preserve"> the variance of the </w:t>
      </w:r>
      <w:r w:rsidR="009B0BB6">
        <w:t xml:space="preserve">same </w:t>
      </w:r>
      <w:r w:rsidR="00F30662">
        <w:t>ACS 5-year</w:t>
      </w:r>
      <w:r w:rsidR="009B0BB6">
        <w:t xml:space="preserve"> measure. Because there is no measure of CCAP eligibility in the ACS 5-year measure, this variance is estimated </w:t>
      </w:r>
      <w:r w:rsidR="000A1FB3">
        <w:t xml:space="preserve">by using the delta method </w:t>
      </w:r>
      <w:r w:rsidR="00EA530C">
        <w:t xml:space="preserve">to calculate the variance of (proportion of households that would meet work eligibility)*(proportion of children in households  </w:t>
      </w:r>
      <w:r w:rsidR="008650EC">
        <w:t>that would meet income eligibility) across tracts but within each PUMA, and using a PUMA-level estimate—developed using microdata</w:t>
      </w:r>
      <w:r w:rsidR="00E172CD">
        <w:t>—of the correlation between these two components of eligibility.</w:t>
      </w:r>
    </w:p>
  </w:footnote>
  <w:footnote w:id="10">
    <w:p w14:paraId="098F446E" w14:textId="0962CC73" w:rsidR="00083691" w:rsidRDefault="00083691">
      <w:pPr>
        <w:pStyle w:val="FootnoteText"/>
      </w:pPr>
      <w:r>
        <w:rPr>
          <w:rStyle w:val="FootnoteReference"/>
        </w:rPr>
        <w:footnoteRef/>
      </w:r>
      <w:r>
        <w:t xml:space="preserve"> For example, while some PUMAs may contain many tracts with very similar </w:t>
      </w:r>
      <w:r w:rsidR="0000153C">
        <w:t xml:space="preserve">rates of CCAP eligibility, others may have sharply different </w:t>
      </w:r>
      <w:proofErr w:type="spellStart"/>
      <w:r w:rsidR="00621F37">
        <w:t>subgeographies</w:t>
      </w:r>
      <w:proofErr w:type="spellEnd"/>
      <w:r w:rsidR="0000153C">
        <w:t>, especially in more urban or populous areas</w:t>
      </w:r>
      <w:r w:rsidR="00621F37">
        <w:t xml:space="preserve"> given how neighborhoods form and differentiate. We perform this operation to ensure that </w:t>
      </w:r>
      <w:r w:rsidR="00DD7F05">
        <w:t>we capture the full contrast between areas within each PUMA that may have distinctly higher and/or lower eligibility rates than the PUMA average.</w:t>
      </w:r>
    </w:p>
  </w:footnote>
  <w:footnote w:id="11">
    <w:p w14:paraId="136DB213" w14:textId="598E626D" w:rsidR="00CC23A3" w:rsidRDefault="00CC23A3">
      <w:pPr>
        <w:pStyle w:val="FootnoteText"/>
      </w:pPr>
      <w:r>
        <w:rPr>
          <w:rStyle w:val="FootnoteReference"/>
        </w:rPr>
        <w:footnoteRef/>
      </w:r>
      <w:r>
        <w:t xml:space="preserve"> </w:t>
      </w:r>
      <w:r w:rsidRPr="00CC23A3">
        <w:t>See Rao, J. N., &amp; Molina, I. (2015). </w:t>
      </w:r>
      <w:r w:rsidRPr="00CC23A3">
        <w:rPr>
          <w:i/>
          <w:iCs/>
        </w:rPr>
        <w:t>Small area estimation</w:t>
      </w:r>
      <w:r w:rsidRPr="00CC23A3">
        <w:t>. John Wiley &amp; 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24B455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4ABC9B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E93703"/>
    <w:multiLevelType w:val="hybridMultilevel"/>
    <w:tmpl w:val="8C368C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F30C6"/>
    <w:multiLevelType w:val="hybridMultilevel"/>
    <w:tmpl w:val="8AF09796"/>
    <w:lvl w:ilvl="0" w:tplc="FAEA9B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A289D"/>
    <w:multiLevelType w:val="hybridMultilevel"/>
    <w:tmpl w:val="35683BB8"/>
    <w:lvl w:ilvl="0" w:tplc="3566DF4E">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2B486"/>
    <w:multiLevelType w:val="hybridMultilevel"/>
    <w:tmpl w:val="FFFFFFFF"/>
    <w:lvl w:ilvl="0" w:tplc="63148D3C">
      <w:start w:val="1"/>
      <w:numFmt w:val="decimal"/>
      <w:lvlText w:val="%1."/>
      <w:lvlJc w:val="left"/>
      <w:pPr>
        <w:ind w:left="720" w:hanging="360"/>
      </w:pPr>
    </w:lvl>
    <w:lvl w:ilvl="1" w:tplc="A8787F42">
      <w:start w:val="1"/>
      <w:numFmt w:val="lowerLetter"/>
      <w:lvlText w:val="%2."/>
      <w:lvlJc w:val="left"/>
      <w:pPr>
        <w:ind w:left="1440" w:hanging="360"/>
      </w:pPr>
    </w:lvl>
    <w:lvl w:ilvl="2" w:tplc="99CCBE3C">
      <w:start w:val="1"/>
      <w:numFmt w:val="lowerRoman"/>
      <w:lvlText w:val="%3."/>
      <w:lvlJc w:val="right"/>
      <w:pPr>
        <w:ind w:left="2160" w:hanging="180"/>
      </w:pPr>
    </w:lvl>
    <w:lvl w:ilvl="3" w:tplc="823A4F32">
      <w:start w:val="1"/>
      <w:numFmt w:val="decimal"/>
      <w:lvlText w:val="%4."/>
      <w:lvlJc w:val="left"/>
      <w:pPr>
        <w:ind w:left="2880" w:hanging="360"/>
      </w:pPr>
    </w:lvl>
    <w:lvl w:ilvl="4" w:tplc="9C08686E">
      <w:start w:val="1"/>
      <w:numFmt w:val="lowerLetter"/>
      <w:lvlText w:val="%5."/>
      <w:lvlJc w:val="left"/>
      <w:pPr>
        <w:ind w:left="3600" w:hanging="360"/>
      </w:pPr>
    </w:lvl>
    <w:lvl w:ilvl="5" w:tplc="9F90CDF2">
      <w:start w:val="1"/>
      <w:numFmt w:val="lowerRoman"/>
      <w:lvlText w:val="%6."/>
      <w:lvlJc w:val="right"/>
      <w:pPr>
        <w:ind w:left="4320" w:hanging="180"/>
      </w:pPr>
    </w:lvl>
    <w:lvl w:ilvl="6" w:tplc="53927554">
      <w:start w:val="1"/>
      <w:numFmt w:val="decimal"/>
      <w:lvlText w:val="%7."/>
      <w:lvlJc w:val="left"/>
      <w:pPr>
        <w:ind w:left="5040" w:hanging="360"/>
      </w:pPr>
    </w:lvl>
    <w:lvl w:ilvl="7" w:tplc="BA90CE08">
      <w:start w:val="1"/>
      <w:numFmt w:val="lowerLetter"/>
      <w:lvlText w:val="%8."/>
      <w:lvlJc w:val="left"/>
      <w:pPr>
        <w:ind w:left="5760" w:hanging="360"/>
      </w:pPr>
    </w:lvl>
    <w:lvl w:ilvl="8" w:tplc="AC7E06F4">
      <w:start w:val="1"/>
      <w:numFmt w:val="lowerRoman"/>
      <w:lvlText w:val="%9."/>
      <w:lvlJc w:val="right"/>
      <w:pPr>
        <w:ind w:left="6480" w:hanging="180"/>
      </w:pPr>
    </w:lvl>
  </w:abstractNum>
  <w:abstractNum w:abstractNumId="6" w15:restartNumberingAfterBreak="0">
    <w:nsid w:val="6E702063"/>
    <w:multiLevelType w:val="hybridMultilevel"/>
    <w:tmpl w:val="377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6351C"/>
    <w:multiLevelType w:val="hybridMultilevel"/>
    <w:tmpl w:val="58FC27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90F80"/>
    <w:multiLevelType w:val="hybridMultilevel"/>
    <w:tmpl w:val="4CF013BA"/>
    <w:lvl w:ilvl="0" w:tplc="AC48BCEC">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87393"/>
    <w:multiLevelType w:val="hybridMultilevel"/>
    <w:tmpl w:val="59F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818669">
    <w:abstractNumId w:val="5"/>
  </w:num>
  <w:num w:numId="2" w16cid:durableId="1191719665">
    <w:abstractNumId w:val="2"/>
  </w:num>
  <w:num w:numId="3" w16cid:durableId="288171497">
    <w:abstractNumId w:val="6"/>
  </w:num>
  <w:num w:numId="4" w16cid:durableId="1492869533">
    <w:abstractNumId w:val="9"/>
  </w:num>
  <w:num w:numId="5" w16cid:durableId="1610771017">
    <w:abstractNumId w:val="3"/>
  </w:num>
  <w:num w:numId="6" w16cid:durableId="486165364">
    <w:abstractNumId w:val="8"/>
  </w:num>
  <w:num w:numId="7" w16cid:durableId="215555350">
    <w:abstractNumId w:val="7"/>
  </w:num>
  <w:num w:numId="8" w16cid:durableId="1667310">
    <w:abstractNumId w:val="4"/>
  </w:num>
  <w:num w:numId="9" w16cid:durableId="982076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626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oNotDisplayPageBoundarie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5"/>
    <w:rsid w:val="000011BD"/>
    <w:rsid w:val="0000153C"/>
    <w:rsid w:val="000028C5"/>
    <w:rsid w:val="0000314A"/>
    <w:rsid w:val="00010EBB"/>
    <w:rsid w:val="000132CB"/>
    <w:rsid w:val="00014F6B"/>
    <w:rsid w:val="00023886"/>
    <w:rsid w:val="0002560D"/>
    <w:rsid w:val="000308AF"/>
    <w:rsid w:val="00031743"/>
    <w:rsid w:val="0003190B"/>
    <w:rsid w:val="0003260F"/>
    <w:rsid w:val="0003280A"/>
    <w:rsid w:val="00032A08"/>
    <w:rsid w:val="0003498F"/>
    <w:rsid w:val="00036540"/>
    <w:rsid w:val="00037B71"/>
    <w:rsid w:val="00037FCC"/>
    <w:rsid w:val="00040003"/>
    <w:rsid w:val="000419B5"/>
    <w:rsid w:val="00044019"/>
    <w:rsid w:val="00045C9C"/>
    <w:rsid w:val="00045F27"/>
    <w:rsid w:val="00051B3E"/>
    <w:rsid w:val="00052827"/>
    <w:rsid w:val="000617AC"/>
    <w:rsid w:val="000632B9"/>
    <w:rsid w:val="00066B40"/>
    <w:rsid w:val="00070157"/>
    <w:rsid w:val="000711EA"/>
    <w:rsid w:val="000728C4"/>
    <w:rsid w:val="0007360C"/>
    <w:rsid w:val="00083691"/>
    <w:rsid w:val="00086CEA"/>
    <w:rsid w:val="00091E65"/>
    <w:rsid w:val="00095A89"/>
    <w:rsid w:val="000A0AC2"/>
    <w:rsid w:val="000A1FB3"/>
    <w:rsid w:val="000A2F3A"/>
    <w:rsid w:val="000A5009"/>
    <w:rsid w:val="000A5D82"/>
    <w:rsid w:val="000A6B33"/>
    <w:rsid w:val="000A787E"/>
    <w:rsid w:val="000D5367"/>
    <w:rsid w:val="000E21E9"/>
    <w:rsid w:val="000E2A0D"/>
    <w:rsid w:val="000E45DF"/>
    <w:rsid w:val="000E74E3"/>
    <w:rsid w:val="000F1804"/>
    <w:rsid w:val="000F1B3D"/>
    <w:rsid w:val="000F4D4C"/>
    <w:rsid w:val="000F67E9"/>
    <w:rsid w:val="000F75A0"/>
    <w:rsid w:val="00102C76"/>
    <w:rsid w:val="0010360B"/>
    <w:rsid w:val="00103C6E"/>
    <w:rsid w:val="0010430E"/>
    <w:rsid w:val="0011304C"/>
    <w:rsid w:val="00115A70"/>
    <w:rsid w:val="001221B9"/>
    <w:rsid w:val="00122C54"/>
    <w:rsid w:val="00131A48"/>
    <w:rsid w:val="00135435"/>
    <w:rsid w:val="00140089"/>
    <w:rsid w:val="001434EB"/>
    <w:rsid w:val="00146405"/>
    <w:rsid w:val="00150DE0"/>
    <w:rsid w:val="001557AC"/>
    <w:rsid w:val="00156F59"/>
    <w:rsid w:val="001636F3"/>
    <w:rsid w:val="00167E1A"/>
    <w:rsid w:val="0017057E"/>
    <w:rsid w:val="001802F5"/>
    <w:rsid w:val="001844B0"/>
    <w:rsid w:val="00192DD8"/>
    <w:rsid w:val="00193EAF"/>
    <w:rsid w:val="00196E3A"/>
    <w:rsid w:val="001A705D"/>
    <w:rsid w:val="001B2CE3"/>
    <w:rsid w:val="001B31E7"/>
    <w:rsid w:val="001B36D0"/>
    <w:rsid w:val="001B48ED"/>
    <w:rsid w:val="001C174D"/>
    <w:rsid w:val="001C3999"/>
    <w:rsid w:val="001C6A14"/>
    <w:rsid w:val="001D438A"/>
    <w:rsid w:val="001D4B1B"/>
    <w:rsid w:val="001D5E08"/>
    <w:rsid w:val="001E28CB"/>
    <w:rsid w:val="001E317F"/>
    <w:rsid w:val="001E44AE"/>
    <w:rsid w:val="001E5A79"/>
    <w:rsid w:val="001F7377"/>
    <w:rsid w:val="00203C74"/>
    <w:rsid w:val="0020414B"/>
    <w:rsid w:val="00204E29"/>
    <w:rsid w:val="00207F18"/>
    <w:rsid w:val="002100C2"/>
    <w:rsid w:val="0021463E"/>
    <w:rsid w:val="00227AB3"/>
    <w:rsid w:val="002320C8"/>
    <w:rsid w:val="00234A1C"/>
    <w:rsid w:val="002367AE"/>
    <w:rsid w:val="00256E26"/>
    <w:rsid w:val="00261D2D"/>
    <w:rsid w:val="00265FFF"/>
    <w:rsid w:val="0027036F"/>
    <w:rsid w:val="00273119"/>
    <w:rsid w:val="00274116"/>
    <w:rsid w:val="00281212"/>
    <w:rsid w:val="002829BE"/>
    <w:rsid w:val="00287EFE"/>
    <w:rsid w:val="0029025B"/>
    <w:rsid w:val="00293C18"/>
    <w:rsid w:val="00297FDB"/>
    <w:rsid w:val="002A0B3E"/>
    <w:rsid w:val="002A2B56"/>
    <w:rsid w:val="002B046F"/>
    <w:rsid w:val="002B0627"/>
    <w:rsid w:val="002B124C"/>
    <w:rsid w:val="002B4A63"/>
    <w:rsid w:val="002C00A3"/>
    <w:rsid w:val="002C0CB5"/>
    <w:rsid w:val="002C2D95"/>
    <w:rsid w:val="002C3B30"/>
    <w:rsid w:val="002C5BD3"/>
    <w:rsid w:val="002C7861"/>
    <w:rsid w:val="002D3C02"/>
    <w:rsid w:val="002D3DC0"/>
    <w:rsid w:val="002D6812"/>
    <w:rsid w:val="002D6D33"/>
    <w:rsid w:val="002D6F6C"/>
    <w:rsid w:val="002D714A"/>
    <w:rsid w:val="002D7972"/>
    <w:rsid w:val="002E0DAC"/>
    <w:rsid w:val="002E2AC1"/>
    <w:rsid w:val="002E7942"/>
    <w:rsid w:val="002F2F57"/>
    <w:rsid w:val="002F59B7"/>
    <w:rsid w:val="003022A4"/>
    <w:rsid w:val="00310468"/>
    <w:rsid w:val="00322409"/>
    <w:rsid w:val="00322743"/>
    <w:rsid w:val="00324C43"/>
    <w:rsid w:val="00326600"/>
    <w:rsid w:val="0032702E"/>
    <w:rsid w:val="00330BB3"/>
    <w:rsid w:val="00340054"/>
    <w:rsid w:val="00340AC1"/>
    <w:rsid w:val="00341A41"/>
    <w:rsid w:val="003554BE"/>
    <w:rsid w:val="00355826"/>
    <w:rsid w:val="003621AC"/>
    <w:rsid w:val="0036338D"/>
    <w:rsid w:val="00371515"/>
    <w:rsid w:val="003719B8"/>
    <w:rsid w:val="0037373F"/>
    <w:rsid w:val="00390B72"/>
    <w:rsid w:val="0039291A"/>
    <w:rsid w:val="0039547A"/>
    <w:rsid w:val="00395617"/>
    <w:rsid w:val="003A3F0C"/>
    <w:rsid w:val="003B2985"/>
    <w:rsid w:val="003D3A96"/>
    <w:rsid w:val="003D5396"/>
    <w:rsid w:val="003D7ACE"/>
    <w:rsid w:val="003E3F83"/>
    <w:rsid w:val="003E44AD"/>
    <w:rsid w:val="003E78B7"/>
    <w:rsid w:val="003F1FCA"/>
    <w:rsid w:val="003F2BAC"/>
    <w:rsid w:val="00400C55"/>
    <w:rsid w:val="0040511C"/>
    <w:rsid w:val="004141C7"/>
    <w:rsid w:val="0041519A"/>
    <w:rsid w:val="00417912"/>
    <w:rsid w:val="0042021D"/>
    <w:rsid w:val="00426F7F"/>
    <w:rsid w:val="00430E0A"/>
    <w:rsid w:val="00442CB3"/>
    <w:rsid w:val="00445EA6"/>
    <w:rsid w:val="004521D6"/>
    <w:rsid w:val="0045243A"/>
    <w:rsid w:val="00455638"/>
    <w:rsid w:val="00457D92"/>
    <w:rsid w:val="0046248C"/>
    <w:rsid w:val="0046672D"/>
    <w:rsid w:val="00466DC9"/>
    <w:rsid w:val="00472BC0"/>
    <w:rsid w:val="0047507F"/>
    <w:rsid w:val="004770B1"/>
    <w:rsid w:val="004827E9"/>
    <w:rsid w:val="00486C30"/>
    <w:rsid w:val="004919D9"/>
    <w:rsid w:val="00493F5D"/>
    <w:rsid w:val="00494372"/>
    <w:rsid w:val="00494533"/>
    <w:rsid w:val="00495C43"/>
    <w:rsid w:val="004A5E59"/>
    <w:rsid w:val="004B0378"/>
    <w:rsid w:val="004B4B28"/>
    <w:rsid w:val="004B6C57"/>
    <w:rsid w:val="004B7811"/>
    <w:rsid w:val="004C33E3"/>
    <w:rsid w:val="004C4AE0"/>
    <w:rsid w:val="004C4D77"/>
    <w:rsid w:val="004C6714"/>
    <w:rsid w:val="004C6D97"/>
    <w:rsid w:val="004C73E2"/>
    <w:rsid w:val="004D6209"/>
    <w:rsid w:val="004E2522"/>
    <w:rsid w:val="004E3EA1"/>
    <w:rsid w:val="004F2ED8"/>
    <w:rsid w:val="004F339A"/>
    <w:rsid w:val="004F563D"/>
    <w:rsid w:val="00502192"/>
    <w:rsid w:val="005027CD"/>
    <w:rsid w:val="00502DC9"/>
    <w:rsid w:val="005035D3"/>
    <w:rsid w:val="005041AF"/>
    <w:rsid w:val="00505C7D"/>
    <w:rsid w:val="0051056B"/>
    <w:rsid w:val="00515C1D"/>
    <w:rsid w:val="005202E0"/>
    <w:rsid w:val="00521D06"/>
    <w:rsid w:val="00522551"/>
    <w:rsid w:val="00525EEA"/>
    <w:rsid w:val="00527EBB"/>
    <w:rsid w:val="00530CF3"/>
    <w:rsid w:val="005334EA"/>
    <w:rsid w:val="005337A0"/>
    <w:rsid w:val="0053613A"/>
    <w:rsid w:val="00537479"/>
    <w:rsid w:val="00537BEC"/>
    <w:rsid w:val="00540049"/>
    <w:rsid w:val="0054061E"/>
    <w:rsid w:val="005408AA"/>
    <w:rsid w:val="0054138F"/>
    <w:rsid w:val="005414B3"/>
    <w:rsid w:val="005427D2"/>
    <w:rsid w:val="00550D5C"/>
    <w:rsid w:val="00550EEA"/>
    <w:rsid w:val="0055156F"/>
    <w:rsid w:val="0055525A"/>
    <w:rsid w:val="00561089"/>
    <w:rsid w:val="00562A1D"/>
    <w:rsid w:val="00571E4E"/>
    <w:rsid w:val="005772E5"/>
    <w:rsid w:val="00582E2E"/>
    <w:rsid w:val="00586868"/>
    <w:rsid w:val="005911C2"/>
    <w:rsid w:val="005922B3"/>
    <w:rsid w:val="005940FE"/>
    <w:rsid w:val="00595827"/>
    <w:rsid w:val="005A5206"/>
    <w:rsid w:val="005A7C7E"/>
    <w:rsid w:val="005B3B0A"/>
    <w:rsid w:val="005B6C5B"/>
    <w:rsid w:val="005C0E43"/>
    <w:rsid w:val="005C65A1"/>
    <w:rsid w:val="005D2F98"/>
    <w:rsid w:val="005D3CEA"/>
    <w:rsid w:val="005D55DB"/>
    <w:rsid w:val="005D57F9"/>
    <w:rsid w:val="005E3E3D"/>
    <w:rsid w:val="005E57B4"/>
    <w:rsid w:val="005F367E"/>
    <w:rsid w:val="005F47EE"/>
    <w:rsid w:val="005F61D4"/>
    <w:rsid w:val="005F7C58"/>
    <w:rsid w:val="005F7F28"/>
    <w:rsid w:val="006025EE"/>
    <w:rsid w:val="0060437D"/>
    <w:rsid w:val="00604F15"/>
    <w:rsid w:val="00604FB5"/>
    <w:rsid w:val="00606BF7"/>
    <w:rsid w:val="0060E037"/>
    <w:rsid w:val="00614D58"/>
    <w:rsid w:val="0061607D"/>
    <w:rsid w:val="00617996"/>
    <w:rsid w:val="00621F37"/>
    <w:rsid w:val="00622FC5"/>
    <w:rsid w:val="00626117"/>
    <w:rsid w:val="00631B39"/>
    <w:rsid w:val="00632CEC"/>
    <w:rsid w:val="0063354A"/>
    <w:rsid w:val="00636200"/>
    <w:rsid w:val="0064377A"/>
    <w:rsid w:val="0064510C"/>
    <w:rsid w:val="00645F89"/>
    <w:rsid w:val="00654A54"/>
    <w:rsid w:val="00657256"/>
    <w:rsid w:val="00667935"/>
    <w:rsid w:val="006767E6"/>
    <w:rsid w:val="006836C7"/>
    <w:rsid w:val="00683A8D"/>
    <w:rsid w:val="006923E9"/>
    <w:rsid w:val="006A69B4"/>
    <w:rsid w:val="006A6C08"/>
    <w:rsid w:val="006B231E"/>
    <w:rsid w:val="006B2D59"/>
    <w:rsid w:val="006B2F21"/>
    <w:rsid w:val="006B3B04"/>
    <w:rsid w:val="006B7441"/>
    <w:rsid w:val="006C520B"/>
    <w:rsid w:val="006C7AAA"/>
    <w:rsid w:val="006D2533"/>
    <w:rsid w:val="006D3B20"/>
    <w:rsid w:val="006D7FD6"/>
    <w:rsid w:val="006F4418"/>
    <w:rsid w:val="006F50A7"/>
    <w:rsid w:val="00702A8F"/>
    <w:rsid w:val="0070315B"/>
    <w:rsid w:val="00711A09"/>
    <w:rsid w:val="00712BC1"/>
    <w:rsid w:val="007158AA"/>
    <w:rsid w:val="00722A38"/>
    <w:rsid w:val="007233CD"/>
    <w:rsid w:val="007251C9"/>
    <w:rsid w:val="007308C3"/>
    <w:rsid w:val="00730A0F"/>
    <w:rsid w:val="007320C7"/>
    <w:rsid w:val="007323E5"/>
    <w:rsid w:val="00734273"/>
    <w:rsid w:val="00736E6B"/>
    <w:rsid w:val="007376AD"/>
    <w:rsid w:val="00740B3A"/>
    <w:rsid w:val="00744695"/>
    <w:rsid w:val="00745CAE"/>
    <w:rsid w:val="00756F4B"/>
    <w:rsid w:val="007676EF"/>
    <w:rsid w:val="00771196"/>
    <w:rsid w:val="00771904"/>
    <w:rsid w:val="0077424B"/>
    <w:rsid w:val="00780093"/>
    <w:rsid w:val="007824E5"/>
    <w:rsid w:val="00783781"/>
    <w:rsid w:val="00783D65"/>
    <w:rsid w:val="0078546C"/>
    <w:rsid w:val="0078757D"/>
    <w:rsid w:val="00791A99"/>
    <w:rsid w:val="00791D73"/>
    <w:rsid w:val="00794109"/>
    <w:rsid w:val="007A5137"/>
    <w:rsid w:val="007C2790"/>
    <w:rsid w:val="007C53BC"/>
    <w:rsid w:val="007C6B9A"/>
    <w:rsid w:val="007D2973"/>
    <w:rsid w:val="007E26C5"/>
    <w:rsid w:val="007E50B1"/>
    <w:rsid w:val="007E5353"/>
    <w:rsid w:val="007F3004"/>
    <w:rsid w:val="007F5C8B"/>
    <w:rsid w:val="008003DF"/>
    <w:rsid w:val="00803A07"/>
    <w:rsid w:val="00805677"/>
    <w:rsid w:val="0080682B"/>
    <w:rsid w:val="00807395"/>
    <w:rsid w:val="0082089F"/>
    <w:rsid w:val="00821630"/>
    <w:rsid w:val="00833D87"/>
    <w:rsid w:val="00836FE1"/>
    <w:rsid w:val="00837557"/>
    <w:rsid w:val="00841E9C"/>
    <w:rsid w:val="00842F5E"/>
    <w:rsid w:val="00843CD3"/>
    <w:rsid w:val="008444D1"/>
    <w:rsid w:val="00846A10"/>
    <w:rsid w:val="00846BB1"/>
    <w:rsid w:val="00853106"/>
    <w:rsid w:val="008554E3"/>
    <w:rsid w:val="00855D84"/>
    <w:rsid w:val="008560E6"/>
    <w:rsid w:val="00862062"/>
    <w:rsid w:val="008650EC"/>
    <w:rsid w:val="0086671B"/>
    <w:rsid w:val="00870DC4"/>
    <w:rsid w:val="00872BFC"/>
    <w:rsid w:val="00873E24"/>
    <w:rsid w:val="00874B10"/>
    <w:rsid w:val="00876A4B"/>
    <w:rsid w:val="008779C4"/>
    <w:rsid w:val="0088276A"/>
    <w:rsid w:val="00886A85"/>
    <w:rsid w:val="00890133"/>
    <w:rsid w:val="00896582"/>
    <w:rsid w:val="008A2B03"/>
    <w:rsid w:val="008A675D"/>
    <w:rsid w:val="008B1A6B"/>
    <w:rsid w:val="008B5DFE"/>
    <w:rsid w:val="008C180D"/>
    <w:rsid w:val="008D5821"/>
    <w:rsid w:val="008D6147"/>
    <w:rsid w:val="008D7F71"/>
    <w:rsid w:val="008E1DA0"/>
    <w:rsid w:val="008E248A"/>
    <w:rsid w:val="008E5303"/>
    <w:rsid w:val="008E54E9"/>
    <w:rsid w:val="008F3540"/>
    <w:rsid w:val="008F3945"/>
    <w:rsid w:val="00901CCC"/>
    <w:rsid w:val="009029BD"/>
    <w:rsid w:val="00904666"/>
    <w:rsid w:val="00905D03"/>
    <w:rsid w:val="00905FF7"/>
    <w:rsid w:val="009118BE"/>
    <w:rsid w:val="009120CB"/>
    <w:rsid w:val="00927A53"/>
    <w:rsid w:val="00927B4D"/>
    <w:rsid w:val="00931586"/>
    <w:rsid w:val="009432BC"/>
    <w:rsid w:val="009436B2"/>
    <w:rsid w:val="00944725"/>
    <w:rsid w:val="0094691B"/>
    <w:rsid w:val="00950572"/>
    <w:rsid w:val="009515FC"/>
    <w:rsid w:val="00953AB9"/>
    <w:rsid w:val="009555FA"/>
    <w:rsid w:val="00956D0F"/>
    <w:rsid w:val="00956E4A"/>
    <w:rsid w:val="009601FD"/>
    <w:rsid w:val="00960E45"/>
    <w:rsid w:val="009645A9"/>
    <w:rsid w:val="00964B09"/>
    <w:rsid w:val="009653B1"/>
    <w:rsid w:val="009731D9"/>
    <w:rsid w:val="009814E4"/>
    <w:rsid w:val="0098285A"/>
    <w:rsid w:val="009835C5"/>
    <w:rsid w:val="00986355"/>
    <w:rsid w:val="00991A0B"/>
    <w:rsid w:val="00993576"/>
    <w:rsid w:val="00994897"/>
    <w:rsid w:val="0099498F"/>
    <w:rsid w:val="0099732E"/>
    <w:rsid w:val="009B0BB6"/>
    <w:rsid w:val="009B1221"/>
    <w:rsid w:val="009B52CC"/>
    <w:rsid w:val="009C0A84"/>
    <w:rsid w:val="009C5FDB"/>
    <w:rsid w:val="009C6ECD"/>
    <w:rsid w:val="009D195E"/>
    <w:rsid w:val="009E35CE"/>
    <w:rsid w:val="009E69EB"/>
    <w:rsid w:val="009F20D2"/>
    <w:rsid w:val="009F415E"/>
    <w:rsid w:val="009F4755"/>
    <w:rsid w:val="009F533F"/>
    <w:rsid w:val="00A05EA2"/>
    <w:rsid w:val="00A100E5"/>
    <w:rsid w:val="00A102B1"/>
    <w:rsid w:val="00A10DB5"/>
    <w:rsid w:val="00A15B17"/>
    <w:rsid w:val="00A236BE"/>
    <w:rsid w:val="00A33106"/>
    <w:rsid w:val="00A35CB7"/>
    <w:rsid w:val="00A37860"/>
    <w:rsid w:val="00A42818"/>
    <w:rsid w:val="00A43F20"/>
    <w:rsid w:val="00A45610"/>
    <w:rsid w:val="00A505DC"/>
    <w:rsid w:val="00A5084F"/>
    <w:rsid w:val="00A546EF"/>
    <w:rsid w:val="00A54886"/>
    <w:rsid w:val="00A5544B"/>
    <w:rsid w:val="00A614B6"/>
    <w:rsid w:val="00A63A87"/>
    <w:rsid w:val="00A63BB4"/>
    <w:rsid w:val="00A64DEE"/>
    <w:rsid w:val="00A73E31"/>
    <w:rsid w:val="00A7416F"/>
    <w:rsid w:val="00A7435C"/>
    <w:rsid w:val="00A82554"/>
    <w:rsid w:val="00A853E8"/>
    <w:rsid w:val="00A9367D"/>
    <w:rsid w:val="00AA1484"/>
    <w:rsid w:val="00AA2104"/>
    <w:rsid w:val="00AA5CAC"/>
    <w:rsid w:val="00AB7465"/>
    <w:rsid w:val="00AC0784"/>
    <w:rsid w:val="00AC30EE"/>
    <w:rsid w:val="00AC328F"/>
    <w:rsid w:val="00AC3655"/>
    <w:rsid w:val="00AC4771"/>
    <w:rsid w:val="00AD0F68"/>
    <w:rsid w:val="00AD39A0"/>
    <w:rsid w:val="00AD6B79"/>
    <w:rsid w:val="00AD76E8"/>
    <w:rsid w:val="00AD78F7"/>
    <w:rsid w:val="00AE0DDF"/>
    <w:rsid w:val="00AE1E71"/>
    <w:rsid w:val="00AE6465"/>
    <w:rsid w:val="00AF0105"/>
    <w:rsid w:val="00AF03C9"/>
    <w:rsid w:val="00AF08D9"/>
    <w:rsid w:val="00AF0E16"/>
    <w:rsid w:val="00AF5CA5"/>
    <w:rsid w:val="00B00533"/>
    <w:rsid w:val="00B03927"/>
    <w:rsid w:val="00B06D56"/>
    <w:rsid w:val="00B137F9"/>
    <w:rsid w:val="00B13884"/>
    <w:rsid w:val="00B15841"/>
    <w:rsid w:val="00B16C3E"/>
    <w:rsid w:val="00B22733"/>
    <w:rsid w:val="00B23794"/>
    <w:rsid w:val="00B25959"/>
    <w:rsid w:val="00B32D41"/>
    <w:rsid w:val="00B35F69"/>
    <w:rsid w:val="00B41BE0"/>
    <w:rsid w:val="00B42E0C"/>
    <w:rsid w:val="00B55314"/>
    <w:rsid w:val="00B55903"/>
    <w:rsid w:val="00B573B5"/>
    <w:rsid w:val="00B6449B"/>
    <w:rsid w:val="00B64CD5"/>
    <w:rsid w:val="00B65D34"/>
    <w:rsid w:val="00B66126"/>
    <w:rsid w:val="00B75AD4"/>
    <w:rsid w:val="00B82F0D"/>
    <w:rsid w:val="00B87865"/>
    <w:rsid w:val="00B8797C"/>
    <w:rsid w:val="00B94052"/>
    <w:rsid w:val="00B940A5"/>
    <w:rsid w:val="00BA3BF9"/>
    <w:rsid w:val="00BB376F"/>
    <w:rsid w:val="00BB3824"/>
    <w:rsid w:val="00BB6394"/>
    <w:rsid w:val="00BC2139"/>
    <w:rsid w:val="00BC77B0"/>
    <w:rsid w:val="00BD0D28"/>
    <w:rsid w:val="00BD1A27"/>
    <w:rsid w:val="00BD5A91"/>
    <w:rsid w:val="00BD79DE"/>
    <w:rsid w:val="00BE5FA9"/>
    <w:rsid w:val="00BF4241"/>
    <w:rsid w:val="00BF445B"/>
    <w:rsid w:val="00BF79F2"/>
    <w:rsid w:val="00C03064"/>
    <w:rsid w:val="00C1437F"/>
    <w:rsid w:val="00C166C4"/>
    <w:rsid w:val="00C16C84"/>
    <w:rsid w:val="00C24C99"/>
    <w:rsid w:val="00C24E06"/>
    <w:rsid w:val="00C26D07"/>
    <w:rsid w:val="00C2741C"/>
    <w:rsid w:val="00C412D7"/>
    <w:rsid w:val="00C439C3"/>
    <w:rsid w:val="00C5087C"/>
    <w:rsid w:val="00C51A59"/>
    <w:rsid w:val="00C51CC2"/>
    <w:rsid w:val="00C51E06"/>
    <w:rsid w:val="00C52668"/>
    <w:rsid w:val="00C52B6E"/>
    <w:rsid w:val="00C60010"/>
    <w:rsid w:val="00C73B42"/>
    <w:rsid w:val="00C82435"/>
    <w:rsid w:val="00C82BE6"/>
    <w:rsid w:val="00C84E46"/>
    <w:rsid w:val="00C86903"/>
    <w:rsid w:val="00C86B78"/>
    <w:rsid w:val="00C90253"/>
    <w:rsid w:val="00C9060D"/>
    <w:rsid w:val="00C9122E"/>
    <w:rsid w:val="00C91E15"/>
    <w:rsid w:val="00C92B04"/>
    <w:rsid w:val="00C9458B"/>
    <w:rsid w:val="00C955BC"/>
    <w:rsid w:val="00C96EEA"/>
    <w:rsid w:val="00CA069B"/>
    <w:rsid w:val="00CA6127"/>
    <w:rsid w:val="00CA6133"/>
    <w:rsid w:val="00CA693E"/>
    <w:rsid w:val="00CA77E3"/>
    <w:rsid w:val="00CC005F"/>
    <w:rsid w:val="00CC23A3"/>
    <w:rsid w:val="00CC270F"/>
    <w:rsid w:val="00CC536E"/>
    <w:rsid w:val="00CC748B"/>
    <w:rsid w:val="00CC7FAC"/>
    <w:rsid w:val="00CD03FF"/>
    <w:rsid w:val="00CD5202"/>
    <w:rsid w:val="00CE0A05"/>
    <w:rsid w:val="00CE0A5D"/>
    <w:rsid w:val="00CE470E"/>
    <w:rsid w:val="00CE7173"/>
    <w:rsid w:val="00CF0E49"/>
    <w:rsid w:val="00CF4A92"/>
    <w:rsid w:val="00CF6189"/>
    <w:rsid w:val="00CF632C"/>
    <w:rsid w:val="00D033C2"/>
    <w:rsid w:val="00D0743F"/>
    <w:rsid w:val="00D1105E"/>
    <w:rsid w:val="00D217A1"/>
    <w:rsid w:val="00D21952"/>
    <w:rsid w:val="00D221D8"/>
    <w:rsid w:val="00D25DB5"/>
    <w:rsid w:val="00D25F60"/>
    <w:rsid w:val="00D335F0"/>
    <w:rsid w:val="00D366C7"/>
    <w:rsid w:val="00D37BEC"/>
    <w:rsid w:val="00D43C80"/>
    <w:rsid w:val="00D43F88"/>
    <w:rsid w:val="00D46C1C"/>
    <w:rsid w:val="00D50E70"/>
    <w:rsid w:val="00D52803"/>
    <w:rsid w:val="00D53527"/>
    <w:rsid w:val="00D60C3B"/>
    <w:rsid w:val="00D6174E"/>
    <w:rsid w:val="00D65E6C"/>
    <w:rsid w:val="00D765EB"/>
    <w:rsid w:val="00D821B0"/>
    <w:rsid w:val="00D86262"/>
    <w:rsid w:val="00D875E8"/>
    <w:rsid w:val="00D97479"/>
    <w:rsid w:val="00DA21BA"/>
    <w:rsid w:val="00DA2B63"/>
    <w:rsid w:val="00DA4854"/>
    <w:rsid w:val="00DA49B8"/>
    <w:rsid w:val="00DB2F81"/>
    <w:rsid w:val="00DB31F7"/>
    <w:rsid w:val="00DB6F7F"/>
    <w:rsid w:val="00DB7058"/>
    <w:rsid w:val="00DC0453"/>
    <w:rsid w:val="00DC7D42"/>
    <w:rsid w:val="00DD01D4"/>
    <w:rsid w:val="00DD137D"/>
    <w:rsid w:val="00DD3E0B"/>
    <w:rsid w:val="00DD7F05"/>
    <w:rsid w:val="00DE4715"/>
    <w:rsid w:val="00DE5BAE"/>
    <w:rsid w:val="00DF2B70"/>
    <w:rsid w:val="00DF3428"/>
    <w:rsid w:val="00DF43B0"/>
    <w:rsid w:val="00DF557F"/>
    <w:rsid w:val="00DF5F7C"/>
    <w:rsid w:val="00DF6089"/>
    <w:rsid w:val="00E013A3"/>
    <w:rsid w:val="00E063E4"/>
    <w:rsid w:val="00E1278C"/>
    <w:rsid w:val="00E12ED1"/>
    <w:rsid w:val="00E172CD"/>
    <w:rsid w:val="00E24A23"/>
    <w:rsid w:val="00E303D0"/>
    <w:rsid w:val="00E329F8"/>
    <w:rsid w:val="00E35393"/>
    <w:rsid w:val="00E45619"/>
    <w:rsid w:val="00E469BE"/>
    <w:rsid w:val="00E504F6"/>
    <w:rsid w:val="00E52071"/>
    <w:rsid w:val="00E56519"/>
    <w:rsid w:val="00E724F4"/>
    <w:rsid w:val="00E754BF"/>
    <w:rsid w:val="00E818CF"/>
    <w:rsid w:val="00E864B0"/>
    <w:rsid w:val="00E94DCD"/>
    <w:rsid w:val="00E95EEF"/>
    <w:rsid w:val="00EA530C"/>
    <w:rsid w:val="00EA545F"/>
    <w:rsid w:val="00EA7F5B"/>
    <w:rsid w:val="00EB350B"/>
    <w:rsid w:val="00EB3C39"/>
    <w:rsid w:val="00EB4D7E"/>
    <w:rsid w:val="00EB699D"/>
    <w:rsid w:val="00EC5738"/>
    <w:rsid w:val="00EC733B"/>
    <w:rsid w:val="00ED34AB"/>
    <w:rsid w:val="00EE79F5"/>
    <w:rsid w:val="00EF2E63"/>
    <w:rsid w:val="00EF5DBE"/>
    <w:rsid w:val="00EF7841"/>
    <w:rsid w:val="00F031DC"/>
    <w:rsid w:val="00F0716D"/>
    <w:rsid w:val="00F1049E"/>
    <w:rsid w:val="00F14863"/>
    <w:rsid w:val="00F21C70"/>
    <w:rsid w:val="00F2768D"/>
    <w:rsid w:val="00F30662"/>
    <w:rsid w:val="00F33CCC"/>
    <w:rsid w:val="00F3511B"/>
    <w:rsid w:val="00F377E5"/>
    <w:rsid w:val="00F40A01"/>
    <w:rsid w:val="00F44674"/>
    <w:rsid w:val="00F548CF"/>
    <w:rsid w:val="00F55B30"/>
    <w:rsid w:val="00F633DA"/>
    <w:rsid w:val="00F641AD"/>
    <w:rsid w:val="00F66F35"/>
    <w:rsid w:val="00F67639"/>
    <w:rsid w:val="00F76712"/>
    <w:rsid w:val="00F77150"/>
    <w:rsid w:val="00F77C7B"/>
    <w:rsid w:val="00F80436"/>
    <w:rsid w:val="00F80BF0"/>
    <w:rsid w:val="00F838AE"/>
    <w:rsid w:val="00F84A9F"/>
    <w:rsid w:val="00F84B8C"/>
    <w:rsid w:val="00FA1E19"/>
    <w:rsid w:val="00FA3277"/>
    <w:rsid w:val="00FA4330"/>
    <w:rsid w:val="00FB1DBE"/>
    <w:rsid w:val="00FB2BBE"/>
    <w:rsid w:val="00FB50AC"/>
    <w:rsid w:val="00FC3625"/>
    <w:rsid w:val="00FC37CB"/>
    <w:rsid w:val="00FC7C7C"/>
    <w:rsid w:val="00FD06DF"/>
    <w:rsid w:val="00FD08A1"/>
    <w:rsid w:val="00FD0FE5"/>
    <w:rsid w:val="00FE4636"/>
    <w:rsid w:val="00FE5040"/>
    <w:rsid w:val="01391DE8"/>
    <w:rsid w:val="018AF990"/>
    <w:rsid w:val="02294083"/>
    <w:rsid w:val="028E63C3"/>
    <w:rsid w:val="02EBC008"/>
    <w:rsid w:val="0312F4CC"/>
    <w:rsid w:val="03171627"/>
    <w:rsid w:val="035B89E8"/>
    <w:rsid w:val="0361882D"/>
    <w:rsid w:val="038625FA"/>
    <w:rsid w:val="03B4FBBD"/>
    <w:rsid w:val="042B3043"/>
    <w:rsid w:val="0439EFBB"/>
    <w:rsid w:val="043B3D25"/>
    <w:rsid w:val="04853ADA"/>
    <w:rsid w:val="04886DE1"/>
    <w:rsid w:val="04B5F406"/>
    <w:rsid w:val="05233DC1"/>
    <w:rsid w:val="052E9A76"/>
    <w:rsid w:val="059C0300"/>
    <w:rsid w:val="0685FF18"/>
    <w:rsid w:val="06940738"/>
    <w:rsid w:val="0708715A"/>
    <w:rsid w:val="072D4F80"/>
    <w:rsid w:val="075A4D02"/>
    <w:rsid w:val="07C3E4AE"/>
    <w:rsid w:val="07F05BC5"/>
    <w:rsid w:val="0801925A"/>
    <w:rsid w:val="083987AD"/>
    <w:rsid w:val="08671EB7"/>
    <w:rsid w:val="088AC669"/>
    <w:rsid w:val="089FB8CC"/>
    <w:rsid w:val="08FDBE7D"/>
    <w:rsid w:val="090284A9"/>
    <w:rsid w:val="090816E9"/>
    <w:rsid w:val="09353CAB"/>
    <w:rsid w:val="09B2A3D3"/>
    <w:rsid w:val="09FA83B5"/>
    <w:rsid w:val="0A0FB003"/>
    <w:rsid w:val="0A2CE686"/>
    <w:rsid w:val="0A4C5F5D"/>
    <w:rsid w:val="0A714553"/>
    <w:rsid w:val="0B75CD15"/>
    <w:rsid w:val="0BA392DE"/>
    <w:rsid w:val="0BA434EE"/>
    <w:rsid w:val="0C83E2DC"/>
    <w:rsid w:val="0CFC257F"/>
    <w:rsid w:val="0CFCA2F2"/>
    <w:rsid w:val="0DAB0954"/>
    <w:rsid w:val="0DC7C64E"/>
    <w:rsid w:val="0E14DE69"/>
    <w:rsid w:val="0E8C7432"/>
    <w:rsid w:val="0ED3A124"/>
    <w:rsid w:val="0F1CEDD5"/>
    <w:rsid w:val="0F27F461"/>
    <w:rsid w:val="0F71C62D"/>
    <w:rsid w:val="0F7539FD"/>
    <w:rsid w:val="0FAC78C3"/>
    <w:rsid w:val="1039ED02"/>
    <w:rsid w:val="106B7E92"/>
    <w:rsid w:val="107D5B0C"/>
    <w:rsid w:val="1097D924"/>
    <w:rsid w:val="10E42782"/>
    <w:rsid w:val="10E693EB"/>
    <w:rsid w:val="11738860"/>
    <w:rsid w:val="1175821A"/>
    <w:rsid w:val="11C8F0D8"/>
    <w:rsid w:val="12074EF3"/>
    <w:rsid w:val="121AC1E8"/>
    <w:rsid w:val="1230E973"/>
    <w:rsid w:val="129BD0B9"/>
    <w:rsid w:val="12D0B333"/>
    <w:rsid w:val="12D20E5F"/>
    <w:rsid w:val="12DEDDBA"/>
    <w:rsid w:val="12E14078"/>
    <w:rsid w:val="12E8E704"/>
    <w:rsid w:val="134D5F44"/>
    <w:rsid w:val="13A71247"/>
    <w:rsid w:val="13AEA4C3"/>
    <w:rsid w:val="13DD35DC"/>
    <w:rsid w:val="141BC844"/>
    <w:rsid w:val="14659ABB"/>
    <w:rsid w:val="1470B041"/>
    <w:rsid w:val="14893F59"/>
    <w:rsid w:val="148D27C1"/>
    <w:rsid w:val="14A32694"/>
    <w:rsid w:val="14C2BDE8"/>
    <w:rsid w:val="14EE0F07"/>
    <w:rsid w:val="14EE9833"/>
    <w:rsid w:val="15136B95"/>
    <w:rsid w:val="1514CC61"/>
    <w:rsid w:val="15414F11"/>
    <w:rsid w:val="156904EE"/>
    <w:rsid w:val="15EB0641"/>
    <w:rsid w:val="162D07D8"/>
    <w:rsid w:val="16578B59"/>
    <w:rsid w:val="16644773"/>
    <w:rsid w:val="1689DF68"/>
    <w:rsid w:val="16BE385D"/>
    <w:rsid w:val="16DAC016"/>
    <w:rsid w:val="16EE330B"/>
    <w:rsid w:val="16F2E708"/>
    <w:rsid w:val="16F4A5BA"/>
    <w:rsid w:val="174D2A4F"/>
    <w:rsid w:val="1755094A"/>
    <w:rsid w:val="1767B9F8"/>
    <w:rsid w:val="17937F6E"/>
    <w:rsid w:val="1794B77A"/>
    <w:rsid w:val="17D90A88"/>
    <w:rsid w:val="17E5E56F"/>
    <w:rsid w:val="17F170B9"/>
    <w:rsid w:val="181894EB"/>
    <w:rsid w:val="1818F5B7"/>
    <w:rsid w:val="18198E7E"/>
    <w:rsid w:val="182035FD"/>
    <w:rsid w:val="189821AD"/>
    <w:rsid w:val="18AA45FD"/>
    <w:rsid w:val="18C15856"/>
    <w:rsid w:val="19FC2621"/>
    <w:rsid w:val="1A0CD551"/>
    <w:rsid w:val="1AD3E020"/>
    <w:rsid w:val="1B81EC2B"/>
    <w:rsid w:val="1BB09095"/>
    <w:rsid w:val="1BC1A42E"/>
    <w:rsid w:val="1BE46D8E"/>
    <w:rsid w:val="1C034A3A"/>
    <w:rsid w:val="1C5836BB"/>
    <w:rsid w:val="1C9DF6E8"/>
    <w:rsid w:val="1CDFC7DE"/>
    <w:rsid w:val="1D1A9D1C"/>
    <w:rsid w:val="1D88D58A"/>
    <w:rsid w:val="1DFBF2C0"/>
    <w:rsid w:val="1E5689E5"/>
    <w:rsid w:val="1E6B2ED0"/>
    <w:rsid w:val="1E83B250"/>
    <w:rsid w:val="1E9C5F2C"/>
    <w:rsid w:val="1EA7923F"/>
    <w:rsid w:val="1EB7DDF6"/>
    <w:rsid w:val="1EBBE07D"/>
    <w:rsid w:val="1EC58D94"/>
    <w:rsid w:val="1EF3CCD2"/>
    <w:rsid w:val="2022ADEA"/>
    <w:rsid w:val="207C3D4B"/>
    <w:rsid w:val="20AC806F"/>
    <w:rsid w:val="211F3F9D"/>
    <w:rsid w:val="211FA281"/>
    <w:rsid w:val="2122B5E6"/>
    <w:rsid w:val="2139F691"/>
    <w:rsid w:val="215C7474"/>
    <w:rsid w:val="216BB3D8"/>
    <w:rsid w:val="216FAFE7"/>
    <w:rsid w:val="21BB1C14"/>
    <w:rsid w:val="21BDFFBA"/>
    <w:rsid w:val="22081374"/>
    <w:rsid w:val="221F627E"/>
    <w:rsid w:val="22AFCDD4"/>
    <w:rsid w:val="22B15D0B"/>
    <w:rsid w:val="22D63B31"/>
    <w:rsid w:val="230392C2"/>
    <w:rsid w:val="2317B54E"/>
    <w:rsid w:val="235DC303"/>
    <w:rsid w:val="23A27A1D"/>
    <w:rsid w:val="23A3E3D5"/>
    <w:rsid w:val="23BB32DF"/>
    <w:rsid w:val="23DDFB79"/>
    <w:rsid w:val="24A750A9"/>
    <w:rsid w:val="24F29DEB"/>
    <w:rsid w:val="254CB836"/>
    <w:rsid w:val="255200F3"/>
    <w:rsid w:val="25570340"/>
    <w:rsid w:val="2568ADB2"/>
    <w:rsid w:val="2575F49D"/>
    <w:rsid w:val="25764FB3"/>
    <w:rsid w:val="2614B088"/>
    <w:rsid w:val="2651ECE5"/>
    <w:rsid w:val="26BB29DF"/>
    <w:rsid w:val="271F7675"/>
    <w:rsid w:val="27234B46"/>
    <w:rsid w:val="275FBC17"/>
    <w:rsid w:val="276A0EEE"/>
    <w:rsid w:val="277D464A"/>
    <w:rsid w:val="27843DE7"/>
    <w:rsid w:val="279AE962"/>
    <w:rsid w:val="27CF21F2"/>
    <w:rsid w:val="27DAF55C"/>
    <w:rsid w:val="285214E9"/>
    <w:rsid w:val="28E559F0"/>
    <w:rsid w:val="28E9046B"/>
    <w:rsid w:val="292414D8"/>
    <w:rsid w:val="2942B002"/>
    <w:rsid w:val="29F25DCD"/>
    <w:rsid w:val="2A7F6587"/>
    <w:rsid w:val="2ACAA3DF"/>
    <w:rsid w:val="2ACC7BD2"/>
    <w:rsid w:val="2B59F370"/>
    <w:rsid w:val="2B5A411B"/>
    <w:rsid w:val="2BAD1C67"/>
    <w:rsid w:val="2CAE667F"/>
    <w:rsid w:val="2CCDF9F1"/>
    <w:rsid w:val="2D0257C3"/>
    <w:rsid w:val="2D23FAD5"/>
    <w:rsid w:val="2DA25FA9"/>
    <w:rsid w:val="2DB5BEB9"/>
    <w:rsid w:val="2DE0BBDA"/>
    <w:rsid w:val="2E3EEC4A"/>
    <w:rsid w:val="2E70969A"/>
    <w:rsid w:val="2E74E215"/>
    <w:rsid w:val="2EC90D1E"/>
    <w:rsid w:val="2EDDEBB5"/>
    <w:rsid w:val="2F125E57"/>
    <w:rsid w:val="2F536E22"/>
    <w:rsid w:val="2FACD382"/>
    <w:rsid w:val="3035D8B8"/>
    <w:rsid w:val="306BA999"/>
    <w:rsid w:val="312A3983"/>
    <w:rsid w:val="31AF5CF5"/>
    <w:rsid w:val="31F79FF6"/>
    <w:rsid w:val="32759A95"/>
    <w:rsid w:val="328FBFC7"/>
    <w:rsid w:val="32C5BEB6"/>
    <w:rsid w:val="3315F8E1"/>
    <w:rsid w:val="3321A412"/>
    <w:rsid w:val="3367B1B4"/>
    <w:rsid w:val="336DC8D6"/>
    <w:rsid w:val="33EF31B6"/>
    <w:rsid w:val="34667864"/>
    <w:rsid w:val="346AA4A5"/>
    <w:rsid w:val="34713309"/>
    <w:rsid w:val="34C59E67"/>
    <w:rsid w:val="34E6E3D2"/>
    <w:rsid w:val="3512500B"/>
    <w:rsid w:val="354B63B1"/>
    <w:rsid w:val="35A68BA6"/>
    <w:rsid w:val="35DDDE41"/>
    <w:rsid w:val="360F87CF"/>
    <w:rsid w:val="363FFB4A"/>
    <w:rsid w:val="369F754B"/>
    <w:rsid w:val="36C22CE2"/>
    <w:rsid w:val="37BDDF28"/>
    <w:rsid w:val="37DBECD8"/>
    <w:rsid w:val="37F2FCED"/>
    <w:rsid w:val="380F3802"/>
    <w:rsid w:val="38996A15"/>
    <w:rsid w:val="38BB1AF5"/>
    <w:rsid w:val="38BC1714"/>
    <w:rsid w:val="39119C32"/>
    <w:rsid w:val="392D0F66"/>
    <w:rsid w:val="393D1C48"/>
    <w:rsid w:val="3A57E775"/>
    <w:rsid w:val="3AD39416"/>
    <w:rsid w:val="3B753925"/>
    <w:rsid w:val="3B8E2BA6"/>
    <w:rsid w:val="3BBD3A32"/>
    <w:rsid w:val="3BDEDEB7"/>
    <w:rsid w:val="3CEE0B6A"/>
    <w:rsid w:val="3CF1EC72"/>
    <w:rsid w:val="3D971116"/>
    <w:rsid w:val="3E01E24A"/>
    <w:rsid w:val="3E033F1C"/>
    <w:rsid w:val="3E2C2050"/>
    <w:rsid w:val="3E55E160"/>
    <w:rsid w:val="3E7CD6F9"/>
    <w:rsid w:val="3E899AFD"/>
    <w:rsid w:val="3EB85037"/>
    <w:rsid w:val="3EDC4A0F"/>
    <w:rsid w:val="3EF44BB9"/>
    <w:rsid w:val="3FBFF7C2"/>
    <w:rsid w:val="3FC73B40"/>
    <w:rsid w:val="3FCBCBE9"/>
    <w:rsid w:val="404149D7"/>
    <w:rsid w:val="4041B6D1"/>
    <w:rsid w:val="406D4A9B"/>
    <w:rsid w:val="40F00FC1"/>
    <w:rsid w:val="4171BB85"/>
    <w:rsid w:val="41811CFC"/>
    <w:rsid w:val="41A093DA"/>
    <w:rsid w:val="41EEC404"/>
    <w:rsid w:val="41F7CA95"/>
    <w:rsid w:val="420DF684"/>
    <w:rsid w:val="42B442F5"/>
    <w:rsid w:val="42B8F90B"/>
    <w:rsid w:val="42E41B34"/>
    <w:rsid w:val="430D1C4B"/>
    <w:rsid w:val="43A4EB5D"/>
    <w:rsid w:val="43E7CD68"/>
    <w:rsid w:val="43E7EA0E"/>
    <w:rsid w:val="44BC3323"/>
    <w:rsid w:val="458DC0BA"/>
    <w:rsid w:val="459CD70A"/>
    <w:rsid w:val="45B0797C"/>
    <w:rsid w:val="45D8BD45"/>
    <w:rsid w:val="46020E56"/>
    <w:rsid w:val="46281A11"/>
    <w:rsid w:val="46285138"/>
    <w:rsid w:val="465876E3"/>
    <w:rsid w:val="467BE1AD"/>
    <w:rsid w:val="46F06D3F"/>
    <w:rsid w:val="46F5BEBE"/>
    <w:rsid w:val="4703CA7B"/>
    <w:rsid w:val="4708C66E"/>
    <w:rsid w:val="47492EE0"/>
    <w:rsid w:val="476F3C24"/>
    <w:rsid w:val="4771C05C"/>
    <w:rsid w:val="47D60EB0"/>
    <w:rsid w:val="47F70C11"/>
    <w:rsid w:val="48010F60"/>
    <w:rsid w:val="482F259E"/>
    <w:rsid w:val="48D4BFFC"/>
    <w:rsid w:val="48D5CDA9"/>
    <w:rsid w:val="494DFEE8"/>
    <w:rsid w:val="49674678"/>
    <w:rsid w:val="4989263E"/>
    <w:rsid w:val="49A67F1A"/>
    <w:rsid w:val="4A03B72E"/>
    <w:rsid w:val="4A04FAA4"/>
    <w:rsid w:val="4A400B96"/>
    <w:rsid w:val="4ACF5C51"/>
    <w:rsid w:val="4B296034"/>
    <w:rsid w:val="4BC07005"/>
    <w:rsid w:val="4C06415C"/>
    <w:rsid w:val="4CAE4325"/>
    <w:rsid w:val="4CB28181"/>
    <w:rsid w:val="4CEB2AB0"/>
    <w:rsid w:val="4CFD860A"/>
    <w:rsid w:val="4D11374A"/>
    <w:rsid w:val="4D66FC38"/>
    <w:rsid w:val="4D70C1F4"/>
    <w:rsid w:val="4DD08417"/>
    <w:rsid w:val="4DD17B8E"/>
    <w:rsid w:val="4E824369"/>
    <w:rsid w:val="4E8C66B3"/>
    <w:rsid w:val="4EBD6492"/>
    <w:rsid w:val="4EC5B5B3"/>
    <w:rsid w:val="4EE9B705"/>
    <w:rsid w:val="4FC71A84"/>
    <w:rsid w:val="4FD84FF4"/>
    <w:rsid w:val="50F4D6F1"/>
    <w:rsid w:val="5105726A"/>
    <w:rsid w:val="513E8AA7"/>
    <w:rsid w:val="518DF5BF"/>
    <w:rsid w:val="51C134AA"/>
    <w:rsid w:val="51C6F81C"/>
    <w:rsid w:val="51F3F59E"/>
    <w:rsid w:val="52470636"/>
    <w:rsid w:val="527886A7"/>
    <w:rsid w:val="52B97C65"/>
    <w:rsid w:val="537F3F46"/>
    <w:rsid w:val="5385874E"/>
    <w:rsid w:val="53D9C6CE"/>
    <w:rsid w:val="53FDB897"/>
    <w:rsid w:val="5403B2AE"/>
    <w:rsid w:val="540A84E9"/>
    <w:rsid w:val="5420F3C0"/>
    <w:rsid w:val="543A3BF9"/>
    <w:rsid w:val="5467EAE4"/>
    <w:rsid w:val="54EB29C9"/>
    <w:rsid w:val="5530ADF0"/>
    <w:rsid w:val="55EA45EB"/>
    <w:rsid w:val="56667B51"/>
    <w:rsid w:val="57B6C8DE"/>
    <w:rsid w:val="58083FFF"/>
    <w:rsid w:val="5817B46E"/>
    <w:rsid w:val="58259188"/>
    <w:rsid w:val="58B9AE53"/>
    <w:rsid w:val="58D82D42"/>
    <w:rsid w:val="590A5E04"/>
    <w:rsid w:val="591457F8"/>
    <w:rsid w:val="596DEED4"/>
    <w:rsid w:val="5971AD98"/>
    <w:rsid w:val="59757D2C"/>
    <w:rsid w:val="598AE388"/>
    <w:rsid w:val="59DF218B"/>
    <w:rsid w:val="5A7EDF43"/>
    <w:rsid w:val="5B11D0F5"/>
    <w:rsid w:val="5B41858C"/>
    <w:rsid w:val="5B61ECD4"/>
    <w:rsid w:val="5B8BC81C"/>
    <w:rsid w:val="5B8E8E21"/>
    <w:rsid w:val="5BBCB4FC"/>
    <w:rsid w:val="5BD6A7C5"/>
    <w:rsid w:val="5C8F324F"/>
    <w:rsid w:val="5CD9BD13"/>
    <w:rsid w:val="5CE201BB"/>
    <w:rsid w:val="5D0A36A8"/>
    <w:rsid w:val="5D2D7942"/>
    <w:rsid w:val="5DD0458E"/>
    <w:rsid w:val="5DD359F9"/>
    <w:rsid w:val="5E0079DD"/>
    <w:rsid w:val="5E1481E2"/>
    <w:rsid w:val="5E1721F8"/>
    <w:rsid w:val="5E481EC9"/>
    <w:rsid w:val="5E55606E"/>
    <w:rsid w:val="5E6209C2"/>
    <w:rsid w:val="5EB1E26A"/>
    <w:rsid w:val="5EC2B0EF"/>
    <w:rsid w:val="5EEA7213"/>
    <w:rsid w:val="5F2DDD07"/>
    <w:rsid w:val="5F9B8CA6"/>
    <w:rsid w:val="5FBE7CA7"/>
    <w:rsid w:val="5FC67C16"/>
    <w:rsid w:val="6041D76A"/>
    <w:rsid w:val="6049C4F0"/>
    <w:rsid w:val="60B35C9C"/>
    <w:rsid w:val="60C78B3F"/>
    <w:rsid w:val="60E9271D"/>
    <w:rsid w:val="61535648"/>
    <w:rsid w:val="6188270A"/>
    <w:rsid w:val="622E6016"/>
    <w:rsid w:val="62418801"/>
    <w:rsid w:val="6245E949"/>
    <w:rsid w:val="62709A11"/>
    <w:rsid w:val="62821ECC"/>
    <w:rsid w:val="62C0D1F7"/>
    <w:rsid w:val="630A53D4"/>
    <w:rsid w:val="633750DC"/>
    <w:rsid w:val="637023F2"/>
    <w:rsid w:val="638165B2"/>
    <w:rsid w:val="638DD60E"/>
    <w:rsid w:val="63A3D4C1"/>
    <w:rsid w:val="63B65B52"/>
    <w:rsid w:val="640836FA"/>
    <w:rsid w:val="644A6274"/>
    <w:rsid w:val="6471984C"/>
    <w:rsid w:val="64AB2D26"/>
    <w:rsid w:val="6516C458"/>
    <w:rsid w:val="6559BCFB"/>
    <w:rsid w:val="662A20EE"/>
    <w:rsid w:val="663B270D"/>
    <w:rsid w:val="664B7B36"/>
    <w:rsid w:val="666978AB"/>
    <w:rsid w:val="66EE7B3D"/>
    <w:rsid w:val="67014FAD"/>
    <w:rsid w:val="67A2A7AC"/>
    <w:rsid w:val="67D6A838"/>
    <w:rsid w:val="696EEE63"/>
    <w:rsid w:val="6999C165"/>
    <w:rsid w:val="69D77ED9"/>
    <w:rsid w:val="69D78A6C"/>
    <w:rsid w:val="6A2FA2AE"/>
    <w:rsid w:val="6A3A6E1A"/>
    <w:rsid w:val="6A9CB0B3"/>
    <w:rsid w:val="6ACCA6A7"/>
    <w:rsid w:val="6B4E01D5"/>
    <w:rsid w:val="6B813BA5"/>
    <w:rsid w:val="6BA8F42D"/>
    <w:rsid w:val="6BB5ADB0"/>
    <w:rsid w:val="6C0443B5"/>
    <w:rsid w:val="6C127E3F"/>
    <w:rsid w:val="6CB0D8BE"/>
    <w:rsid w:val="6CB6717D"/>
    <w:rsid w:val="6CFE86D4"/>
    <w:rsid w:val="6D12D174"/>
    <w:rsid w:val="6D4B05A7"/>
    <w:rsid w:val="6DCF7E10"/>
    <w:rsid w:val="6DE5FEB0"/>
    <w:rsid w:val="6E750F9B"/>
    <w:rsid w:val="6EA373AB"/>
    <w:rsid w:val="6EE9D5AD"/>
    <w:rsid w:val="6F047407"/>
    <w:rsid w:val="6F7021D6"/>
    <w:rsid w:val="6F76B833"/>
    <w:rsid w:val="6FB67836"/>
    <w:rsid w:val="6FBBAF22"/>
    <w:rsid w:val="702846BE"/>
    <w:rsid w:val="7042C9FD"/>
    <w:rsid w:val="704550E2"/>
    <w:rsid w:val="70810B74"/>
    <w:rsid w:val="71239195"/>
    <w:rsid w:val="715D5092"/>
    <w:rsid w:val="71E290BE"/>
    <w:rsid w:val="7226FBC8"/>
    <w:rsid w:val="7295FAE1"/>
    <w:rsid w:val="72963305"/>
    <w:rsid w:val="72D38079"/>
    <w:rsid w:val="72ED5B97"/>
    <w:rsid w:val="72F6147B"/>
    <w:rsid w:val="732A65FB"/>
    <w:rsid w:val="732E0E76"/>
    <w:rsid w:val="733FEB5D"/>
    <w:rsid w:val="73775E6B"/>
    <w:rsid w:val="7394D116"/>
    <w:rsid w:val="73C3B3F1"/>
    <w:rsid w:val="744392F9"/>
    <w:rsid w:val="74DA2586"/>
    <w:rsid w:val="74E8600B"/>
    <w:rsid w:val="75125BFE"/>
    <w:rsid w:val="7523E2F7"/>
    <w:rsid w:val="75460BA5"/>
    <w:rsid w:val="75671213"/>
    <w:rsid w:val="7579B101"/>
    <w:rsid w:val="75CA9CAE"/>
    <w:rsid w:val="760DF473"/>
    <w:rsid w:val="769EBBB0"/>
    <w:rsid w:val="769FC328"/>
    <w:rsid w:val="76B68B80"/>
    <w:rsid w:val="76D5A7FB"/>
    <w:rsid w:val="76F9C9E0"/>
    <w:rsid w:val="7752617D"/>
    <w:rsid w:val="7781CA18"/>
    <w:rsid w:val="77A14B69"/>
    <w:rsid w:val="7811C648"/>
    <w:rsid w:val="784C3889"/>
    <w:rsid w:val="7851D242"/>
    <w:rsid w:val="787739D8"/>
    <w:rsid w:val="78D06AAB"/>
    <w:rsid w:val="7917041C"/>
    <w:rsid w:val="79A12D48"/>
    <w:rsid w:val="79C0193C"/>
    <w:rsid w:val="7A11F4E4"/>
    <w:rsid w:val="7A320DAD"/>
    <w:rsid w:val="7A330D9E"/>
    <w:rsid w:val="7A60ED77"/>
    <w:rsid w:val="7A935DC4"/>
    <w:rsid w:val="7AB1CB20"/>
    <w:rsid w:val="7AC26247"/>
    <w:rsid w:val="7B05B9F6"/>
    <w:rsid w:val="7B0F659F"/>
    <w:rsid w:val="7B2223AC"/>
    <w:rsid w:val="7C0D143B"/>
    <w:rsid w:val="7C246AAA"/>
    <w:rsid w:val="7CBF1050"/>
    <w:rsid w:val="7CF3693D"/>
    <w:rsid w:val="7CF6E0C8"/>
    <w:rsid w:val="7D16E3F1"/>
    <w:rsid w:val="7D19BF72"/>
    <w:rsid w:val="7D82AA2E"/>
    <w:rsid w:val="7E15CF1C"/>
    <w:rsid w:val="7E296799"/>
    <w:rsid w:val="7E593CA6"/>
    <w:rsid w:val="7E5EEECE"/>
    <w:rsid w:val="7E84DDF1"/>
    <w:rsid w:val="7E9E3E2D"/>
    <w:rsid w:val="7EB2CEED"/>
    <w:rsid w:val="7F4A759D"/>
    <w:rsid w:val="7F5F4703"/>
    <w:rsid w:val="7F842529"/>
    <w:rsid w:val="7FBB2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B93D"/>
  <w15:chartTrackingRefBased/>
  <w15:docId w15:val="{D3AB45D9-AB9D-49C2-BD62-3C486DAA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F68"/>
    <w:pPr>
      <w:keepNext/>
      <w:keepLines/>
      <w:spacing w:before="240" w:after="0"/>
      <w:outlineLvl w:val="0"/>
    </w:pPr>
    <w:rPr>
      <w:rFonts w:asciiTheme="majorHAnsi" w:eastAsiaTheme="majorEastAsia" w:hAnsiTheme="majorHAnsi" w:cstheme="majorBidi"/>
      <w:color w:val="5F0000" w:themeColor="accent1" w:themeShade="BF"/>
      <w:sz w:val="32"/>
      <w:szCs w:val="32"/>
    </w:rPr>
  </w:style>
  <w:style w:type="paragraph" w:styleId="Heading2">
    <w:name w:val="heading 2"/>
    <w:basedOn w:val="Normal"/>
    <w:next w:val="Normal"/>
    <w:link w:val="Heading2Char"/>
    <w:uiPriority w:val="9"/>
    <w:unhideWhenUsed/>
    <w:qFormat/>
    <w:rsid w:val="0011304C"/>
    <w:pPr>
      <w:keepNext/>
      <w:keepLines/>
      <w:spacing w:before="40" w:after="0"/>
      <w:outlineLvl w:val="1"/>
    </w:pPr>
    <w:rPr>
      <w:rFonts w:asciiTheme="majorHAnsi" w:eastAsiaTheme="majorEastAsia" w:hAnsiTheme="majorHAnsi" w:cstheme="majorBidi"/>
      <w:b/>
      <w:bCs/>
      <w:color w:val="5F0000" w:themeColor="accent1" w:themeShade="BF"/>
      <w:sz w:val="26"/>
      <w:szCs w:val="26"/>
    </w:rPr>
  </w:style>
  <w:style w:type="paragraph" w:styleId="Heading3">
    <w:name w:val="heading 3"/>
    <w:basedOn w:val="Normal"/>
    <w:next w:val="Normal"/>
    <w:link w:val="Heading3Char"/>
    <w:uiPriority w:val="9"/>
    <w:semiHidden/>
    <w:unhideWhenUsed/>
    <w:qFormat/>
    <w:rsid w:val="00AD0F68"/>
    <w:pPr>
      <w:keepNext/>
      <w:keepLines/>
      <w:spacing w:before="40" w:after="0"/>
      <w:outlineLvl w:val="2"/>
    </w:pPr>
    <w:rPr>
      <w:rFonts w:asciiTheme="majorHAnsi" w:eastAsiaTheme="majorEastAsia" w:hAnsiTheme="majorHAnsi" w:cstheme="majorBidi"/>
      <w:color w:val="3F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5F"/>
    <w:pPr>
      <w:ind w:left="720"/>
      <w:contextualSpacing/>
    </w:pPr>
  </w:style>
  <w:style w:type="paragraph" w:styleId="Header">
    <w:name w:val="header"/>
    <w:basedOn w:val="Normal"/>
    <w:link w:val="HeaderChar"/>
    <w:uiPriority w:val="99"/>
    <w:unhideWhenUsed/>
    <w:rsid w:val="005D5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F9"/>
  </w:style>
  <w:style w:type="paragraph" w:styleId="Footer">
    <w:name w:val="footer"/>
    <w:basedOn w:val="Normal"/>
    <w:link w:val="FooterChar"/>
    <w:uiPriority w:val="99"/>
    <w:unhideWhenUsed/>
    <w:rsid w:val="005D5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F9"/>
  </w:style>
  <w:style w:type="paragraph" w:styleId="FootnoteText">
    <w:name w:val="footnote text"/>
    <w:basedOn w:val="Normal"/>
    <w:link w:val="FootnoteTextChar"/>
    <w:uiPriority w:val="99"/>
    <w:semiHidden/>
    <w:unhideWhenUsed/>
    <w:rsid w:val="005D5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7F9"/>
    <w:rPr>
      <w:sz w:val="20"/>
      <w:szCs w:val="20"/>
    </w:rPr>
  </w:style>
  <w:style w:type="character" w:styleId="FootnoteReference">
    <w:name w:val="footnote reference"/>
    <w:basedOn w:val="DefaultParagraphFont"/>
    <w:uiPriority w:val="99"/>
    <w:semiHidden/>
    <w:unhideWhenUsed/>
    <w:rsid w:val="005D57F9"/>
    <w:rPr>
      <w:vertAlign w:val="superscript"/>
    </w:rPr>
  </w:style>
  <w:style w:type="character" w:styleId="CommentReference">
    <w:name w:val="annotation reference"/>
    <w:basedOn w:val="DefaultParagraphFont"/>
    <w:uiPriority w:val="99"/>
    <w:semiHidden/>
    <w:unhideWhenUsed/>
    <w:rsid w:val="00C84E46"/>
    <w:rPr>
      <w:sz w:val="16"/>
      <w:szCs w:val="16"/>
    </w:rPr>
  </w:style>
  <w:style w:type="paragraph" w:styleId="CommentText">
    <w:name w:val="annotation text"/>
    <w:basedOn w:val="Normal"/>
    <w:link w:val="CommentTextChar"/>
    <w:uiPriority w:val="99"/>
    <w:unhideWhenUsed/>
    <w:rsid w:val="00C84E46"/>
    <w:pPr>
      <w:spacing w:line="240" w:lineRule="auto"/>
    </w:pPr>
    <w:rPr>
      <w:sz w:val="20"/>
      <w:szCs w:val="20"/>
    </w:rPr>
  </w:style>
  <w:style w:type="character" w:customStyle="1" w:styleId="CommentTextChar">
    <w:name w:val="Comment Text Char"/>
    <w:basedOn w:val="DefaultParagraphFont"/>
    <w:link w:val="CommentText"/>
    <w:uiPriority w:val="99"/>
    <w:rsid w:val="00C84E46"/>
    <w:rPr>
      <w:sz w:val="20"/>
      <w:szCs w:val="20"/>
    </w:rPr>
  </w:style>
  <w:style w:type="paragraph" w:styleId="CommentSubject">
    <w:name w:val="annotation subject"/>
    <w:basedOn w:val="CommentText"/>
    <w:next w:val="CommentText"/>
    <w:link w:val="CommentSubjectChar"/>
    <w:uiPriority w:val="99"/>
    <w:semiHidden/>
    <w:unhideWhenUsed/>
    <w:rsid w:val="00C84E46"/>
    <w:rPr>
      <w:b/>
      <w:bCs/>
    </w:rPr>
  </w:style>
  <w:style w:type="character" w:customStyle="1" w:styleId="CommentSubjectChar">
    <w:name w:val="Comment Subject Char"/>
    <w:basedOn w:val="CommentTextChar"/>
    <w:link w:val="CommentSubject"/>
    <w:uiPriority w:val="99"/>
    <w:semiHidden/>
    <w:rsid w:val="00C84E46"/>
    <w:rPr>
      <w:b/>
      <w:bCs/>
      <w:sz w:val="20"/>
      <w:szCs w:val="20"/>
    </w:rPr>
  </w:style>
  <w:style w:type="character" w:styleId="Hyperlink">
    <w:name w:val="Hyperlink"/>
    <w:basedOn w:val="DefaultParagraphFont"/>
    <w:uiPriority w:val="99"/>
    <w:unhideWhenUsed/>
    <w:rsid w:val="003022A4"/>
    <w:rPr>
      <w:color w:val="350E20" w:themeColor="hyperlink"/>
      <w:u w:val="single"/>
    </w:rPr>
  </w:style>
  <w:style w:type="character" w:styleId="UnresolvedMention">
    <w:name w:val="Unresolved Mention"/>
    <w:basedOn w:val="DefaultParagraphFont"/>
    <w:uiPriority w:val="99"/>
    <w:semiHidden/>
    <w:unhideWhenUsed/>
    <w:rsid w:val="003022A4"/>
    <w:rPr>
      <w:color w:val="605E5C"/>
      <w:shd w:val="clear" w:color="auto" w:fill="E1DFDD"/>
    </w:rPr>
  </w:style>
  <w:style w:type="paragraph" w:styleId="Revision">
    <w:name w:val="Revision"/>
    <w:hidden/>
    <w:uiPriority w:val="99"/>
    <w:semiHidden/>
    <w:rsid w:val="00DF5F7C"/>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554BE"/>
    <w:rPr>
      <w:color w:val="58593F" w:themeColor="followedHyperlink"/>
      <w:u w:val="single"/>
    </w:rPr>
  </w:style>
  <w:style w:type="character" w:customStyle="1" w:styleId="Heading2Char">
    <w:name w:val="Heading 2 Char"/>
    <w:basedOn w:val="DefaultParagraphFont"/>
    <w:link w:val="Heading2"/>
    <w:uiPriority w:val="9"/>
    <w:rsid w:val="0011304C"/>
    <w:rPr>
      <w:rFonts w:asciiTheme="majorHAnsi" w:eastAsiaTheme="majorEastAsia" w:hAnsiTheme="majorHAnsi" w:cstheme="majorBidi"/>
      <w:b/>
      <w:bCs/>
      <w:color w:val="5F0000" w:themeColor="accent1" w:themeShade="BF"/>
      <w:sz w:val="26"/>
      <w:szCs w:val="26"/>
    </w:rPr>
  </w:style>
  <w:style w:type="character" w:customStyle="1" w:styleId="Heading1Char">
    <w:name w:val="Heading 1 Char"/>
    <w:basedOn w:val="DefaultParagraphFont"/>
    <w:link w:val="Heading1"/>
    <w:uiPriority w:val="9"/>
    <w:rsid w:val="00AD0F68"/>
    <w:rPr>
      <w:rFonts w:asciiTheme="majorHAnsi" w:eastAsiaTheme="majorEastAsia" w:hAnsiTheme="majorHAnsi" w:cstheme="majorBidi"/>
      <w:color w:val="5F0000" w:themeColor="accent1" w:themeShade="BF"/>
      <w:sz w:val="32"/>
      <w:szCs w:val="32"/>
    </w:rPr>
  </w:style>
  <w:style w:type="character" w:customStyle="1" w:styleId="Heading3Char">
    <w:name w:val="Heading 3 Char"/>
    <w:basedOn w:val="DefaultParagraphFont"/>
    <w:link w:val="Heading3"/>
    <w:uiPriority w:val="9"/>
    <w:semiHidden/>
    <w:rsid w:val="00AD0F68"/>
    <w:rPr>
      <w:rFonts w:asciiTheme="majorHAnsi" w:eastAsiaTheme="majorEastAsia" w:hAnsiTheme="majorHAnsi" w:cstheme="majorBidi"/>
      <w:color w:val="3F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384554">
      <w:bodyDiv w:val="1"/>
      <w:marLeft w:val="0"/>
      <w:marRight w:val="0"/>
      <w:marTop w:val="0"/>
      <w:marBottom w:val="0"/>
      <w:divBdr>
        <w:top w:val="none" w:sz="0" w:space="0" w:color="auto"/>
        <w:left w:val="none" w:sz="0" w:space="0" w:color="auto"/>
        <w:bottom w:val="none" w:sz="0" w:space="0" w:color="auto"/>
        <w:right w:val="none" w:sz="0" w:space="0" w:color="auto"/>
      </w:divBdr>
    </w:div>
    <w:div w:id="19076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apinhall/elpe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pinhall/elpe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geography/guidance/geo-areas/pumas.html" TargetMode="External"/><Relationship Id="rId2" Type="http://schemas.openxmlformats.org/officeDocument/2006/relationships/hyperlink" Target="https://www.census.gov/programs-surveys/geography/guidance/geo-areas/zctas.html" TargetMode="External"/><Relationship Id="rId1" Type="http://schemas.openxmlformats.org/officeDocument/2006/relationships/hyperlink" Target="https://www.census.gov/programs-surveys/geography/about/glossa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jertson\Downloads\Memo%20Template%2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CA50EEA652407282928486AEB678C6"/>
        <w:category>
          <w:name w:val="General"/>
          <w:gallery w:val="placeholder"/>
        </w:category>
        <w:types>
          <w:type w:val="bbPlcHdr"/>
        </w:types>
        <w:behaviors>
          <w:behavior w:val="content"/>
        </w:behaviors>
        <w:guid w:val="{884242C3-24F1-4D08-8D20-28DE7B1DC202}"/>
      </w:docPartPr>
      <w:docPartBody>
        <w:p w:rsidR="00D7074B" w:rsidRDefault="009515FC">
          <w:pPr>
            <w:pStyle w:val="14CA50EEA652407282928486AEB678C6"/>
          </w:pPr>
          <w:r w:rsidRPr="00B71C22">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4B"/>
    <w:rsid w:val="00057CF9"/>
    <w:rsid w:val="001053C2"/>
    <w:rsid w:val="001C3999"/>
    <w:rsid w:val="001E1C31"/>
    <w:rsid w:val="002E6F09"/>
    <w:rsid w:val="00386DA2"/>
    <w:rsid w:val="00395E0E"/>
    <w:rsid w:val="003F5675"/>
    <w:rsid w:val="0044326A"/>
    <w:rsid w:val="00510D29"/>
    <w:rsid w:val="0058353C"/>
    <w:rsid w:val="005D2F98"/>
    <w:rsid w:val="006B419A"/>
    <w:rsid w:val="00712BC1"/>
    <w:rsid w:val="0086401F"/>
    <w:rsid w:val="0086751E"/>
    <w:rsid w:val="00874B10"/>
    <w:rsid w:val="0093189F"/>
    <w:rsid w:val="0094776C"/>
    <w:rsid w:val="009515FC"/>
    <w:rsid w:val="00963EEF"/>
    <w:rsid w:val="00996A36"/>
    <w:rsid w:val="009D195E"/>
    <w:rsid w:val="009F533F"/>
    <w:rsid w:val="009F75A6"/>
    <w:rsid w:val="00A00A71"/>
    <w:rsid w:val="00B47F7C"/>
    <w:rsid w:val="00CA77E3"/>
    <w:rsid w:val="00D217A1"/>
    <w:rsid w:val="00D7074B"/>
    <w:rsid w:val="00DD4131"/>
    <w:rsid w:val="00E057CE"/>
    <w:rsid w:val="00F460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CA50EEA652407282928486AEB678C6">
    <w:name w:val="14CA50EEA652407282928486AEB67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hapin Hall Color Palette">
      <a:dk1>
        <a:sysClr val="windowText" lastClr="000000"/>
      </a:dk1>
      <a:lt1>
        <a:sysClr val="window" lastClr="FFFFFF"/>
      </a:lt1>
      <a:dk2>
        <a:srgbClr val="213368"/>
      </a:dk2>
      <a:lt2>
        <a:srgbClr val="D6D6CE"/>
      </a:lt2>
      <a:accent1>
        <a:srgbClr val="800000"/>
      </a:accent1>
      <a:accent2>
        <a:srgbClr val="009CDE"/>
      </a:accent2>
      <a:accent3>
        <a:srgbClr val="2A5CAA"/>
      </a:accent3>
      <a:accent4>
        <a:srgbClr val="F8A429"/>
      </a:accent4>
      <a:accent5>
        <a:srgbClr val="767676"/>
      </a:accent5>
      <a:accent6>
        <a:srgbClr val="C16622"/>
      </a:accent6>
      <a:hlink>
        <a:srgbClr val="350E20"/>
      </a:hlink>
      <a:folHlink>
        <a:srgbClr val="58593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4DFE8E6FFE83449B6253FCE1DE5CDA" ma:contentTypeVersion="14" ma:contentTypeDescription="Create a new document." ma:contentTypeScope="" ma:versionID="1f6254cc42b44aa7030cece332015b9c">
  <xsd:schema xmlns:xsd="http://www.w3.org/2001/XMLSchema" xmlns:xs="http://www.w3.org/2001/XMLSchema" xmlns:p="http://schemas.microsoft.com/office/2006/metadata/properties" xmlns:ns2="d8e514aa-7cc4-4310-8922-aa5d9db6ccd7" xmlns:ns3="ce77980a-2a39-4076-80c4-3c451e0f37a6" targetNamespace="http://schemas.microsoft.com/office/2006/metadata/properties" ma:root="true" ma:fieldsID="25b33004d6c092204f5181484c58eb8d" ns2:_="" ns3:_="">
    <xsd:import namespace="d8e514aa-7cc4-4310-8922-aa5d9db6ccd7"/>
    <xsd:import namespace="ce77980a-2a39-4076-80c4-3c451e0f37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published"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514aa-7cc4-4310-8922-aa5d9db6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published" ma:index="14" nillable="true" ma:displayName="Date published" ma:format="DateOnly" ma:internalName="Datepublished">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dada7c3-aacb-455f-bd03-6005df5ea7e1"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7980a-2a39-4076-80c4-3c451e0f37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2c6b132-c500-48d7-b736-5086d3224885}" ma:internalName="TaxCatchAll" ma:showField="CatchAllData" ma:web="ce77980a-2a39-4076-80c4-3c451e0f37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atepublished xmlns="d8e514aa-7cc4-4310-8922-aa5d9db6ccd7" xsi:nil="true"/>
    <lcf76f155ced4ddcb4097134ff3c332f xmlns="d8e514aa-7cc4-4310-8922-aa5d9db6ccd7">
      <Terms xmlns="http://schemas.microsoft.com/office/infopath/2007/PartnerControls"/>
    </lcf76f155ced4ddcb4097134ff3c332f>
    <TaxCatchAll xmlns="ce77980a-2a39-4076-80c4-3c451e0f37a6" xsi:nil="true"/>
  </documentManagement>
</p:properties>
</file>

<file path=customXml/itemProps1.xml><?xml version="1.0" encoding="utf-8"?>
<ds:datastoreItem xmlns:ds="http://schemas.openxmlformats.org/officeDocument/2006/customXml" ds:itemID="{F91DA59D-2358-4440-B6A9-6B3C3FFADA25}">
  <ds:schemaRefs>
    <ds:schemaRef ds:uri="http://schemas.openxmlformats.org/officeDocument/2006/bibliography"/>
  </ds:schemaRefs>
</ds:datastoreItem>
</file>

<file path=customXml/itemProps2.xml><?xml version="1.0" encoding="utf-8"?>
<ds:datastoreItem xmlns:ds="http://schemas.openxmlformats.org/officeDocument/2006/customXml" ds:itemID="{FEBFD8D4-824E-47EB-8BEE-D459EA78AB76}">
  <ds:schemaRefs>
    <ds:schemaRef ds:uri="http://schemas.microsoft.com/sharepoint/v3/contenttype/forms"/>
  </ds:schemaRefs>
</ds:datastoreItem>
</file>

<file path=customXml/itemProps3.xml><?xml version="1.0" encoding="utf-8"?>
<ds:datastoreItem xmlns:ds="http://schemas.openxmlformats.org/officeDocument/2006/customXml" ds:itemID="{C12FB334-0289-4024-9F10-9818BFF72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514aa-7cc4-4310-8922-aa5d9db6ccd7"/>
    <ds:schemaRef ds:uri="ce77980a-2a39-4076-80c4-3c451e0f3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29D057-8FDB-49D2-93C4-AEB952EFDFE1}">
  <ds:schemaRefs>
    <ds:schemaRef ds:uri="http://schemas.microsoft.com/office/2006/metadata/properties"/>
    <ds:schemaRef ds:uri="http://schemas.microsoft.com/office/infopath/2007/PartnerControls"/>
    <ds:schemaRef ds:uri="d8e514aa-7cc4-4310-8922-aa5d9db6ccd7"/>
    <ds:schemaRef ds:uri="ce77980a-2a39-4076-80c4-3c451e0f37a6"/>
  </ds:schemaRefs>
</ds:datastoreItem>
</file>

<file path=docProps/app.xml><?xml version="1.0" encoding="utf-8"?>
<Properties xmlns="http://schemas.openxmlformats.org/officeDocument/2006/extended-properties" xmlns:vt="http://schemas.openxmlformats.org/officeDocument/2006/docPropsVTypes">
  <Template>Memo Template (7).dotx</Template>
  <TotalTime>8</TotalTime>
  <Pages>7</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Gjertson, Leah</dc:creator>
  <cp:keywords/>
  <dc:description/>
  <cp:lastModifiedBy>Nick Mader</cp:lastModifiedBy>
  <cp:revision>8</cp:revision>
  <dcterms:created xsi:type="dcterms:W3CDTF">2025-01-10T20:06:00Z</dcterms:created>
  <dcterms:modified xsi:type="dcterms:W3CDTF">2025-01-13T14:06:00Z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0x0101006F4DFE8E6FFE83449B6253FCE1DE5CDA</vt:lpwstr>
  </property>
</Properties>
</file>