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E4" w:rsidRDefault="000362E4">
      <w:pPr>
        <w:rPr>
          <w:rFonts w:ascii="TimesNewRomanPSMT" w:hAnsi="TimesNewRomanPSMT" w:cs="TimesNewRomanPSMT"/>
          <w:sz w:val="24"/>
          <w:szCs w:val="24"/>
          <w:lang w:val="en-US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Questionnaire for Experiment LTS</w:t>
      </w:r>
    </w:p>
    <w:p w:rsidR="000362E4" w:rsidRPr="000362E4" w:rsidRDefault="000362E4" w:rsidP="000362E4">
      <w:pPr>
        <w:pStyle w:val="Listenabsatz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  <w:lang w:val="en-US"/>
        </w:rPr>
      </w:pPr>
      <w:r w:rsidRPr="000362E4">
        <w:rPr>
          <w:rFonts w:ascii="TimesNewRomanPSMT" w:hAnsi="TimesNewRomanPSMT" w:cs="TimesNewRomanPSMT"/>
          <w:sz w:val="24"/>
          <w:szCs w:val="24"/>
          <w:lang w:val="en-US"/>
        </w:rPr>
        <w:t xml:space="preserve">risk-attitude elicitation </w:t>
      </w:r>
    </w:p>
    <w:p w:rsidR="000362E4" w:rsidRPr="006F258B" w:rsidRDefault="000362E4" w:rsidP="000362E4">
      <w:pPr>
        <w:pStyle w:val="Listenabsatz"/>
        <w:numPr>
          <w:ilvl w:val="0"/>
          <w:numId w:val="1"/>
        </w:numPr>
      </w:pPr>
      <w:r w:rsidRPr="000362E4">
        <w:rPr>
          <w:rFonts w:ascii="F16" w:hAnsi="F16" w:cs="F16"/>
          <w:lang w:val="en-US"/>
        </w:rPr>
        <w:t xml:space="preserve">asses participants' </w:t>
      </w:r>
      <w:r w:rsidR="006F258B">
        <w:rPr>
          <w:rFonts w:ascii="F16" w:hAnsi="F16" w:cs="F16"/>
          <w:lang w:val="en-US"/>
        </w:rPr>
        <w:t>personality</w:t>
      </w:r>
    </w:p>
    <w:p w:rsidR="006F258B" w:rsidRPr="006F258B" w:rsidRDefault="006F258B" w:rsidP="000362E4">
      <w:pPr>
        <w:pStyle w:val="Listenabsatz"/>
        <w:numPr>
          <w:ilvl w:val="0"/>
          <w:numId w:val="1"/>
        </w:numPr>
        <w:rPr>
          <w:lang w:val="en-US"/>
        </w:rPr>
      </w:pPr>
      <w:r w:rsidRPr="000362E4">
        <w:rPr>
          <w:rFonts w:ascii="F16" w:hAnsi="F16" w:cs="F16"/>
          <w:lang w:val="en-US"/>
        </w:rPr>
        <w:t xml:space="preserve">participants' </w:t>
      </w:r>
      <w:r>
        <w:rPr>
          <w:rFonts w:ascii="F16" w:hAnsi="F16" w:cs="F16"/>
          <w:lang w:val="en-US"/>
        </w:rPr>
        <w:t>demographics and general info (at the end)</w:t>
      </w:r>
    </w:p>
    <w:p w:rsidR="000362E4" w:rsidRPr="006F258B" w:rsidRDefault="000362E4" w:rsidP="000362E4">
      <w:pPr>
        <w:rPr>
          <w:lang w:val="en-US"/>
        </w:rPr>
      </w:pPr>
    </w:p>
    <w:p w:rsidR="000362E4" w:rsidRPr="006F258B" w:rsidRDefault="000362E4">
      <w:pPr>
        <w:rPr>
          <w:u w:val="single"/>
        </w:rPr>
      </w:pPr>
      <w:r w:rsidRPr="006F258B">
        <w:rPr>
          <w:u w:val="single"/>
        </w:rPr>
        <w:t xml:space="preserve">1. </w:t>
      </w:r>
      <w:r w:rsidR="006F258B" w:rsidRPr="006F258B">
        <w:rPr>
          <w:rFonts w:ascii="F16" w:hAnsi="F16" w:cs="F16"/>
          <w:u w:val="single"/>
          <w:lang w:val="en-US"/>
        </w:rPr>
        <w:t>risk attitudes</w:t>
      </w:r>
    </w:p>
    <w:p w:rsidR="000362E4" w:rsidRDefault="000362E4">
      <w:pPr>
        <w:rPr>
          <w:rFonts w:ascii="F16" w:hAnsi="F16" w:cs="F16"/>
          <w:lang w:val="en-US"/>
        </w:rPr>
      </w:pPr>
      <w:r>
        <w:rPr>
          <w:rFonts w:ascii="F16" w:hAnsi="F16" w:cs="F16"/>
          <w:lang w:val="en-US"/>
        </w:rPr>
        <w:t>asses participants' risk attitudes by a questionnaire.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F69" w:hAnsi="F69" w:cs="F69"/>
          <w:sz w:val="16"/>
          <w:szCs w:val="16"/>
          <w:lang w:val="en-US"/>
        </w:rPr>
      </w:pPr>
      <w:r>
        <w:rPr>
          <w:rFonts w:ascii="F16" w:hAnsi="F16" w:cs="F16"/>
          <w:lang w:val="en-US"/>
        </w:rPr>
        <w:t>We elicit and assess individual risk attitudes with a general risk question.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F69" w:hAnsi="F69" w:cs="F69"/>
          <w:sz w:val="16"/>
          <w:szCs w:val="16"/>
          <w:lang w:val="en-US"/>
        </w:rPr>
      </w:pP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F70" w:hAnsi="F70" w:cs="F70"/>
          <w:sz w:val="18"/>
          <w:szCs w:val="18"/>
          <w:lang w:val="en-US"/>
        </w:rPr>
      </w:pPr>
      <w:r>
        <w:rPr>
          <w:rFonts w:ascii="F70" w:hAnsi="F70" w:cs="F70"/>
          <w:sz w:val="18"/>
          <w:szCs w:val="18"/>
          <w:lang w:val="en-US"/>
        </w:rPr>
        <w:t>Would you describe yourself as someone who tries to avoid risks (risk-averse) or as someone who is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F70" w:hAnsi="F70" w:cs="F70"/>
          <w:sz w:val="18"/>
          <w:szCs w:val="18"/>
          <w:lang w:val="en-US"/>
        </w:rPr>
      </w:pPr>
      <w:r>
        <w:rPr>
          <w:rFonts w:ascii="F70" w:hAnsi="F70" w:cs="F70"/>
          <w:sz w:val="18"/>
          <w:szCs w:val="18"/>
          <w:lang w:val="en-US"/>
        </w:rPr>
        <w:t>willing to take risks (risk-prone).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F70" w:hAnsi="F70" w:cs="F70"/>
          <w:sz w:val="18"/>
          <w:szCs w:val="18"/>
          <w:lang w:val="en-US"/>
        </w:rPr>
      </w:pP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b/>
          <w:bCs/>
          <w:color w:val="5B9BD5" w:themeColor="accent1"/>
          <w:sz w:val="21"/>
          <w:szCs w:val="21"/>
        </w:rPr>
        <w:t>Wie schätzen Sie sich persönlich ein: Sind Sie im allgemeinen ein risikobereiter Mensch oder versuchen Sie, Risiken zu vermeiden?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 xml:space="preserve">Antworten Sie bitte anhand der folgenden Skala. Der Wert 0 bedeutet: gar nicht risikobereit. Der Wert 10 bedeutet: sehr risikobereit. Mit den Werten dazwischen können Sie Ihre Einschätzung abstufen. 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4pt;height:17.2pt" o:ole="">
            <v:imagedata r:id="rId5" o:title=""/>
          </v:shape>
          <w:control r:id="rId6" w:name="DefaultOcxName" w:shapeid="_x0000_i1048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0 Gar nicht risikobereit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51" type="#_x0000_t75" style="width:20.4pt;height:17.2pt" o:ole="">
            <v:imagedata r:id="rId5" o:title=""/>
          </v:shape>
          <w:control r:id="rId7" w:name="DefaultOcxName1" w:shapeid="_x0000_i1051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1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54" type="#_x0000_t75" style="width:20.4pt;height:17.2pt" o:ole="">
            <v:imagedata r:id="rId5" o:title=""/>
          </v:shape>
          <w:control r:id="rId8" w:name="DefaultOcxName2" w:shapeid="_x0000_i1054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2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57" type="#_x0000_t75" style="width:20.4pt;height:17.2pt" o:ole="">
            <v:imagedata r:id="rId5" o:title=""/>
          </v:shape>
          <w:control r:id="rId9" w:name="DefaultOcxName3" w:shapeid="_x0000_i1057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3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60" type="#_x0000_t75" style="width:20.4pt;height:17.2pt" o:ole="">
            <v:imagedata r:id="rId5" o:title=""/>
          </v:shape>
          <w:control r:id="rId10" w:name="DefaultOcxName4" w:shapeid="_x0000_i1060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4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63" type="#_x0000_t75" style="width:20.4pt;height:17.2pt" o:ole="">
            <v:imagedata r:id="rId5" o:title=""/>
          </v:shape>
          <w:control r:id="rId11" w:name="DefaultOcxName5" w:shapeid="_x0000_i1063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5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66" type="#_x0000_t75" style="width:20.4pt;height:17.2pt" o:ole="">
            <v:imagedata r:id="rId5" o:title=""/>
          </v:shape>
          <w:control r:id="rId12" w:name="DefaultOcxName6" w:shapeid="_x0000_i1066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6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69" type="#_x0000_t75" style="width:20.4pt;height:17.2pt" o:ole="">
            <v:imagedata r:id="rId5" o:title=""/>
          </v:shape>
          <w:control r:id="rId13" w:name="DefaultOcxName7" w:shapeid="_x0000_i1069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7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72" type="#_x0000_t75" style="width:20.4pt;height:17.2pt" o:ole="">
            <v:imagedata r:id="rId5" o:title=""/>
          </v:shape>
          <w:control r:id="rId14" w:name="DefaultOcxName8" w:shapeid="_x0000_i1072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8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75" type="#_x0000_t75" style="width:20.4pt;height:17.2pt" o:ole="">
            <v:imagedata r:id="rId5" o:title=""/>
          </v:shape>
          <w:control r:id="rId15" w:name="DefaultOcxName9" w:shapeid="_x0000_i1075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9</w:t>
      </w:r>
    </w:p>
    <w:p w:rsidR="000362E4" w:rsidRPr="00B70D4C" w:rsidRDefault="000362E4" w:rsidP="000362E4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9BD5" w:themeColor="accent1"/>
          <w:sz w:val="21"/>
          <w:szCs w:val="21"/>
        </w:rPr>
      </w:pP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  <w:lang w:val="en-US"/>
        </w:rPr>
        <w:object w:dxaOrig="225" w:dyaOrig="225">
          <v:shape id="_x0000_i1078" type="#_x0000_t75" style="width:20.4pt;height:17.2pt" o:ole="">
            <v:imagedata r:id="rId5" o:title=""/>
          </v:shape>
          <w:control r:id="rId16" w:name="DefaultOcxName10" w:shapeid="_x0000_i1078"/>
        </w:object>
      </w:r>
      <w:r w:rsidRPr="00B70D4C">
        <w:rPr>
          <w:rFonts w:ascii="Helvetica" w:eastAsia="Times New Roman" w:hAnsi="Helvetica" w:cs="Times New Roman"/>
          <w:color w:val="5B9BD5" w:themeColor="accent1"/>
          <w:sz w:val="21"/>
          <w:szCs w:val="21"/>
        </w:rPr>
        <w:t>10 Sehr risikobereit</w:t>
      </w:r>
    </w:p>
    <w:p w:rsidR="000362E4" w:rsidRP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0362E4">
        <w:rPr>
          <w:rFonts w:ascii="F16" w:hAnsi="F16" w:cs="F16"/>
        </w:rPr>
        <w:t xml:space="preserve">(Lit: </w:t>
      </w:r>
      <w:r w:rsidRPr="000362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The German Socio-Economic Panel Study (SOEP) –</w:t>
      </w:r>
    </w:p>
    <w:p w:rsidR="000362E4" w:rsidRP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0362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Scope, Evolution and Enhancements </w:t>
      </w:r>
    </w:p>
    <w:p w:rsidR="000362E4" w:rsidRP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18181"/>
          <w:sz w:val="32"/>
          <w:szCs w:val="32"/>
          <w:lang w:val="en-US"/>
        </w:rPr>
      </w:pPr>
      <w:r w:rsidRPr="000362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Dohmen, T., Falk, A., Huffman, D., Sunde, U., Schupp, J., &amp; Wagner, G. G. (2011). Individual risk attitudes: Measurement, determinants, and behavioral consequences.</w:t>
      </w:r>
      <w:r w:rsidRPr="000362E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0362E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Journal of the European Economic Association</w:t>
      </w:r>
      <w:r w:rsidRPr="000362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0362E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0362E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9</w:t>
      </w:r>
      <w:r w:rsidRPr="000362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(3), 522-550.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18181"/>
          <w:sz w:val="32"/>
          <w:szCs w:val="32"/>
          <w:lang w:val="en-US"/>
        </w:rPr>
      </w:pP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818181"/>
          <w:sz w:val="32"/>
          <w:szCs w:val="32"/>
          <w:lang w:val="en-US"/>
        </w:rPr>
      </w:pPr>
    </w:p>
    <w:p w:rsidR="000362E4" w:rsidRPr="006F258B" w:rsidRDefault="006F258B" w:rsidP="006F258B">
      <w:pPr>
        <w:rPr>
          <w:u w:val="single"/>
        </w:rPr>
      </w:pPr>
      <w:r w:rsidRPr="006F258B">
        <w:rPr>
          <w:u w:val="single"/>
        </w:rPr>
        <w:t>2. Personality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“Big Five</w:t>
      </w:r>
    </w:p>
    <w:p w:rsidR="000362E4" w:rsidRDefault="000362E4" w:rsidP="000362E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  <w:r>
        <w:rPr>
          <w:rFonts w:ascii="TimesNewRoman" w:hAnsi="TimesNewRoman" w:cs="TimesNewRoman"/>
          <w:sz w:val="24"/>
          <w:szCs w:val="24"/>
          <w:lang w:val="en-US"/>
        </w:rPr>
        <w:t>Inventory” (BFI) of personal traits (Gerlitz/Schupp, 2005)</w:t>
      </w:r>
    </w:p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en-US"/>
        </w:rPr>
      </w:pPr>
    </w:p>
    <w:p w:rsidR="00B70D4C" w:rsidRPr="006F258B" w:rsidRDefault="00B70D4C" w:rsidP="00B70D4C">
      <w:pPr>
        <w:shd w:val="clear" w:color="auto" w:fill="EEEEE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F25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Zusammenfassung</w:t>
      </w:r>
    </w:p>
    <w:p w:rsidR="00B70D4C" w:rsidRPr="00B70D4C" w:rsidRDefault="00B70D4C" w:rsidP="00B70D4C">
      <w:pPr>
        <w:shd w:val="clear" w:color="auto" w:fill="EEEEEE"/>
        <w:spacing w:after="0"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6F258B">
        <w:rPr>
          <w:rFonts w:ascii="Arial" w:eastAsia="Times New Roman" w:hAnsi="Arial" w:cs="Arial"/>
          <w:color w:val="000000"/>
          <w:sz w:val="20"/>
          <w:szCs w:val="20"/>
          <w:lang w:val="en-US"/>
        </w:rPr>
        <w:t>Die Kurzskala erfasst die Big Five Neu</w:t>
      </w:r>
      <w:r w:rsidRPr="00B70D4C">
        <w:rPr>
          <w:rFonts w:ascii="Arial" w:eastAsia="Times New Roman" w:hAnsi="Arial" w:cs="Arial"/>
          <w:color w:val="000000"/>
          <w:sz w:val="20"/>
          <w:szCs w:val="20"/>
        </w:rPr>
        <w:t xml:space="preserve">rotizismus, Extraversion, Offenheit, Gewissenhaftigkeit und Verträglichkeit mit insgesamt 15 Items. Das Instrument wurde im Rahmen des SOEP entwickelt und eingesetzt und basiert auf dem Big Five Inventory von John et al. </w:t>
      </w:r>
      <w:r w:rsidRPr="00B70D4C">
        <w:rPr>
          <w:rFonts w:ascii="Arial" w:eastAsia="Times New Roman" w:hAnsi="Arial" w:cs="Arial"/>
          <w:color w:val="000000"/>
          <w:sz w:val="20"/>
          <w:szCs w:val="20"/>
          <w:lang w:val="en-US"/>
        </w:rPr>
        <w:t>(1991).</w:t>
      </w:r>
    </w:p>
    <w:p w:rsidR="00B70D4C" w:rsidRPr="00B70D4C" w:rsidRDefault="00B70D4C" w:rsidP="00B70D4C">
      <w:pPr>
        <w:shd w:val="clear" w:color="auto" w:fill="EEEEE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70D4C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</w:p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</w:p>
    <w:p w:rsidR="00B70D4C" w:rsidRPr="00B70D4C" w:rsidRDefault="00B70D4C" w:rsidP="00B70D4C">
      <w:pPr>
        <w:shd w:val="clear" w:color="auto" w:fill="EEEEE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70D4C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tems</w:t>
      </w:r>
    </w:p>
    <w:p w:rsidR="00B70D4C" w:rsidRPr="00B70D4C" w:rsidRDefault="00B70D4C" w:rsidP="00B70D4C">
      <w:pPr>
        <w:shd w:val="clear" w:color="auto" w:fill="EEEEE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70D4C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 </w:t>
      </w:r>
    </w:p>
    <w:tbl>
      <w:tblPr>
        <w:tblW w:w="10185" w:type="dxa"/>
        <w:tblLook w:val="04A0" w:firstRow="1" w:lastRow="0" w:firstColumn="1" w:lastColumn="0" w:noHBand="0" w:noVBand="1"/>
      </w:tblPr>
      <w:tblGrid>
        <w:gridCol w:w="1382"/>
        <w:gridCol w:w="6059"/>
        <w:gridCol w:w="849"/>
        <w:gridCol w:w="1895"/>
      </w:tblGrid>
      <w:tr w:rsidR="006F258B" w:rsidRPr="006F258B" w:rsidTr="006F258B">
        <w:trPr>
          <w:trHeight w:val="279"/>
        </w:trPr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Nr.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Ich bin jemand, der…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Polung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Dimension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gründlich arbeitet.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Gewissenhaftigkeit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2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kommunikativ, gesprächig ist.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Extraversion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3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manchmal etwas grob zu anderen ist.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-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Verträglichkeit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4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originell ist, neue Ideen einbringt.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Offenheit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5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sich oft Sorgen macht.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Neurotizismus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5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zurückhaltend ist.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-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Extraversion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6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verzeihen kann.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Verträglichkeit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7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eher faul ist.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-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Gewissenhaftigkeit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8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aus sich herausgehen kann, gesellig ist.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Extraversion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9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künstlerische Erfahrungen schätzt.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Offenheit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leicht nervös wird.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Neuotizismus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11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Aufgaben wirksam und effizient erledigt.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Gewissenhaftigkeit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13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rücksichtsvoll und freundlich mit anderen umgeht.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Verträglichkeit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14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eine lebhafte Phantasie, Vorstellungen hat.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+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Offenheit</w:t>
            </w:r>
          </w:p>
        </w:tc>
      </w:tr>
      <w:tr w:rsidR="006F258B" w:rsidRPr="006F258B" w:rsidTr="006F258B">
        <w:tc>
          <w:tcPr>
            <w:tcW w:w="0" w:type="auto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059" w:type="dxa"/>
            <w:hideMark/>
          </w:tcPr>
          <w:p w:rsidR="00B70D4C" w:rsidRPr="006F258B" w:rsidRDefault="00B70D4C" w:rsidP="00B70D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</w:rPr>
              <w:t>entspannt ist, mit Stress gut umgehen kann.</w:t>
            </w:r>
          </w:p>
        </w:tc>
        <w:tc>
          <w:tcPr>
            <w:tcW w:w="849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-</w:t>
            </w:r>
          </w:p>
        </w:tc>
        <w:tc>
          <w:tcPr>
            <w:tcW w:w="1895" w:type="dxa"/>
            <w:hideMark/>
          </w:tcPr>
          <w:p w:rsidR="00B70D4C" w:rsidRPr="006F258B" w:rsidRDefault="00B70D4C" w:rsidP="00B70D4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</w:pPr>
            <w:r w:rsidRPr="006F258B">
              <w:rPr>
                <w:rFonts w:ascii="Arial" w:eastAsia="Times New Roman" w:hAnsi="Arial" w:cs="Arial"/>
                <w:color w:val="5B9BD5" w:themeColor="accent1"/>
                <w:sz w:val="20"/>
                <w:szCs w:val="20"/>
                <w:lang w:val="en-US"/>
              </w:rPr>
              <w:t>Neuotizismus</w:t>
            </w:r>
          </w:p>
        </w:tc>
      </w:tr>
    </w:tbl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</w:p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</w:p>
    <w:p w:rsidR="00B70D4C" w:rsidRPr="00B70D4C" w:rsidRDefault="00B70D4C" w:rsidP="00B70D4C">
      <w:pPr>
        <w:shd w:val="clear" w:color="auto" w:fill="EEEEEE"/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70D4C">
        <w:rPr>
          <w:rFonts w:ascii="F16" w:hAnsi="F16" w:cs="F16"/>
        </w:rPr>
        <w:t xml:space="preserve">Lit: </w:t>
      </w:r>
      <w:r w:rsidRPr="00B70D4C">
        <w:rPr>
          <w:rFonts w:ascii="Arial" w:eastAsia="Times New Roman" w:hAnsi="Arial" w:cs="Arial"/>
          <w:b/>
          <w:bCs/>
          <w:color w:val="000000"/>
          <w:sz w:val="20"/>
          <w:szCs w:val="20"/>
        </w:rPr>
        <w:t>Zitierung</w:t>
      </w:r>
    </w:p>
    <w:p w:rsidR="00B70D4C" w:rsidRPr="00B70D4C" w:rsidRDefault="00B70D4C" w:rsidP="00B70D4C">
      <w:pPr>
        <w:shd w:val="clear" w:color="auto" w:fill="EEEEEE"/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70D4C">
        <w:rPr>
          <w:rFonts w:ascii="Arial" w:eastAsia="Times New Roman" w:hAnsi="Arial" w:cs="Arial"/>
          <w:color w:val="000000"/>
          <w:sz w:val="20"/>
          <w:szCs w:val="20"/>
        </w:rPr>
        <w:t>Schupp, J., &amp; Gerlitz, J.-Y. (2014). </w:t>
      </w:r>
      <w:r w:rsidRPr="00B70D4C">
        <w:rPr>
          <w:rFonts w:ascii="Arial" w:eastAsia="Times New Roman" w:hAnsi="Arial" w:cs="Arial"/>
          <w:color w:val="000000"/>
          <w:sz w:val="20"/>
          <w:szCs w:val="20"/>
          <w:lang w:val="en-US"/>
        </w:rPr>
        <w:t>Big Five Inventory-SOEP (BFI-S). </w:t>
      </w:r>
      <w:r w:rsidRPr="00B70D4C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Zusammenstellung sozialwissenschaftlicher Items und Skalen</w:t>
      </w:r>
      <w:r w:rsidRPr="00B70D4C">
        <w:rPr>
          <w:rFonts w:ascii="Arial" w:eastAsia="Times New Roman" w:hAnsi="Arial" w:cs="Arial"/>
          <w:color w:val="000000"/>
          <w:sz w:val="20"/>
          <w:szCs w:val="20"/>
          <w:lang w:val="en-US"/>
        </w:rPr>
        <w:t>. doi:10.6102/zis54</w:t>
      </w:r>
    </w:p>
    <w:p w:rsidR="00B70D4C" w:rsidRDefault="00B70D4C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</w:p>
    <w:p w:rsidR="006F258B" w:rsidRPr="006F258B" w:rsidRDefault="006F258B" w:rsidP="006F258B">
      <w:pPr>
        <w:rPr>
          <w:u w:val="single"/>
        </w:rPr>
      </w:pPr>
      <w:r w:rsidRPr="006F258B">
        <w:rPr>
          <w:u w:val="single"/>
        </w:rPr>
        <w:t>3.</w:t>
      </w:r>
      <w:r>
        <w:rPr>
          <w:u w:val="single"/>
        </w:rPr>
        <w:t xml:space="preserve"> </w:t>
      </w:r>
      <w:r w:rsidRPr="006F258B">
        <w:rPr>
          <w:u w:val="single"/>
        </w:rPr>
        <w:t>Demographics and General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Möchten Sie an weiteren Experimenten teilnehmen?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Ja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Nein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cr/>
        <w:t>Ihre Angaben werden vertraulich behandelt.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Ihr Alter in Jahren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Min 15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Max 88</w:t>
      </w: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0362E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Geschlecht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weiblich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männlich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Ihr höchster Bildungsabschluss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lastRenderedPageBreak/>
        <w:t>Allgemein bildende Pflichtschule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Lehrabschluss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BMS (berufsbildende mittlere Schule)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AHS (allgemein bildende hohere Schule)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BHS (berufsbildende hohere Schule)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Kolleg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Hochschulverwandte Lehranstalten (z.B. Akademie)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Arial" w:hAnsi="Arial" w:cs="Arial"/>
          <w:color w:val="5B9BD5" w:themeColor="accent1"/>
        </w:rPr>
        <w:t></w:t>
      </w:r>
      <w:r w:rsidRPr="006F258B">
        <w:rPr>
          <w:rFonts w:ascii="F16" w:hAnsi="F16" w:cs="F16"/>
          <w:color w:val="5B9BD5" w:themeColor="accent1"/>
        </w:rPr>
        <w:t>Universität/Fachhochschule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Sie studieren an folgender Fakutät: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Architektur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Betriebswirtschaft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Bildungswissenschaften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Biologie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Chemie und Pharmazie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Geo- und Atmosphärenwissenschaften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Mathematik, Informatik und Physik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Politikwissenschaft und Soziologie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Psychologie und Sportwissenschaft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Technische Wissenschaften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Fakultät für Volkswirtschaft und Statistik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Katholisch-Theologische Fakultät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Philologisch-Kulturwissenschaftliche Fakultät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Philosophisch-Historische Fakultät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Rechtswissenschaftliche Fakultät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 xml:space="preserve">School of Education 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sonstiges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ich studiere nicht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Auszahlung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Auszahlung. Bitte schreiben Sie den Auszahlungswert in Ihre Quittung.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>
        <w:rPr>
          <w:rFonts w:ascii="F16" w:hAnsi="F16" w:cs="F16"/>
          <w:color w:val="5B9BD5" w:themeColor="accent1"/>
        </w:rPr>
        <w:t xml:space="preserve">OUT: </w:t>
      </w:r>
      <w:r w:rsidRPr="006F258B">
        <w:rPr>
          <w:rFonts w:ascii="F16" w:hAnsi="F16" w:cs="F16"/>
          <w:color w:val="5B9BD5" w:themeColor="accent1"/>
        </w:rPr>
        <w:t>MoneyEarned</w:t>
      </w:r>
    </w:p>
    <w:p w:rsid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b/>
          <w:color w:val="5B9BD5" w:themeColor="accent1"/>
        </w:rPr>
      </w:pPr>
      <w:r w:rsidRPr="006F258B">
        <w:rPr>
          <w:rFonts w:ascii="F16" w:hAnsi="F16" w:cs="F16"/>
          <w:b/>
          <w:color w:val="5B9BD5" w:themeColor="accent1"/>
        </w:rPr>
        <w:t>Ende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 xml:space="preserve">Die Auszahlung erfolgt im Anschluss von einer dritten Person. Bitte nehmen Sie zur Auszahlung die Quittung und Ihr Nummernkärtchen mit. 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 xml:space="preserve">Bitte warten Sie am Sitzplatz bis Sie aufgerufen werden. </w:t>
      </w: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</w:p>
    <w:p w:rsidR="006F258B" w:rsidRPr="006F258B" w:rsidRDefault="006F258B" w:rsidP="006F258B">
      <w:pPr>
        <w:autoSpaceDE w:val="0"/>
        <w:autoSpaceDN w:val="0"/>
        <w:adjustRightInd w:val="0"/>
        <w:spacing w:after="0" w:line="240" w:lineRule="auto"/>
        <w:rPr>
          <w:rFonts w:ascii="F16" w:hAnsi="F16" w:cs="F16"/>
          <w:color w:val="5B9BD5" w:themeColor="accent1"/>
        </w:rPr>
      </w:pPr>
      <w:r w:rsidRPr="006F258B">
        <w:rPr>
          <w:rFonts w:ascii="F16" w:hAnsi="F16" w:cs="F16"/>
          <w:color w:val="5B9BD5" w:themeColor="accent1"/>
        </w:rPr>
        <w:t>Vielen Dank für Ihre Teilnahme!</w:t>
      </w:r>
    </w:p>
    <w:sectPr w:rsidR="006F258B" w:rsidRPr="006F2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6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7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6FF3"/>
    <w:multiLevelType w:val="hybridMultilevel"/>
    <w:tmpl w:val="2A926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E4"/>
    <w:rsid w:val="000362E4"/>
    <w:rsid w:val="0023662C"/>
    <w:rsid w:val="003D5A1F"/>
    <w:rsid w:val="006F258B"/>
    <w:rsid w:val="008831C5"/>
    <w:rsid w:val="00B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F53E3460-0334-4475-AAC4-D6CD2418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3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bsatz-Standardschriftart"/>
    <w:rsid w:val="000362E4"/>
  </w:style>
  <w:style w:type="paragraph" w:styleId="Listenabsatz">
    <w:name w:val="List Paragraph"/>
    <w:basedOn w:val="Standard"/>
    <w:uiPriority w:val="34"/>
    <w:qFormat/>
    <w:rsid w:val="0003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4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Klotz</dc:creator>
  <cp:keywords/>
  <dc:description/>
  <cp:lastModifiedBy>Mag. Anita Klotz</cp:lastModifiedBy>
  <cp:revision>2</cp:revision>
  <dcterms:created xsi:type="dcterms:W3CDTF">2017-02-14T16:31:00Z</dcterms:created>
  <dcterms:modified xsi:type="dcterms:W3CDTF">2017-02-14T16:31:00Z</dcterms:modified>
</cp:coreProperties>
</file>