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Arial" w:hAnsi="Arial"/>
          <w:b/>
          <w:color w:val="1C4967"/>
          <w:sz w:val="54"/>
        </w:rPr>
        <w:br/>
        <w:t>Grant Discovery Platform</w:t>
        <w:br/>
      </w:r>
      <w:r>
        <w:rPr>
          <w:rFonts w:ascii="Arial" w:hAnsi="Arial"/>
          <w:color w:val="1F2937"/>
          <w:sz w:val="30"/>
        </w:rPr>
        <w:t>Full Product, Design, and Technical Build Document</w:t>
        <w:br/>
      </w:r>
      <w:r>
        <w:rPr>
          <w:rFonts w:ascii="Arial" w:hAnsi="Arial"/>
          <w:color w:val="6B7280"/>
          <w:sz w:val="21"/>
        </w:rPr>
        <w:t>Public grants + private AI, technology, social media, journalism, and cybersecurity funding intelligence</w:t>
      </w:r>
    </w:p>
    <w:p/>
    <w:tbl>
      <w:tblPr>
        <w:tblStyle w:val="TableGrid"/>
        <w:tblW w:type="auto" w:w="0"/>
        <w:jc w:val="center"/>
        <w:tblLook w:firstColumn="1" w:firstRow="1" w:lastColumn="0" w:lastRow="0" w:noHBand="0" w:noVBand="1" w:val="04A0"/>
      </w:tblPr>
      <w:tblGrid>
        <w:gridCol w:w="5184"/>
        <w:gridCol w:w="5184"/>
      </w:tblGrid>
      <w:tr>
        <w:tc>
          <w:tcPr>
            <w:tcW w:type="dxa" w:w="3024"/>
            <w:shd w:fill="EAF2F8"/>
            <w:vAlign w:val="top"/>
          </w:tcPr>
          <w:p>
            <w:pPr>
              <w:spacing w:after="0"/>
            </w:pPr>
            <w:r/>
            <w:r>
              <w:rPr>
                <w:b/>
                <w:color w:val="1C4967"/>
              </w:rPr>
              <w:t>Document purpose</w:t>
            </w:r>
          </w:p>
        </w:tc>
        <w:tc>
          <w:tcPr>
            <w:tcW w:type="dxa" w:w="6336"/>
            <w:vAlign w:val="top"/>
          </w:tcPr>
          <w:p>
            <w:pPr>
              <w:spacing w:after="0"/>
            </w:pPr>
            <w:r/>
            <w:r>
              <w:rPr>
                <w:b w:val="0"/>
              </w:rPr>
              <w:t>A handoff-ready build specification for design, product, engineering, data, and operations teams.</w:t>
            </w:r>
          </w:p>
        </w:tc>
      </w:tr>
      <w:tr>
        <w:tc>
          <w:tcPr>
            <w:tcW w:type="dxa" w:w="3024"/>
            <w:shd w:fill="EAF2F8"/>
            <w:vAlign w:val="top"/>
          </w:tcPr>
          <w:p>
            <w:pPr>
              <w:spacing w:after="0"/>
            </w:pPr>
            <w:r/>
            <w:r>
              <w:rPr>
                <w:b/>
                <w:color w:val="1C4967"/>
              </w:rPr>
              <w:t>Product intent</w:t>
            </w:r>
          </w:p>
        </w:tc>
        <w:tc>
          <w:tcPr>
            <w:tcW w:type="dxa" w:w="6336"/>
            <w:vAlign w:val="top"/>
          </w:tcPr>
          <w:p>
            <w:pPr>
              <w:spacing w:after="0"/>
            </w:pPr>
            <w:r/>
            <w:r>
              <w:rPr>
                <w:b w:val="0"/>
              </w:rPr>
              <w:t>Help users find as many relevant grants as possible, refresh data every 12 hours, support user-requested pulls, and surface private AI/technology/social media opportunities.</w:t>
            </w:r>
          </w:p>
        </w:tc>
      </w:tr>
      <w:tr>
        <w:tc>
          <w:tcPr>
            <w:tcW w:type="dxa" w:w="3024"/>
            <w:shd w:fill="EAF2F8"/>
            <w:vAlign w:val="top"/>
          </w:tcPr>
          <w:p>
            <w:pPr>
              <w:spacing w:after="0"/>
            </w:pPr>
            <w:r/>
            <w:r>
              <w:rPr>
                <w:b/>
                <w:color w:val="1C4967"/>
              </w:rPr>
              <w:t>Primary audience</w:t>
            </w:r>
          </w:p>
        </w:tc>
        <w:tc>
          <w:tcPr>
            <w:tcW w:type="dxa" w:w="6336"/>
            <w:vAlign w:val="top"/>
          </w:tcPr>
          <w:p>
            <w:pPr>
              <w:spacing w:after="0"/>
            </w:pPr>
            <w:r/>
            <w:r>
              <w:rPr>
                <w:b w:val="0"/>
              </w:rPr>
              <w:t>Design team, product manager, engineering lead, data lead, grant operations team, and stakeholder reviewers.</w:t>
            </w:r>
          </w:p>
        </w:tc>
      </w:tr>
      <w:tr>
        <w:tc>
          <w:tcPr>
            <w:tcW w:type="dxa" w:w="3024"/>
            <w:shd w:fill="EAF2F8"/>
            <w:vAlign w:val="top"/>
          </w:tcPr>
          <w:p>
            <w:pPr>
              <w:spacing w:after="0"/>
            </w:pPr>
            <w:r/>
            <w:r>
              <w:rPr>
                <w:b/>
                <w:color w:val="1C4967"/>
              </w:rPr>
              <w:t>Version</w:t>
            </w:r>
          </w:p>
        </w:tc>
        <w:tc>
          <w:tcPr>
            <w:tcW w:type="dxa" w:w="6336"/>
            <w:vAlign w:val="top"/>
          </w:tcPr>
          <w:p>
            <w:pPr>
              <w:spacing w:after="0"/>
            </w:pPr>
            <w:r/>
            <w:r>
              <w:rPr>
                <w:b w:val="0"/>
              </w:rPr>
              <w:t>1.0</w:t>
            </w:r>
          </w:p>
        </w:tc>
      </w:tr>
      <w:tr>
        <w:tc>
          <w:tcPr>
            <w:tcW w:type="dxa" w:w="3024"/>
            <w:shd w:fill="EAF2F8"/>
            <w:vAlign w:val="top"/>
          </w:tcPr>
          <w:p>
            <w:pPr>
              <w:spacing w:after="0"/>
            </w:pPr>
            <w:r/>
            <w:r>
              <w:rPr>
                <w:b/>
                <w:color w:val="1C4967"/>
              </w:rPr>
              <w:t>Prepared date</w:t>
            </w:r>
          </w:p>
        </w:tc>
        <w:tc>
          <w:tcPr>
            <w:tcW w:type="dxa" w:w="6336"/>
            <w:vAlign w:val="top"/>
          </w:tcPr>
          <w:p>
            <w:pPr>
              <w:spacing w:after="0"/>
            </w:pPr>
            <w:r/>
            <w:r>
              <w:rPr>
                <w:b w:val="0"/>
              </w:rPr>
              <w:t>July 10, 2026</w:t>
            </w:r>
          </w:p>
        </w:tc>
      </w:tr>
      <w:tr>
        <w:tc>
          <w:tcPr>
            <w:tcW w:type="dxa" w:w="3024"/>
            <w:shd w:fill="EAF2F8"/>
            <w:vAlign w:val="top"/>
          </w:tcPr>
          <w:p>
            <w:pPr>
              <w:spacing w:after="0"/>
            </w:pPr>
            <w:r/>
            <w:r>
              <w:rPr>
                <w:b/>
                <w:color w:val="1C4967"/>
              </w:rPr>
              <w:t>Recommended MVP stack</w:t>
            </w:r>
          </w:p>
        </w:tc>
        <w:tc>
          <w:tcPr>
            <w:tcW w:type="dxa" w:w="6336"/>
            <w:vAlign w:val="top"/>
          </w:tcPr>
          <w:p>
            <w:pPr>
              <w:spacing w:after="0"/>
            </w:pPr>
            <w:r/>
            <w:r>
              <w:rPr>
                <w:b w:val="0"/>
              </w:rPr>
              <w:t>Next.js, FastAPI, PostgreSQL, Redis, OpenSearch, object storage, Temporal or Celery workers.</w:t>
            </w:r>
          </w:p>
        </w:tc>
      </w:tr>
    </w:tbl>
    <w:p/>
    <w:tbl>
      <w:tblPr>
        <w:tblW w:type="auto" w:w="0"/>
        <w:jc w:val="center"/>
        <w:tblLook w:firstColumn="1" w:firstRow="1" w:lastColumn="0" w:lastRow="0" w:noHBand="0" w:noVBand="1" w:val="04A0"/>
      </w:tblPr>
      <w:tblGrid>
        <w:gridCol w:w="10368"/>
      </w:tblGrid>
      <w:tr>
        <w:tc>
          <w:tcPr>
            <w:tcW w:type="dxa" w:w="10368"/>
            <w:shd w:fill="DCFCE7"/>
          </w:tcPr>
          <w:p>
            <w:pPr>
              <w:spacing w:after="60"/>
            </w:pPr>
            <w:r>
              <w:rPr>
                <w:b/>
                <w:color w:val="1C4967"/>
              </w:rPr>
              <w:t>Core build principle</w:t>
            </w:r>
          </w:p>
          <w:p>
            <w:pPr>
              <w:spacing w:after="0"/>
            </w:pPr>
            <w:r>
              <w:t>The app should not simply list grants. It should pull, normalize, deduplicate, rank, explain, alert, and help users move from discovery to application.</w:t>
            </w:r>
          </w:p>
        </w:tc>
      </w:tr>
    </w:tbl>
    <w:p>
      <w:r>
        <w:rPr>
          <w:rFonts w:ascii="Arial" w:hAnsi="Arial"/>
        </w:rPr>
        <w:br w:type="page"/>
      </w:r>
    </w:p>
    <w:p>
      <w:pPr>
        <w:pStyle w:val="Heading1"/>
      </w:pPr>
      <w:r>
        <w:rPr>
          <w:rFonts w:ascii="Arial" w:hAnsi="Arial"/>
        </w:rPr>
        <w:t>Contents</w:t>
      </w:r>
    </w:p>
    <w:p>
      <w:pPr>
        <w:pStyle w:val="ListBullet"/>
      </w:pPr>
      <w:r>
        <w:rPr>
          <w:rFonts w:ascii="Arial" w:hAnsi="Arial"/>
        </w:rPr>
        <w:t>1. Executive Summary</w:t>
      </w:r>
    </w:p>
    <w:p>
      <w:pPr>
        <w:pStyle w:val="ListBullet"/>
      </w:pPr>
      <w:r>
        <w:rPr>
          <w:rFonts w:ascii="Arial" w:hAnsi="Arial"/>
        </w:rPr>
        <w:t>2. Product Intent and North Star</w:t>
      </w:r>
    </w:p>
    <w:p>
      <w:pPr>
        <w:pStyle w:val="ListBullet"/>
      </w:pPr>
      <w:r>
        <w:rPr>
          <w:rFonts w:ascii="Arial" w:hAnsi="Arial"/>
        </w:rPr>
        <w:t>3. Users, Personas, and Jobs To Be Done</w:t>
      </w:r>
    </w:p>
    <w:p>
      <w:pPr>
        <w:pStyle w:val="ListBullet"/>
      </w:pPr>
      <w:r>
        <w:rPr>
          <w:rFonts w:ascii="Arial" w:hAnsi="Arial"/>
        </w:rPr>
        <w:t>4. Product Scope and Release Strategy</w:t>
      </w:r>
    </w:p>
    <w:p>
      <w:pPr>
        <w:pStyle w:val="ListBullet"/>
      </w:pPr>
      <w:r>
        <w:rPr>
          <w:rFonts w:ascii="Arial" w:hAnsi="Arial"/>
        </w:rPr>
        <w:t>5. Functional Requirements</w:t>
      </w:r>
    </w:p>
    <w:p>
      <w:pPr>
        <w:pStyle w:val="ListBullet"/>
      </w:pPr>
      <w:r>
        <w:rPr>
          <w:rFonts w:ascii="Arial" w:hAnsi="Arial"/>
        </w:rPr>
        <w:t>6. Nonfunctional Requirements</w:t>
      </w:r>
    </w:p>
    <w:p>
      <w:pPr>
        <w:pStyle w:val="ListBullet"/>
      </w:pPr>
      <w:r>
        <w:rPr>
          <w:rFonts w:ascii="Arial" w:hAnsi="Arial"/>
        </w:rPr>
        <w:t>7. Data Source Strategy</w:t>
      </w:r>
    </w:p>
    <w:p>
      <w:pPr>
        <w:pStyle w:val="ListBullet"/>
      </w:pPr>
      <w:r>
        <w:rPr>
          <w:rFonts w:ascii="Arial" w:hAnsi="Arial"/>
        </w:rPr>
        <w:t>8. System Architecture</w:t>
      </w:r>
    </w:p>
    <w:p>
      <w:pPr>
        <w:pStyle w:val="ListBullet"/>
      </w:pPr>
      <w:r>
        <w:rPr>
          <w:rFonts w:ascii="Arial" w:hAnsi="Arial"/>
        </w:rPr>
        <w:t>9. Grant Pulling and Ingestion Workflows</w:t>
      </w:r>
    </w:p>
    <w:p>
      <w:pPr>
        <w:pStyle w:val="ListBullet"/>
      </w:pPr>
      <w:r>
        <w:rPr>
          <w:rFonts w:ascii="Arial" w:hAnsi="Arial"/>
        </w:rPr>
        <w:t>10. Private Funder Intelligence Layer</w:t>
      </w:r>
    </w:p>
    <w:p>
      <w:pPr>
        <w:pStyle w:val="ListBullet"/>
      </w:pPr>
      <w:r>
        <w:rPr>
          <w:rFonts w:ascii="Arial" w:hAnsi="Arial"/>
        </w:rPr>
        <w:t>11. Normalization, Deduplication, and Quality Control</w:t>
      </w:r>
    </w:p>
    <w:p>
      <w:pPr>
        <w:pStyle w:val="ListBullet"/>
      </w:pPr>
      <w:r>
        <w:rPr>
          <w:rFonts w:ascii="Arial" w:hAnsi="Arial"/>
        </w:rPr>
        <w:t>12. Matching and Recommendation Engine</w:t>
      </w:r>
    </w:p>
    <w:p>
      <w:pPr>
        <w:pStyle w:val="ListBullet"/>
      </w:pPr>
      <w:r>
        <w:rPr>
          <w:rFonts w:ascii="Arial" w:hAnsi="Arial"/>
        </w:rPr>
        <w:t>13. Data Model and Storage Design</w:t>
      </w:r>
    </w:p>
    <w:p>
      <w:pPr>
        <w:pStyle w:val="ListBullet"/>
      </w:pPr>
      <w:r>
        <w:rPr>
          <w:rFonts w:ascii="Arial" w:hAnsi="Arial"/>
        </w:rPr>
        <w:t>14. API and Integration Design</w:t>
      </w:r>
    </w:p>
    <w:p>
      <w:pPr>
        <w:pStyle w:val="ListBullet"/>
      </w:pPr>
      <w:r>
        <w:rPr>
          <w:rFonts w:ascii="Arial" w:hAnsi="Arial"/>
        </w:rPr>
        <w:t>15. Frontend Experience and Design Requirements</w:t>
      </w:r>
    </w:p>
    <w:p>
      <w:pPr>
        <w:pStyle w:val="ListBullet"/>
      </w:pPr>
      <w:r>
        <w:rPr>
          <w:rFonts w:ascii="Arial" w:hAnsi="Arial"/>
        </w:rPr>
        <w:t>16. Admin Console Requirements</w:t>
      </w:r>
    </w:p>
    <w:p>
      <w:pPr>
        <w:pStyle w:val="ListBullet"/>
      </w:pPr>
      <w:r>
        <w:rPr>
          <w:rFonts w:ascii="Arial" w:hAnsi="Arial"/>
        </w:rPr>
        <w:t>17. Notifications and User Communication</w:t>
      </w:r>
    </w:p>
    <w:p>
      <w:pPr>
        <w:pStyle w:val="ListBullet"/>
      </w:pPr>
      <w:r>
        <w:rPr>
          <w:rFonts w:ascii="Arial" w:hAnsi="Arial"/>
        </w:rPr>
        <w:t>18. Security, Privacy, Compliance, and Scraping Rules</w:t>
      </w:r>
    </w:p>
    <w:p>
      <w:pPr>
        <w:pStyle w:val="ListBullet"/>
      </w:pPr>
      <w:r>
        <w:rPr>
          <w:rFonts w:ascii="Arial" w:hAnsi="Arial"/>
        </w:rPr>
        <w:t>19. Observability, Analytics, and Operations</w:t>
      </w:r>
    </w:p>
    <w:p>
      <w:pPr>
        <w:pStyle w:val="ListBullet"/>
      </w:pPr>
      <w:r>
        <w:rPr>
          <w:rFonts w:ascii="Arial" w:hAnsi="Arial"/>
        </w:rPr>
        <w:t>20. Delivery Plan and Roadmap</w:t>
      </w:r>
    </w:p>
    <w:p>
      <w:pPr>
        <w:pStyle w:val="ListBullet"/>
      </w:pPr>
      <w:r>
        <w:rPr>
          <w:rFonts w:ascii="Arial" w:hAnsi="Arial"/>
        </w:rPr>
        <w:t>21. Design Team Handoff Checklist</w:t>
      </w:r>
    </w:p>
    <w:p>
      <w:pPr>
        <w:pStyle w:val="ListBullet"/>
      </w:pPr>
      <w:r>
        <w:rPr>
          <w:rFonts w:ascii="Arial" w:hAnsi="Arial"/>
        </w:rPr>
        <w:t>22. Acceptance Criteria</w:t>
      </w:r>
    </w:p>
    <w:p>
      <w:pPr>
        <w:pStyle w:val="ListBullet"/>
      </w:pPr>
      <w:r>
        <w:rPr>
          <w:rFonts w:ascii="Arial" w:hAnsi="Arial"/>
        </w:rPr>
        <w:t>Appendices: Source seed list, sample schemas, reference links, glossary</w:t>
      </w:r>
    </w:p>
    <w:p>
      <w:r>
        <w:rPr>
          <w:rFonts w:ascii="Arial" w:hAnsi="Arial"/>
        </w:rPr>
        <w:br w:type="page"/>
      </w:r>
    </w:p>
    <w:p>
      <w:pPr>
        <w:pStyle w:val="Heading1"/>
      </w:pPr>
      <w:r>
        <w:rPr>
          <w:rFonts w:ascii="Arial" w:hAnsi="Arial"/>
        </w:rPr>
        <w:t>1. Executive Summary</w:t>
      </w:r>
    </w:p>
    <w:p>
      <w:r>
        <w:rPr>
          <w:rFonts w:ascii="Arial" w:hAnsi="Arial"/>
        </w:rPr>
        <w:t>This product is a grant discovery and funding intelligence platform. Users create an individual or organization profile, the system continuously pulls grant opportunities from public and authorized private sources, and the platform ranks opportunities based on eligibility, topic fit, location, timing, funding amount, and application readiness.</w:t>
      </w:r>
    </w:p>
    <w:p>
      <w:r>
        <w:rPr>
          <w:rFonts w:ascii="Arial" w:hAnsi="Arial"/>
        </w:rPr>
        <w:t>The product must refresh the grant database on a fixed 12-hour cadence and also allow users or admins to request fresh pulls. On-demand pulls should be throttled, cached, and source-specific so the system stays fast without abusing external data sources.</w:t>
      </w:r>
    </w:p>
    <w:p>
      <w:r>
        <w:rPr>
          <w:rFonts w:ascii="Arial" w:hAnsi="Arial"/>
        </w:rPr>
        <w:t>The system must cover government grants, private foundation grants, corporate philanthropy, AI and technology funds, social media and journalism grants, cybersecurity and digital rights grants, fellowships, prizes, accelerator funding, in-kind technical assistance, and funder prospects. The key design requirement is trust: every grant shown to users should include source evidence, last-fetched time, data confidence, and clear next steps.</w:t>
      </w:r>
    </w:p>
    <w:tbl>
      <w:tblPr>
        <w:tblW w:type="auto" w:w="0"/>
        <w:jc w:val="center"/>
        <w:tblLook w:firstColumn="1" w:firstRow="1" w:lastColumn="0" w:lastRow="0" w:noHBand="0" w:noVBand="1" w:val="04A0"/>
      </w:tblPr>
      <w:tblGrid>
        <w:gridCol w:w="10368"/>
      </w:tblGrid>
      <w:tr>
        <w:tc>
          <w:tcPr>
            <w:tcW w:type="dxa" w:w="10368"/>
            <w:shd w:fill="EAF2F8"/>
          </w:tcPr>
          <w:p>
            <w:pPr>
              <w:spacing w:after="60"/>
            </w:pPr>
            <w:r>
              <w:rPr>
                <w:b/>
                <w:color w:val="1C4967"/>
              </w:rPr>
              <w:t>Intent summary from stakeholder requests</w:t>
            </w:r>
          </w:p>
          <w:p>
            <w:pPr>
              <w:spacing w:after="0"/>
            </w:pPr>
            <w:r>
              <w:t>Build a site that pulls as many grants as possible for users to sign up for, refreshes every 12 hours and on demand, and includes a private grant intelligence capability focused on technology, social media, journalism/media, AI, cybersecurity, and digital rights funding.</w:t>
            </w:r>
          </w:p>
        </w:tc>
      </w:tr>
    </w:tbl>
    <w:p>
      <w:pPr>
        <w:pStyle w:val="Heading2"/>
      </w:pPr>
      <w:r>
        <w:rPr>
          <w:rFonts w:ascii="Arial" w:hAnsi="Arial"/>
        </w:rPr>
        <w:t>What the platform must do</w:t>
      </w:r>
    </w:p>
    <w:p>
      <w:pPr>
        <w:pStyle w:val="ListBullet"/>
      </w:pPr>
      <w:r>
        <w:rPr>
          <w:rFonts w:ascii="Arial" w:hAnsi="Arial"/>
        </w:rPr>
        <w:t>Aggregate grant opportunities from official APIs, public funder pages, licensed data providers, state/local portals, RSS feeds, and public grant announcements.</w:t>
      </w:r>
    </w:p>
    <w:p>
      <w:pPr>
        <w:pStyle w:val="ListBullet"/>
      </w:pPr>
      <w:r>
        <w:rPr>
          <w:rFonts w:ascii="Arial" w:hAnsi="Arial"/>
        </w:rPr>
        <w:t>Run scheduled pulls every 12 hours and support user/admin on-demand refreshes.</w:t>
      </w:r>
    </w:p>
    <w:p>
      <w:pPr>
        <w:pStyle w:val="ListBullet"/>
      </w:pPr>
      <w:r>
        <w:rPr>
          <w:rFonts w:ascii="Arial" w:hAnsi="Arial"/>
        </w:rPr>
        <w:t>Normalize inconsistent grant data into one clean internal grant schema.</w:t>
      </w:r>
    </w:p>
    <w:p>
      <w:pPr>
        <w:pStyle w:val="ListBullet"/>
      </w:pPr>
      <w:r>
        <w:rPr>
          <w:rFonts w:ascii="Arial" w:hAnsi="Arial"/>
        </w:rPr>
        <w:t>Deduplicate overlapping records while preserving all source links and raw evidence.</w:t>
      </w:r>
    </w:p>
    <w:p>
      <w:pPr>
        <w:pStyle w:val="ListBullet"/>
      </w:pPr>
      <w:r>
        <w:rPr>
          <w:rFonts w:ascii="Arial" w:hAnsi="Arial"/>
        </w:rPr>
        <w:t>Match grants to user profiles and explain why each opportunity is a fit, possible fit, or disqualified.</w:t>
      </w:r>
    </w:p>
    <w:p>
      <w:pPr>
        <w:pStyle w:val="ListBullet"/>
      </w:pPr>
      <w:r>
        <w:rPr>
          <w:rFonts w:ascii="Arial" w:hAnsi="Arial"/>
        </w:rPr>
        <w:t>Surface private AI, technology, social media, journalism, cybersecurity, and digital rights opportunities through a specialized private funder intelligence layer.</w:t>
      </w:r>
    </w:p>
    <w:p>
      <w:pPr>
        <w:pStyle w:val="ListBullet"/>
      </w:pPr>
      <w:r>
        <w:rPr>
          <w:rFonts w:ascii="Arial" w:hAnsi="Arial"/>
        </w:rPr>
        <w:t>Support saved grants, application tracking, deadline reminders, grant updates, and alerts.</w:t>
      </w:r>
    </w:p>
    <w:p>
      <w:pPr>
        <w:pStyle w:val="ListBullet"/>
      </w:pPr>
      <w:r>
        <w:rPr>
          <w:rFonts w:ascii="Arial" w:hAnsi="Arial"/>
        </w:rPr>
        <w:t>Provide an admin console for source management, pull monitoring, data quality review, and compliance controls.</w:t>
      </w:r>
    </w:p>
    <w:p>
      <w:pPr>
        <w:pStyle w:val="Heading1"/>
      </w:pPr>
      <w:r>
        <w:rPr>
          <w:rFonts w:ascii="Arial" w:hAnsi="Arial"/>
        </w:rPr>
        <w:t>2. Product Intent and North Star</w:t>
      </w:r>
    </w:p>
    <w:tbl>
      <w:tblPr>
        <w:tblStyle w:val="TableGrid"/>
        <w:tblW w:type="auto" w:w="0"/>
        <w:jc w:val="center"/>
        <w:tblLook w:firstColumn="1" w:firstRow="1" w:lastColumn="0" w:lastRow="0" w:noHBand="0" w:noVBand="1" w:val="04A0"/>
      </w:tblPr>
      <w:tblGrid>
        <w:gridCol w:w="5184"/>
        <w:gridCol w:w="5184"/>
      </w:tblGrid>
      <w:tr>
        <w:tc>
          <w:tcPr>
            <w:tcW w:type="dxa" w:w="3024"/>
            <w:shd w:fill="EAF2F8"/>
            <w:vAlign w:val="top"/>
          </w:tcPr>
          <w:p>
            <w:pPr>
              <w:spacing w:after="0"/>
            </w:pPr>
            <w:r/>
            <w:r>
              <w:rPr>
                <w:b/>
                <w:color w:val="1C4967"/>
              </w:rPr>
              <w:t>North star statement</w:t>
            </w:r>
          </w:p>
        </w:tc>
        <w:tc>
          <w:tcPr>
            <w:tcW w:type="dxa" w:w="6336"/>
            <w:vAlign w:val="top"/>
          </w:tcPr>
          <w:p>
            <w:pPr>
              <w:spacing w:after="0"/>
            </w:pPr>
            <w:r/>
            <w:r>
              <w:rPr>
                <w:b w:val="0"/>
              </w:rPr>
              <w:t>Help users discover more relevant funding opportunities faster than they could by searching individual funder websites, portals, newsletters, and databases manually.</w:t>
            </w:r>
          </w:p>
        </w:tc>
      </w:tr>
      <w:tr>
        <w:tc>
          <w:tcPr>
            <w:tcW w:type="dxa" w:w="3024"/>
            <w:shd w:fill="EAF2F8"/>
            <w:vAlign w:val="top"/>
          </w:tcPr>
          <w:p>
            <w:pPr>
              <w:spacing w:after="0"/>
            </w:pPr>
            <w:r/>
            <w:r>
              <w:rPr>
                <w:b/>
                <w:color w:val="1C4967"/>
              </w:rPr>
              <w:t>Primary promise</w:t>
            </w:r>
          </w:p>
        </w:tc>
        <w:tc>
          <w:tcPr>
            <w:tcW w:type="dxa" w:w="6336"/>
            <w:vAlign w:val="top"/>
          </w:tcPr>
          <w:p>
            <w:pPr>
              <w:spacing w:after="0"/>
            </w:pPr>
            <w:r/>
            <w:r>
              <w:rPr>
                <w:b w:val="0"/>
              </w:rPr>
              <w:t>Find more grants, verify the source, rank by fit, and help the user act before the deadline.</w:t>
            </w:r>
          </w:p>
        </w:tc>
      </w:tr>
      <w:tr>
        <w:tc>
          <w:tcPr>
            <w:tcW w:type="dxa" w:w="3024"/>
            <w:shd w:fill="EAF2F8"/>
            <w:vAlign w:val="top"/>
          </w:tcPr>
          <w:p>
            <w:pPr>
              <w:spacing w:after="0"/>
            </w:pPr>
            <w:r/>
            <w:r>
              <w:rPr>
                <w:b/>
                <w:color w:val="1C4967"/>
              </w:rPr>
              <w:t>Trust promise</w:t>
            </w:r>
          </w:p>
        </w:tc>
        <w:tc>
          <w:tcPr>
            <w:tcW w:type="dxa" w:w="6336"/>
            <w:vAlign w:val="top"/>
          </w:tcPr>
          <w:p>
            <w:pPr>
              <w:spacing w:after="0"/>
            </w:pPr>
            <w:r/>
            <w:r>
              <w:rPr>
                <w:b w:val="0"/>
              </w:rPr>
              <w:t>Show where each opportunity came from, when it was last checked, whether the extraction was high-confidence, and what eligibility warnings exist.</w:t>
            </w:r>
          </w:p>
        </w:tc>
      </w:tr>
      <w:tr>
        <w:tc>
          <w:tcPr>
            <w:tcW w:type="dxa" w:w="3024"/>
            <w:shd w:fill="EAF2F8"/>
            <w:vAlign w:val="top"/>
          </w:tcPr>
          <w:p>
            <w:pPr>
              <w:spacing w:after="0"/>
            </w:pPr>
            <w:r/>
            <w:r>
              <w:rPr>
                <w:b/>
                <w:color w:val="1C4967"/>
              </w:rPr>
              <w:t>Differentiator</w:t>
            </w:r>
          </w:p>
        </w:tc>
        <w:tc>
          <w:tcPr>
            <w:tcW w:type="dxa" w:w="6336"/>
            <w:vAlign w:val="top"/>
          </w:tcPr>
          <w:p>
            <w:pPr>
              <w:spacing w:after="0"/>
            </w:pPr>
            <w:r/>
            <w:r>
              <w:rPr>
                <w:b w:val="0"/>
              </w:rPr>
              <w:t>Combines federal/state/local public grants with a dedicated private funder intelligence layer for AI, technology, social media, journalism, cybersecurity, and digital rights funding.</w:t>
            </w:r>
          </w:p>
        </w:tc>
      </w:tr>
      <w:tr>
        <w:tc>
          <w:tcPr>
            <w:tcW w:type="dxa" w:w="3024"/>
            <w:shd w:fill="EAF2F8"/>
            <w:vAlign w:val="top"/>
          </w:tcPr>
          <w:p>
            <w:pPr>
              <w:spacing w:after="0"/>
            </w:pPr>
            <w:r/>
            <w:r>
              <w:rPr>
                <w:b/>
                <w:color w:val="1C4967"/>
              </w:rPr>
              <w:t>Design tone</w:t>
            </w:r>
          </w:p>
        </w:tc>
        <w:tc>
          <w:tcPr>
            <w:tcW w:type="dxa" w:w="6336"/>
            <w:vAlign w:val="top"/>
          </w:tcPr>
          <w:p>
            <w:pPr>
              <w:spacing w:after="0"/>
            </w:pPr>
            <w:r/>
            <w:r>
              <w:rPr>
                <w:b w:val="0"/>
              </w:rPr>
              <w:t>Professional, clear, high-trust, source-backed, fast, optimistic, and practical.</w:t>
            </w:r>
          </w:p>
        </w:tc>
      </w:tr>
    </w:tbl>
    <w:p/>
    <w:p>
      <w:pPr>
        <w:pStyle w:val="Heading2"/>
      </w:pPr>
      <w:r>
        <w:rPr>
          <w:rFonts w:ascii="Arial" w:hAnsi="Arial"/>
        </w:rPr>
        <w:t>Product boundaries</w:t>
      </w:r>
    </w:p>
    <w:p>
      <w:pPr>
        <w:pStyle w:val="ListBullet"/>
      </w:pPr>
      <w:r>
        <w:rPr>
          <w:rFonts w:ascii="Arial" w:hAnsi="Arial"/>
        </w:rPr>
        <w:t>The platform helps users discover and manage grant opportunities; it does not guarantee eligibility, funding, or award outcomes.</w:t>
      </w:r>
    </w:p>
    <w:p>
      <w:pPr>
        <w:pStyle w:val="ListBullet"/>
      </w:pPr>
      <w:r>
        <w:rPr>
          <w:rFonts w:ascii="Arial" w:hAnsi="Arial"/>
        </w:rPr>
        <w:t>The platform may summarize and classify grant details, but official source links remain the final authority.</w:t>
      </w:r>
    </w:p>
    <w:p>
      <w:pPr>
        <w:pStyle w:val="ListBullet"/>
      </w:pPr>
      <w:r>
        <w:rPr>
          <w:rFonts w:ascii="Arial" w:hAnsi="Arial"/>
        </w:rPr>
        <w:t>The scraper must only collect public or licensed/authorized data. It must not bypass logins, paywalls, robots.txt, terms of service, or security controls.</w:t>
      </w:r>
    </w:p>
    <w:p>
      <w:pPr>
        <w:pStyle w:val="ListBullet"/>
      </w:pPr>
      <w:r>
        <w:rPr>
          <w:rFonts w:ascii="Arial" w:hAnsi="Arial"/>
        </w:rPr>
        <w:t>Grant writing assistance can be added later, but the MVP should focus on discovery, matching, tracking, and alerts.</w:t>
      </w:r>
    </w:p>
    <w:p>
      <w:pPr>
        <w:pStyle w:val="Heading1"/>
      </w:pPr>
      <w:r>
        <w:rPr>
          <w:rFonts w:ascii="Arial" w:hAnsi="Arial"/>
        </w:rPr>
        <w:t>3. Users, Personas, and Jobs To Be Done</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088"/>
            <w:shd w:fill="D9EAF7"/>
            <w:vAlign w:val="top"/>
          </w:tcPr>
          <w:p>
            <w:pPr>
              <w:spacing w:after="0"/>
            </w:pPr>
            <w:r>
              <w:rPr>
                <w:sz w:val="17"/>
              </w:rPr>
            </w:r>
            <w:r>
              <w:rPr>
                <w:b/>
                <w:color w:val="1C4967"/>
                <w:sz w:val="17"/>
              </w:rPr>
              <w:t>Persona</w:t>
            </w:r>
          </w:p>
        </w:tc>
        <w:tc>
          <w:tcPr>
            <w:tcW w:type="dxa" w:w="3240"/>
            <w:shd w:fill="D9EAF7"/>
            <w:vAlign w:val="top"/>
          </w:tcPr>
          <w:p>
            <w:pPr>
              <w:spacing w:after="0"/>
            </w:pPr>
            <w:r>
              <w:rPr>
                <w:sz w:val="17"/>
              </w:rPr>
            </w:r>
            <w:r>
              <w:rPr>
                <w:b/>
                <w:color w:val="1C4967"/>
                <w:sz w:val="17"/>
              </w:rPr>
              <w:t>Primary goal</w:t>
            </w:r>
          </w:p>
        </w:tc>
        <w:tc>
          <w:tcPr>
            <w:tcW w:type="dxa" w:w="4031"/>
            <w:shd w:fill="D9EAF7"/>
            <w:vAlign w:val="top"/>
          </w:tcPr>
          <w:p>
            <w:pPr>
              <w:spacing w:after="0"/>
            </w:pPr>
            <w:r>
              <w:rPr>
                <w:sz w:val="17"/>
              </w:rPr>
            </w:r>
            <w:r>
              <w:rPr>
                <w:b/>
                <w:color w:val="1C4967"/>
                <w:sz w:val="17"/>
              </w:rPr>
              <w:t>Design implications</w:t>
            </w:r>
          </w:p>
        </w:tc>
      </w:tr>
      <w:tr>
        <w:tc>
          <w:tcPr>
            <w:tcW w:type="dxa" w:w="2088"/>
            <w:vAlign w:val="top"/>
          </w:tcPr>
          <w:p>
            <w:pPr>
              <w:spacing w:after="0"/>
            </w:pPr>
            <w:r>
              <w:rPr>
                <w:sz w:val="17"/>
              </w:rPr>
            </w:r>
            <w:r>
              <w:rPr>
                <w:b w:val="0"/>
                <w:sz w:val="17"/>
              </w:rPr>
              <w:t>Nonprofit executive director</w:t>
            </w:r>
          </w:p>
        </w:tc>
        <w:tc>
          <w:tcPr>
            <w:tcW w:type="dxa" w:w="3240"/>
            <w:vAlign w:val="top"/>
          </w:tcPr>
          <w:p>
            <w:pPr>
              <w:spacing w:after="0"/>
            </w:pPr>
            <w:r>
              <w:rPr>
                <w:sz w:val="17"/>
              </w:rPr>
            </w:r>
            <w:r>
              <w:rPr>
                <w:b w:val="0"/>
                <w:sz w:val="17"/>
              </w:rPr>
              <w:t>Find grants that fit the mission and deadline capacity.</w:t>
            </w:r>
          </w:p>
        </w:tc>
        <w:tc>
          <w:tcPr>
            <w:tcW w:type="dxa" w:w="4031"/>
            <w:vAlign w:val="top"/>
          </w:tcPr>
          <w:p>
            <w:pPr>
              <w:spacing w:after="0"/>
            </w:pPr>
            <w:r>
              <w:rPr>
                <w:sz w:val="17"/>
              </w:rPr>
            </w:r>
            <w:r>
              <w:rPr>
                <w:b w:val="0"/>
                <w:sz w:val="17"/>
              </w:rPr>
              <w:t>Needs plain-language eligibility, deadlines, saved opportunities, and reminders.</w:t>
            </w:r>
          </w:p>
        </w:tc>
      </w:tr>
      <w:tr>
        <w:tc>
          <w:tcPr>
            <w:tcW w:type="dxa" w:w="2088"/>
            <w:vAlign w:val="top"/>
          </w:tcPr>
          <w:p>
            <w:pPr>
              <w:spacing w:after="0"/>
            </w:pPr>
            <w:r>
              <w:rPr>
                <w:sz w:val="17"/>
              </w:rPr>
            </w:r>
            <w:r>
              <w:rPr>
                <w:b w:val="0"/>
                <w:sz w:val="17"/>
              </w:rPr>
              <w:t>Grant writer / consultant</w:t>
            </w:r>
          </w:p>
        </w:tc>
        <w:tc>
          <w:tcPr>
            <w:tcW w:type="dxa" w:w="3240"/>
            <w:vAlign w:val="top"/>
          </w:tcPr>
          <w:p>
            <w:pPr>
              <w:spacing w:after="0"/>
            </w:pPr>
            <w:r>
              <w:rPr>
                <w:sz w:val="17"/>
              </w:rPr>
            </w:r>
            <w:r>
              <w:rPr>
                <w:b w:val="0"/>
                <w:sz w:val="17"/>
              </w:rPr>
              <w:t>Manage many clients, profiles, and application pipelines.</w:t>
            </w:r>
          </w:p>
        </w:tc>
        <w:tc>
          <w:tcPr>
            <w:tcW w:type="dxa" w:w="4031"/>
            <w:vAlign w:val="top"/>
          </w:tcPr>
          <w:p>
            <w:pPr>
              <w:spacing w:after="0"/>
            </w:pPr>
            <w:r>
              <w:rPr>
                <w:sz w:val="17"/>
              </w:rPr>
            </w:r>
            <w:r>
              <w:rPr>
                <w:b w:val="0"/>
                <w:sz w:val="17"/>
              </w:rPr>
              <w:t>Needs multi-profile switching, advanced filters, notes, exports, and collaboration.</w:t>
            </w:r>
          </w:p>
        </w:tc>
      </w:tr>
      <w:tr>
        <w:tc>
          <w:tcPr>
            <w:tcW w:type="dxa" w:w="2088"/>
            <w:vAlign w:val="top"/>
          </w:tcPr>
          <w:p>
            <w:pPr>
              <w:spacing w:after="0"/>
            </w:pPr>
            <w:r>
              <w:rPr>
                <w:sz w:val="17"/>
              </w:rPr>
            </w:r>
            <w:r>
              <w:rPr>
                <w:b w:val="0"/>
                <w:sz w:val="17"/>
              </w:rPr>
              <w:t>AI / tech nonprofit founder</w:t>
            </w:r>
          </w:p>
        </w:tc>
        <w:tc>
          <w:tcPr>
            <w:tcW w:type="dxa" w:w="3240"/>
            <w:vAlign w:val="top"/>
          </w:tcPr>
          <w:p>
            <w:pPr>
              <w:spacing w:after="0"/>
            </w:pPr>
            <w:r>
              <w:rPr>
                <w:sz w:val="17"/>
              </w:rPr>
            </w:r>
            <w:r>
              <w:rPr>
                <w:b w:val="0"/>
                <w:sz w:val="17"/>
              </w:rPr>
              <w:t>Find AI, tech-for-good, digital inclusion, and open-source funding.</w:t>
            </w:r>
          </w:p>
        </w:tc>
        <w:tc>
          <w:tcPr>
            <w:tcW w:type="dxa" w:w="4031"/>
            <w:vAlign w:val="top"/>
          </w:tcPr>
          <w:p>
            <w:pPr>
              <w:spacing w:after="0"/>
            </w:pPr>
            <w:r>
              <w:rPr>
                <w:sz w:val="17"/>
              </w:rPr>
            </w:r>
            <w:r>
              <w:rPr>
                <w:b w:val="0"/>
                <w:sz w:val="17"/>
              </w:rPr>
              <w:t>Needs private funder intelligence, AI/tech tags, and funder prospects.</w:t>
            </w:r>
          </w:p>
        </w:tc>
      </w:tr>
      <w:tr>
        <w:tc>
          <w:tcPr>
            <w:tcW w:type="dxa" w:w="2088"/>
            <w:vAlign w:val="top"/>
          </w:tcPr>
          <w:p>
            <w:pPr>
              <w:spacing w:after="0"/>
            </w:pPr>
            <w:r>
              <w:rPr>
                <w:sz w:val="17"/>
              </w:rPr>
            </w:r>
            <w:r>
              <w:rPr>
                <w:b w:val="0"/>
                <w:sz w:val="17"/>
              </w:rPr>
              <w:t>Journalist / media organization</w:t>
            </w:r>
          </w:p>
        </w:tc>
        <w:tc>
          <w:tcPr>
            <w:tcW w:type="dxa" w:w="3240"/>
            <w:vAlign w:val="top"/>
          </w:tcPr>
          <w:p>
            <w:pPr>
              <w:spacing w:after="0"/>
            </w:pPr>
            <w:r>
              <w:rPr>
                <w:sz w:val="17"/>
              </w:rPr>
            </w:r>
            <w:r>
              <w:rPr>
                <w:b w:val="0"/>
                <w:sz w:val="17"/>
              </w:rPr>
              <w:t>Find journalism, social media, misinformation, and platform accountability funding.</w:t>
            </w:r>
          </w:p>
        </w:tc>
        <w:tc>
          <w:tcPr>
            <w:tcW w:type="dxa" w:w="4031"/>
            <w:vAlign w:val="top"/>
          </w:tcPr>
          <w:p>
            <w:pPr>
              <w:spacing w:after="0"/>
            </w:pPr>
            <w:r>
              <w:rPr>
                <w:sz w:val="17"/>
              </w:rPr>
            </w:r>
            <w:r>
              <w:rPr>
                <w:b w:val="0"/>
                <w:sz w:val="17"/>
              </w:rPr>
              <w:t>Needs media-specific topic filters and eligibility details for journalists/newsrooms.</w:t>
            </w:r>
          </w:p>
        </w:tc>
      </w:tr>
      <w:tr>
        <w:tc>
          <w:tcPr>
            <w:tcW w:type="dxa" w:w="2088"/>
            <w:vAlign w:val="top"/>
          </w:tcPr>
          <w:p>
            <w:pPr>
              <w:spacing w:after="0"/>
            </w:pPr>
            <w:r>
              <w:rPr>
                <w:sz w:val="17"/>
              </w:rPr>
            </w:r>
            <w:r>
              <w:rPr>
                <w:b w:val="0"/>
                <w:sz w:val="17"/>
              </w:rPr>
              <w:t>Research group / university unit</w:t>
            </w:r>
          </w:p>
        </w:tc>
        <w:tc>
          <w:tcPr>
            <w:tcW w:type="dxa" w:w="3240"/>
            <w:vAlign w:val="top"/>
          </w:tcPr>
          <w:p>
            <w:pPr>
              <w:spacing w:after="0"/>
            </w:pPr>
            <w:r>
              <w:rPr>
                <w:sz w:val="17"/>
              </w:rPr>
            </w:r>
            <w:r>
              <w:rPr>
                <w:b w:val="0"/>
                <w:sz w:val="17"/>
              </w:rPr>
              <w:t>Find research grants, fellowships, prizes, and RFPs.</w:t>
            </w:r>
          </w:p>
        </w:tc>
        <w:tc>
          <w:tcPr>
            <w:tcW w:type="dxa" w:w="4031"/>
            <w:vAlign w:val="top"/>
          </w:tcPr>
          <w:p>
            <w:pPr>
              <w:spacing w:after="0"/>
            </w:pPr>
            <w:r>
              <w:rPr>
                <w:sz w:val="17"/>
              </w:rPr>
            </w:r>
            <w:r>
              <w:rPr>
                <w:b w:val="0"/>
                <w:sz w:val="17"/>
              </w:rPr>
              <w:t>Needs opportunity type filtering and document-heavy detail pages.</w:t>
            </w:r>
          </w:p>
        </w:tc>
      </w:tr>
      <w:tr>
        <w:tc>
          <w:tcPr>
            <w:tcW w:type="dxa" w:w="2088"/>
            <w:vAlign w:val="top"/>
          </w:tcPr>
          <w:p>
            <w:pPr>
              <w:spacing w:after="0"/>
            </w:pPr>
            <w:r>
              <w:rPr>
                <w:sz w:val="17"/>
              </w:rPr>
            </w:r>
            <w:r>
              <w:rPr>
                <w:b w:val="0"/>
                <w:sz w:val="17"/>
              </w:rPr>
              <w:t>Admin / data steward</w:t>
            </w:r>
          </w:p>
        </w:tc>
        <w:tc>
          <w:tcPr>
            <w:tcW w:type="dxa" w:w="3240"/>
            <w:vAlign w:val="top"/>
          </w:tcPr>
          <w:p>
            <w:pPr>
              <w:spacing w:after="0"/>
            </w:pPr>
            <w:r>
              <w:rPr>
                <w:sz w:val="17"/>
              </w:rPr>
            </w:r>
            <w:r>
              <w:rPr>
                <w:b w:val="0"/>
                <w:sz w:val="17"/>
              </w:rPr>
              <w:t>Keep sources healthy and data accurate.</w:t>
            </w:r>
          </w:p>
        </w:tc>
        <w:tc>
          <w:tcPr>
            <w:tcW w:type="dxa" w:w="4031"/>
            <w:vAlign w:val="top"/>
          </w:tcPr>
          <w:p>
            <w:pPr>
              <w:spacing w:after="0"/>
            </w:pPr>
            <w:r>
              <w:rPr>
                <w:sz w:val="17"/>
              </w:rPr>
            </w:r>
            <w:r>
              <w:rPr>
                <w:b w:val="0"/>
                <w:sz w:val="17"/>
              </w:rPr>
              <w:t>Needs source registry, pull logs, review queue, dedupe tools, and compliance audit trail.</w:t>
            </w:r>
          </w:p>
        </w:tc>
      </w:tr>
    </w:tbl>
    <w:p/>
    <w:p>
      <w:pPr>
        <w:pStyle w:val="Heading2"/>
      </w:pPr>
      <w:r>
        <w:rPr>
          <w:rFonts w:ascii="Arial" w:hAnsi="Arial"/>
        </w:rPr>
        <w:t>Core user jobs</w:t>
      </w:r>
    </w:p>
    <w:p>
      <w:pPr>
        <w:pStyle w:val="ListBullet"/>
      </w:pPr>
      <w:r>
        <w:rPr>
          <w:rFonts w:ascii="Arial" w:hAnsi="Arial"/>
        </w:rPr>
        <w:t>Create a profile once and receive ranked grant matches automatically.</w:t>
      </w:r>
    </w:p>
    <w:p>
      <w:pPr>
        <w:pStyle w:val="ListBullet"/>
      </w:pPr>
      <w:r>
        <w:rPr>
          <w:rFonts w:ascii="Arial" w:hAnsi="Arial"/>
        </w:rPr>
        <w:t>Search across public and private grant sources from one interface.</w:t>
      </w:r>
    </w:p>
    <w:p>
      <w:pPr>
        <w:pStyle w:val="ListBullet"/>
      </w:pPr>
      <w:r>
        <w:rPr>
          <w:rFonts w:ascii="Arial" w:hAnsi="Arial"/>
        </w:rPr>
        <w:t>Refresh grants immediately when exploring a new topic or client profile.</w:t>
      </w:r>
    </w:p>
    <w:p>
      <w:pPr>
        <w:pStyle w:val="ListBullet"/>
      </w:pPr>
      <w:r>
        <w:rPr>
          <w:rFonts w:ascii="Arial" w:hAnsi="Arial"/>
        </w:rPr>
        <w:t>Understand quickly whether a grant is worth pursuing.</w:t>
      </w:r>
    </w:p>
    <w:p>
      <w:pPr>
        <w:pStyle w:val="ListBullet"/>
      </w:pPr>
      <w:r>
        <w:rPr>
          <w:rFonts w:ascii="Arial" w:hAnsi="Arial"/>
        </w:rPr>
        <w:t>Save opportunities and track them through review, drafting, submission, award, or rejection.</w:t>
      </w:r>
    </w:p>
    <w:p>
      <w:pPr>
        <w:pStyle w:val="ListBullet"/>
      </w:pPr>
      <w:r>
        <w:rPr>
          <w:rFonts w:ascii="Arial" w:hAnsi="Arial"/>
        </w:rPr>
        <w:t>Get deadline reminders and new-match alerts without manually revisiting funder websites.</w:t>
      </w:r>
    </w:p>
    <w:p>
      <w:pPr>
        <w:pStyle w:val="Heading1"/>
      </w:pPr>
      <w:r>
        <w:rPr>
          <w:rFonts w:ascii="Arial" w:hAnsi="Arial"/>
        </w:rPr>
        <w:t>4. Product Scope and Release Strategy</w:t>
      </w:r>
    </w:p>
    <w:p>
      <w:pPr>
        <w:pStyle w:val="Heading2"/>
      </w:pPr>
      <w:r>
        <w:rPr>
          <w:rFonts w:ascii="Arial" w:hAnsi="Arial"/>
        </w:rPr>
        <w:t>MVP scope</w:t>
      </w:r>
    </w:p>
    <w:p>
      <w:pPr>
        <w:pStyle w:val="ListBullet"/>
      </w:pPr>
      <w:r>
        <w:rPr>
          <w:rFonts w:ascii="Arial" w:hAnsi="Arial"/>
        </w:rPr>
        <w:t>User authentication and onboarding.</w:t>
      </w:r>
    </w:p>
    <w:p>
      <w:pPr>
        <w:pStyle w:val="ListBullet"/>
      </w:pPr>
      <w:r>
        <w:rPr>
          <w:rFonts w:ascii="Arial" w:hAnsi="Arial"/>
        </w:rPr>
        <w:t>Individual and organization grant profiles.</w:t>
      </w:r>
    </w:p>
    <w:p>
      <w:pPr>
        <w:pStyle w:val="ListBullet"/>
      </w:pPr>
      <w:r>
        <w:rPr>
          <w:rFonts w:ascii="Arial" w:hAnsi="Arial"/>
        </w:rPr>
        <w:t>Grants.gov connector with search and detail fetch.</w:t>
      </w:r>
    </w:p>
    <w:p>
      <w:pPr>
        <w:pStyle w:val="ListBullet"/>
      </w:pPr>
      <w:r>
        <w:rPr>
          <w:rFonts w:ascii="Arial" w:hAnsi="Arial"/>
        </w:rPr>
        <w:t>Basic source registry and 12-hour scheduler.</w:t>
      </w:r>
    </w:p>
    <w:p>
      <w:pPr>
        <w:pStyle w:val="ListBullet"/>
      </w:pPr>
      <w:r>
        <w:rPr>
          <w:rFonts w:ascii="Arial" w:hAnsi="Arial"/>
        </w:rPr>
        <w:t>User on-demand pull request endpoint with throttling and caching.</w:t>
      </w:r>
    </w:p>
    <w:p>
      <w:pPr>
        <w:pStyle w:val="ListBullet"/>
      </w:pPr>
      <w:r>
        <w:rPr>
          <w:rFonts w:ascii="Arial" w:hAnsi="Arial"/>
        </w:rPr>
        <w:t>Normalized grant database and raw source storage.</w:t>
      </w:r>
    </w:p>
    <w:p>
      <w:pPr>
        <w:pStyle w:val="ListBullet"/>
      </w:pPr>
      <w:r>
        <w:rPr>
          <w:rFonts w:ascii="Arial" w:hAnsi="Arial"/>
        </w:rPr>
        <w:t>Search, filters, grant cards, grant detail pages, save grant, application tracker, and deadline reminders.</w:t>
      </w:r>
    </w:p>
    <w:p>
      <w:pPr>
        <w:pStyle w:val="ListBullet"/>
      </w:pPr>
      <w:r>
        <w:rPr>
          <w:rFonts w:ascii="Arial" w:hAnsi="Arial"/>
        </w:rPr>
        <w:t>Basic private funder intelligence for a curated seed list of AI, technology, journalism, social media, cybersecurity, and digital rights funders.</w:t>
      </w:r>
    </w:p>
    <w:p>
      <w:pPr>
        <w:pStyle w:val="ListBullet"/>
      </w:pPr>
      <w:r>
        <w:rPr>
          <w:rFonts w:ascii="Arial" w:hAnsi="Arial"/>
        </w:rPr>
        <w:t>Basic match scoring and match explanation.</w:t>
      </w:r>
    </w:p>
    <w:p>
      <w:pPr>
        <w:pStyle w:val="ListBullet"/>
      </w:pPr>
      <w:r>
        <w:rPr>
          <w:rFonts w:ascii="Arial" w:hAnsi="Arial"/>
        </w:rPr>
        <w:t>Admin pull monitor, source status, and low-confidence review queue.</w:t>
      </w:r>
    </w:p>
    <w:p>
      <w:pPr>
        <w:pStyle w:val="Heading2"/>
      </w:pPr>
      <w:r>
        <w:rPr>
          <w:rFonts w:ascii="Arial" w:hAnsi="Arial"/>
        </w:rPr>
        <w:t>Post-MVP scope</w:t>
      </w:r>
    </w:p>
    <w:p>
      <w:pPr>
        <w:pStyle w:val="ListBullet"/>
      </w:pPr>
      <w:r>
        <w:rPr>
          <w:rFonts w:ascii="Arial" w:hAnsi="Arial"/>
        </w:rPr>
        <w:t>SAM.gov Assistance Listings enrichment and USAspending award-history enrichment.</w:t>
      </w:r>
    </w:p>
    <w:p>
      <w:pPr>
        <w:pStyle w:val="ListBullet"/>
      </w:pPr>
      <w:r>
        <w:rPr>
          <w:rFonts w:ascii="Arial" w:hAnsi="Arial"/>
        </w:rPr>
        <w:t>State and local grant portal connectors.</w:t>
      </w:r>
    </w:p>
    <w:p>
      <w:pPr>
        <w:pStyle w:val="ListBullet"/>
      </w:pPr>
      <w:r>
        <w:rPr>
          <w:rFonts w:ascii="Arial" w:hAnsi="Arial"/>
        </w:rPr>
        <w:t>Licensed private grant data providers such as Candid and Instrumentl where contracts permit usage.</w:t>
      </w:r>
    </w:p>
    <w:p>
      <w:pPr>
        <w:pStyle w:val="ListBullet"/>
      </w:pPr>
      <w:r>
        <w:rPr>
          <w:rFonts w:ascii="Arial" w:hAnsi="Arial"/>
        </w:rPr>
        <w:t>Advanced document parsing for PDFs, NOFOs, guidelines, attachments, and application packages.</w:t>
      </w:r>
    </w:p>
    <w:p>
      <w:pPr>
        <w:pStyle w:val="ListBullet"/>
      </w:pPr>
      <w:r>
        <w:rPr>
          <w:rFonts w:ascii="Arial" w:hAnsi="Arial"/>
        </w:rPr>
        <w:t>Semantic search and embedding-based profile matching.</w:t>
      </w:r>
    </w:p>
    <w:p>
      <w:pPr>
        <w:pStyle w:val="ListBullet"/>
      </w:pPr>
      <w:r>
        <w:rPr>
          <w:rFonts w:ascii="Arial" w:hAnsi="Arial"/>
        </w:rPr>
        <w:t>Collaborative workspaces for grant teams and consultants.</w:t>
      </w:r>
    </w:p>
    <w:p>
      <w:pPr>
        <w:pStyle w:val="ListBullet"/>
      </w:pPr>
      <w:r>
        <w:rPr>
          <w:rFonts w:ascii="Arial" w:hAnsi="Arial"/>
        </w:rPr>
        <w:t>CRM/export integrations, webhooks, Slack alerts, and enterprise APIs.</w:t>
      </w:r>
    </w:p>
    <w:p>
      <w:pPr>
        <w:pStyle w:val="Heading2"/>
      </w:pPr>
      <w:r>
        <w:rPr>
          <w:rFonts w:ascii="Arial" w:hAnsi="Arial"/>
        </w:rPr>
        <w:t>Out of scope for MVP</w:t>
      </w:r>
    </w:p>
    <w:p>
      <w:pPr>
        <w:pStyle w:val="ListBullet"/>
      </w:pPr>
      <w:r>
        <w:rPr>
          <w:rFonts w:ascii="Arial" w:hAnsi="Arial"/>
        </w:rPr>
        <w:t>Automated grant submission on behalf of users.</w:t>
      </w:r>
    </w:p>
    <w:p>
      <w:pPr>
        <w:pStyle w:val="ListBullet"/>
      </w:pPr>
      <w:r>
        <w:rPr>
          <w:rFonts w:ascii="Arial" w:hAnsi="Arial"/>
        </w:rPr>
        <w:t>Scraping private, login-gated, paywalled, or explicitly disallowed data.</w:t>
      </w:r>
    </w:p>
    <w:p>
      <w:pPr>
        <w:pStyle w:val="ListBullet"/>
      </w:pPr>
      <w:r>
        <w:rPr>
          <w:rFonts w:ascii="Arial" w:hAnsi="Arial"/>
        </w:rPr>
        <w:t>Legal eligibility certification.</w:t>
      </w:r>
    </w:p>
    <w:p>
      <w:pPr>
        <w:pStyle w:val="ListBullet"/>
      </w:pPr>
      <w:r>
        <w:rPr>
          <w:rFonts w:ascii="Arial" w:hAnsi="Arial"/>
        </w:rPr>
        <w:t>Full grant writing workspace, budget builder, or document generator. These can be separate later-stage modules.</w:t>
      </w:r>
    </w:p>
    <w:p>
      <w:pPr>
        <w:pStyle w:val="Heading1"/>
      </w:pPr>
      <w:r>
        <w:rPr>
          <w:rFonts w:ascii="Arial" w:hAnsi="Arial"/>
        </w:rPr>
        <w:t>5. Functional Requirements</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1080"/>
            <w:shd w:fill="D9EAF7"/>
            <w:vAlign w:val="top"/>
          </w:tcPr>
          <w:p>
            <w:pPr>
              <w:spacing w:after="0"/>
            </w:pPr>
            <w:r>
              <w:rPr>
                <w:sz w:val="16"/>
              </w:rPr>
            </w:r>
            <w:r>
              <w:rPr>
                <w:b/>
                <w:color w:val="1C4967"/>
                <w:sz w:val="16"/>
              </w:rPr>
              <w:t>ID</w:t>
            </w:r>
          </w:p>
        </w:tc>
        <w:tc>
          <w:tcPr>
            <w:tcW w:type="dxa" w:w="2232"/>
            <w:shd w:fill="D9EAF7"/>
            <w:vAlign w:val="top"/>
          </w:tcPr>
          <w:p>
            <w:pPr>
              <w:spacing w:after="0"/>
            </w:pPr>
            <w:r>
              <w:rPr>
                <w:sz w:val="16"/>
              </w:rPr>
            </w:r>
            <w:r>
              <w:rPr>
                <w:b/>
                <w:color w:val="1C4967"/>
                <w:sz w:val="16"/>
              </w:rPr>
              <w:t>Requirement</w:t>
            </w:r>
          </w:p>
        </w:tc>
        <w:tc>
          <w:tcPr>
            <w:tcW w:type="dxa" w:w="6192"/>
            <w:shd w:fill="D9EAF7"/>
            <w:vAlign w:val="top"/>
          </w:tcPr>
          <w:p>
            <w:pPr>
              <w:spacing w:after="0"/>
            </w:pPr>
            <w:r>
              <w:rPr>
                <w:sz w:val="16"/>
              </w:rPr>
            </w:r>
            <w:r>
              <w:rPr>
                <w:b/>
                <w:color w:val="1C4967"/>
                <w:sz w:val="16"/>
              </w:rPr>
              <w:t>Description</w:t>
            </w:r>
          </w:p>
        </w:tc>
      </w:tr>
      <w:tr>
        <w:tc>
          <w:tcPr>
            <w:tcW w:type="dxa" w:w="1080"/>
            <w:vAlign w:val="top"/>
          </w:tcPr>
          <w:p>
            <w:pPr>
              <w:spacing w:after="0"/>
            </w:pPr>
            <w:r>
              <w:rPr>
                <w:sz w:val="16"/>
              </w:rPr>
            </w:r>
            <w:r>
              <w:rPr>
                <w:b w:val="0"/>
                <w:sz w:val="16"/>
              </w:rPr>
              <w:t>FR-001</w:t>
            </w:r>
          </w:p>
        </w:tc>
        <w:tc>
          <w:tcPr>
            <w:tcW w:type="dxa" w:w="2232"/>
            <w:vAlign w:val="top"/>
          </w:tcPr>
          <w:p>
            <w:pPr>
              <w:spacing w:after="0"/>
            </w:pPr>
            <w:r>
              <w:rPr>
                <w:sz w:val="16"/>
              </w:rPr>
            </w:r>
            <w:r>
              <w:rPr>
                <w:b w:val="0"/>
                <w:sz w:val="16"/>
              </w:rPr>
              <w:t>User registration and login</w:t>
            </w:r>
          </w:p>
        </w:tc>
        <w:tc>
          <w:tcPr>
            <w:tcW w:type="dxa" w:w="6192"/>
            <w:vAlign w:val="top"/>
          </w:tcPr>
          <w:p>
            <w:pPr>
              <w:spacing w:after="0"/>
            </w:pPr>
            <w:r>
              <w:rPr>
                <w:sz w:val="16"/>
              </w:rPr>
            </w:r>
            <w:r>
              <w:rPr>
                <w:b w:val="0"/>
                <w:sz w:val="16"/>
              </w:rPr>
              <w:t>Users can create accounts, log in, reset passwords, and manage their profile.</w:t>
            </w:r>
          </w:p>
        </w:tc>
      </w:tr>
      <w:tr>
        <w:tc>
          <w:tcPr>
            <w:tcW w:type="dxa" w:w="1080"/>
            <w:vAlign w:val="top"/>
          </w:tcPr>
          <w:p>
            <w:pPr>
              <w:spacing w:after="0"/>
            </w:pPr>
            <w:r>
              <w:rPr>
                <w:sz w:val="16"/>
              </w:rPr>
            </w:r>
            <w:r>
              <w:rPr>
                <w:b w:val="0"/>
                <w:sz w:val="16"/>
              </w:rPr>
              <w:t>FR-002</w:t>
            </w:r>
          </w:p>
        </w:tc>
        <w:tc>
          <w:tcPr>
            <w:tcW w:type="dxa" w:w="2232"/>
            <w:vAlign w:val="top"/>
          </w:tcPr>
          <w:p>
            <w:pPr>
              <w:spacing w:after="0"/>
            </w:pPr>
            <w:r>
              <w:rPr>
                <w:sz w:val="16"/>
              </w:rPr>
            </w:r>
            <w:r>
              <w:rPr>
                <w:b w:val="0"/>
                <w:sz w:val="16"/>
              </w:rPr>
              <w:t>Organization profile</w:t>
            </w:r>
          </w:p>
        </w:tc>
        <w:tc>
          <w:tcPr>
            <w:tcW w:type="dxa" w:w="6192"/>
            <w:vAlign w:val="top"/>
          </w:tcPr>
          <w:p>
            <w:pPr>
              <w:spacing w:after="0"/>
            </w:pPr>
            <w:r>
              <w:rPr>
                <w:sz w:val="16"/>
              </w:rPr>
            </w:r>
            <w:r>
              <w:rPr>
                <w:b w:val="0"/>
                <w:sz w:val="16"/>
              </w:rPr>
              <w:t>Users can add organization type, location, EIN, UEI, budget range, mission, service area, and compliance readiness.</w:t>
            </w:r>
          </w:p>
        </w:tc>
      </w:tr>
      <w:tr>
        <w:tc>
          <w:tcPr>
            <w:tcW w:type="dxa" w:w="1080"/>
            <w:vAlign w:val="top"/>
          </w:tcPr>
          <w:p>
            <w:pPr>
              <w:spacing w:after="0"/>
            </w:pPr>
            <w:r>
              <w:rPr>
                <w:sz w:val="16"/>
              </w:rPr>
            </w:r>
            <w:r>
              <w:rPr>
                <w:b w:val="0"/>
                <w:sz w:val="16"/>
              </w:rPr>
              <w:t>FR-003</w:t>
            </w:r>
          </w:p>
        </w:tc>
        <w:tc>
          <w:tcPr>
            <w:tcW w:type="dxa" w:w="2232"/>
            <w:vAlign w:val="top"/>
          </w:tcPr>
          <w:p>
            <w:pPr>
              <w:spacing w:after="0"/>
            </w:pPr>
            <w:r>
              <w:rPr>
                <w:sz w:val="16"/>
              </w:rPr>
            </w:r>
            <w:r>
              <w:rPr>
                <w:b w:val="0"/>
                <w:sz w:val="16"/>
              </w:rPr>
              <w:t>Grant profile builder</w:t>
            </w:r>
          </w:p>
        </w:tc>
        <w:tc>
          <w:tcPr>
            <w:tcW w:type="dxa" w:w="6192"/>
            <w:vAlign w:val="top"/>
          </w:tcPr>
          <w:p>
            <w:pPr>
              <w:spacing w:after="0"/>
            </w:pPr>
            <w:r>
              <w:rPr>
                <w:sz w:val="16"/>
              </w:rPr>
            </w:r>
            <w:r>
              <w:rPr>
                <w:b w:val="0"/>
                <w:sz w:val="16"/>
              </w:rPr>
              <w:t>Users can create one or many funding profiles with focus areas, keywords, excluded keywords, eligible locations, applicant type, award range, and cost-share preferences.</w:t>
            </w:r>
          </w:p>
        </w:tc>
      </w:tr>
      <w:tr>
        <w:tc>
          <w:tcPr>
            <w:tcW w:type="dxa" w:w="1080"/>
            <w:vAlign w:val="top"/>
          </w:tcPr>
          <w:p>
            <w:pPr>
              <w:spacing w:after="0"/>
            </w:pPr>
            <w:r>
              <w:rPr>
                <w:sz w:val="16"/>
              </w:rPr>
            </w:r>
            <w:r>
              <w:rPr>
                <w:b w:val="0"/>
                <w:sz w:val="16"/>
              </w:rPr>
              <w:t>FR-004</w:t>
            </w:r>
          </w:p>
        </w:tc>
        <w:tc>
          <w:tcPr>
            <w:tcW w:type="dxa" w:w="2232"/>
            <w:vAlign w:val="top"/>
          </w:tcPr>
          <w:p>
            <w:pPr>
              <w:spacing w:after="0"/>
            </w:pPr>
            <w:r>
              <w:rPr>
                <w:sz w:val="16"/>
              </w:rPr>
            </w:r>
            <w:r>
              <w:rPr>
                <w:b w:val="0"/>
                <w:sz w:val="16"/>
              </w:rPr>
              <w:t>Scheduled grant pulls</w:t>
            </w:r>
          </w:p>
        </w:tc>
        <w:tc>
          <w:tcPr>
            <w:tcW w:type="dxa" w:w="6192"/>
            <w:vAlign w:val="top"/>
          </w:tcPr>
          <w:p>
            <w:pPr>
              <w:spacing w:after="0"/>
            </w:pPr>
            <w:r>
              <w:rPr>
                <w:sz w:val="16"/>
              </w:rPr>
            </w:r>
            <w:r>
              <w:rPr>
                <w:b w:val="0"/>
                <w:sz w:val="16"/>
              </w:rPr>
              <w:t>System automatically pulls enabled sources every 12 hours unless source-specific limits require a longer interval.</w:t>
            </w:r>
          </w:p>
        </w:tc>
      </w:tr>
      <w:tr>
        <w:tc>
          <w:tcPr>
            <w:tcW w:type="dxa" w:w="1080"/>
            <w:vAlign w:val="top"/>
          </w:tcPr>
          <w:p>
            <w:pPr>
              <w:spacing w:after="0"/>
            </w:pPr>
            <w:r>
              <w:rPr>
                <w:sz w:val="16"/>
              </w:rPr>
            </w:r>
            <w:r>
              <w:rPr>
                <w:b w:val="0"/>
                <w:sz w:val="16"/>
              </w:rPr>
              <w:t>FR-005</w:t>
            </w:r>
          </w:p>
        </w:tc>
        <w:tc>
          <w:tcPr>
            <w:tcW w:type="dxa" w:w="2232"/>
            <w:vAlign w:val="top"/>
          </w:tcPr>
          <w:p>
            <w:pPr>
              <w:spacing w:after="0"/>
            </w:pPr>
            <w:r>
              <w:rPr>
                <w:sz w:val="16"/>
              </w:rPr>
            </w:r>
            <w:r>
              <w:rPr>
                <w:b w:val="0"/>
                <w:sz w:val="16"/>
              </w:rPr>
              <w:t>On-demand pulls</w:t>
            </w:r>
          </w:p>
        </w:tc>
        <w:tc>
          <w:tcPr>
            <w:tcW w:type="dxa" w:w="6192"/>
            <w:vAlign w:val="top"/>
          </w:tcPr>
          <w:p>
            <w:pPr>
              <w:spacing w:after="0"/>
            </w:pPr>
            <w:r>
              <w:rPr>
                <w:sz w:val="16"/>
              </w:rPr>
            </w:r>
            <w:r>
              <w:rPr>
                <w:b w:val="0"/>
                <w:sz w:val="16"/>
              </w:rPr>
              <w:t>Users can request a fresh pull by profile or keyword; admins can request source-level pulls.</w:t>
            </w:r>
          </w:p>
        </w:tc>
      </w:tr>
      <w:tr>
        <w:tc>
          <w:tcPr>
            <w:tcW w:type="dxa" w:w="1080"/>
            <w:vAlign w:val="top"/>
          </w:tcPr>
          <w:p>
            <w:pPr>
              <w:spacing w:after="0"/>
            </w:pPr>
            <w:r>
              <w:rPr>
                <w:sz w:val="16"/>
              </w:rPr>
            </w:r>
            <w:r>
              <w:rPr>
                <w:b w:val="0"/>
                <w:sz w:val="16"/>
              </w:rPr>
              <w:t>FR-006</w:t>
            </w:r>
          </w:p>
        </w:tc>
        <w:tc>
          <w:tcPr>
            <w:tcW w:type="dxa" w:w="2232"/>
            <w:vAlign w:val="top"/>
          </w:tcPr>
          <w:p>
            <w:pPr>
              <w:spacing w:after="0"/>
            </w:pPr>
            <w:r>
              <w:rPr>
                <w:sz w:val="16"/>
              </w:rPr>
            </w:r>
            <w:r>
              <w:rPr>
                <w:b w:val="0"/>
                <w:sz w:val="16"/>
              </w:rPr>
              <w:t>Source connectors</w:t>
            </w:r>
          </w:p>
        </w:tc>
        <w:tc>
          <w:tcPr>
            <w:tcW w:type="dxa" w:w="6192"/>
            <w:vAlign w:val="top"/>
          </w:tcPr>
          <w:p>
            <w:pPr>
              <w:spacing w:after="0"/>
            </w:pPr>
            <w:r>
              <w:rPr>
                <w:sz w:val="16"/>
              </w:rPr>
            </w:r>
            <w:r>
              <w:rPr>
                <w:b w:val="0"/>
                <w:sz w:val="16"/>
              </w:rPr>
              <w:t>Each source connector supports discover, detail fetch, normalize, health check, retry, and rate-limit behavior.</w:t>
            </w:r>
          </w:p>
        </w:tc>
      </w:tr>
      <w:tr>
        <w:tc>
          <w:tcPr>
            <w:tcW w:type="dxa" w:w="1080"/>
            <w:vAlign w:val="top"/>
          </w:tcPr>
          <w:p>
            <w:pPr>
              <w:spacing w:after="0"/>
            </w:pPr>
            <w:r>
              <w:rPr>
                <w:sz w:val="16"/>
              </w:rPr>
            </w:r>
            <w:r>
              <w:rPr>
                <w:b w:val="0"/>
                <w:sz w:val="16"/>
              </w:rPr>
              <w:t>FR-007</w:t>
            </w:r>
          </w:p>
        </w:tc>
        <w:tc>
          <w:tcPr>
            <w:tcW w:type="dxa" w:w="2232"/>
            <w:vAlign w:val="top"/>
          </w:tcPr>
          <w:p>
            <w:pPr>
              <w:spacing w:after="0"/>
            </w:pPr>
            <w:r>
              <w:rPr>
                <w:sz w:val="16"/>
              </w:rPr>
            </w:r>
            <w:r>
              <w:rPr>
                <w:b w:val="0"/>
                <w:sz w:val="16"/>
              </w:rPr>
              <w:t>Raw data storage</w:t>
            </w:r>
          </w:p>
        </w:tc>
        <w:tc>
          <w:tcPr>
            <w:tcW w:type="dxa" w:w="6192"/>
            <w:vAlign w:val="top"/>
          </w:tcPr>
          <w:p>
            <w:pPr>
              <w:spacing w:after="0"/>
            </w:pPr>
            <w:r>
              <w:rPr>
                <w:sz w:val="16"/>
              </w:rPr>
            </w:r>
            <w:r>
              <w:rPr>
                <w:b w:val="0"/>
                <w:sz w:val="16"/>
              </w:rPr>
              <w:t>System stores raw source payloads and fetched documents before normalization.</w:t>
            </w:r>
          </w:p>
        </w:tc>
      </w:tr>
      <w:tr>
        <w:tc>
          <w:tcPr>
            <w:tcW w:type="dxa" w:w="1080"/>
            <w:vAlign w:val="top"/>
          </w:tcPr>
          <w:p>
            <w:pPr>
              <w:spacing w:after="0"/>
            </w:pPr>
            <w:r>
              <w:rPr>
                <w:sz w:val="16"/>
              </w:rPr>
            </w:r>
            <w:r>
              <w:rPr>
                <w:b w:val="0"/>
                <w:sz w:val="16"/>
              </w:rPr>
              <w:t>FR-008</w:t>
            </w:r>
          </w:p>
        </w:tc>
        <w:tc>
          <w:tcPr>
            <w:tcW w:type="dxa" w:w="2232"/>
            <w:vAlign w:val="top"/>
          </w:tcPr>
          <w:p>
            <w:pPr>
              <w:spacing w:after="0"/>
            </w:pPr>
            <w:r>
              <w:rPr>
                <w:sz w:val="16"/>
              </w:rPr>
            </w:r>
            <w:r>
              <w:rPr>
                <w:b w:val="0"/>
                <w:sz w:val="16"/>
              </w:rPr>
              <w:t>Normalized grant records</w:t>
            </w:r>
          </w:p>
        </w:tc>
        <w:tc>
          <w:tcPr>
            <w:tcW w:type="dxa" w:w="6192"/>
            <w:vAlign w:val="top"/>
          </w:tcPr>
          <w:p>
            <w:pPr>
              <w:spacing w:after="0"/>
            </w:pPr>
            <w:r>
              <w:rPr>
                <w:sz w:val="16"/>
              </w:rPr>
            </w:r>
            <w:r>
              <w:rPr>
                <w:b w:val="0"/>
                <w:sz w:val="16"/>
              </w:rPr>
              <w:t>System maps all sources into one canonical grant model.</w:t>
            </w:r>
          </w:p>
        </w:tc>
      </w:tr>
      <w:tr>
        <w:tc>
          <w:tcPr>
            <w:tcW w:type="dxa" w:w="1080"/>
            <w:vAlign w:val="top"/>
          </w:tcPr>
          <w:p>
            <w:pPr>
              <w:spacing w:after="0"/>
            </w:pPr>
            <w:r>
              <w:rPr>
                <w:sz w:val="16"/>
              </w:rPr>
            </w:r>
            <w:r>
              <w:rPr>
                <w:b w:val="0"/>
                <w:sz w:val="16"/>
              </w:rPr>
              <w:t>FR-009</w:t>
            </w:r>
          </w:p>
        </w:tc>
        <w:tc>
          <w:tcPr>
            <w:tcW w:type="dxa" w:w="2232"/>
            <w:vAlign w:val="top"/>
          </w:tcPr>
          <w:p>
            <w:pPr>
              <w:spacing w:after="0"/>
            </w:pPr>
            <w:r>
              <w:rPr>
                <w:sz w:val="16"/>
              </w:rPr>
            </w:r>
            <w:r>
              <w:rPr>
                <w:b w:val="0"/>
                <w:sz w:val="16"/>
              </w:rPr>
              <w:t>Deduplication</w:t>
            </w:r>
          </w:p>
        </w:tc>
        <w:tc>
          <w:tcPr>
            <w:tcW w:type="dxa" w:w="6192"/>
            <w:vAlign w:val="top"/>
          </w:tcPr>
          <w:p>
            <w:pPr>
              <w:spacing w:after="0"/>
            </w:pPr>
            <w:r>
              <w:rPr>
                <w:sz w:val="16"/>
              </w:rPr>
            </w:r>
            <w:r>
              <w:rPr>
                <w:b w:val="0"/>
                <w:sz w:val="16"/>
              </w:rPr>
              <w:t>System merges likely duplicate grants while preserving all source references.</w:t>
            </w:r>
          </w:p>
        </w:tc>
      </w:tr>
      <w:tr>
        <w:tc>
          <w:tcPr>
            <w:tcW w:type="dxa" w:w="1080"/>
            <w:vAlign w:val="top"/>
          </w:tcPr>
          <w:p>
            <w:pPr>
              <w:spacing w:after="0"/>
            </w:pPr>
            <w:r>
              <w:rPr>
                <w:sz w:val="16"/>
              </w:rPr>
            </w:r>
            <w:r>
              <w:rPr>
                <w:b w:val="0"/>
                <w:sz w:val="16"/>
              </w:rPr>
              <w:t>FR-010</w:t>
            </w:r>
          </w:p>
        </w:tc>
        <w:tc>
          <w:tcPr>
            <w:tcW w:type="dxa" w:w="2232"/>
            <w:vAlign w:val="top"/>
          </w:tcPr>
          <w:p>
            <w:pPr>
              <w:spacing w:after="0"/>
            </w:pPr>
            <w:r>
              <w:rPr>
                <w:sz w:val="16"/>
              </w:rPr>
            </w:r>
            <w:r>
              <w:rPr>
                <w:b w:val="0"/>
                <w:sz w:val="16"/>
              </w:rPr>
              <w:t>Private funder intelligence</w:t>
            </w:r>
          </w:p>
        </w:tc>
        <w:tc>
          <w:tcPr>
            <w:tcW w:type="dxa" w:w="6192"/>
            <w:vAlign w:val="top"/>
          </w:tcPr>
          <w:p>
            <w:pPr>
              <w:spacing w:after="0"/>
            </w:pPr>
            <w:r>
              <w:rPr>
                <w:sz w:val="16"/>
              </w:rPr>
            </w:r>
            <w:r>
              <w:rPr>
                <w:b w:val="0"/>
                <w:sz w:val="16"/>
              </w:rPr>
              <w:t>System monitors public and authorized private funder sources for AI, tech, social media, journalism, cybersecurity, and digital rights funding.</w:t>
            </w:r>
          </w:p>
        </w:tc>
      </w:tr>
      <w:tr>
        <w:tc>
          <w:tcPr>
            <w:tcW w:type="dxa" w:w="1080"/>
            <w:vAlign w:val="top"/>
          </w:tcPr>
          <w:p>
            <w:pPr>
              <w:spacing w:after="0"/>
            </w:pPr>
            <w:r>
              <w:rPr>
                <w:sz w:val="16"/>
              </w:rPr>
            </w:r>
            <w:r>
              <w:rPr>
                <w:b w:val="0"/>
                <w:sz w:val="16"/>
              </w:rPr>
              <w:t>FR-011</w:t>
            </w:r>
          </w:p>
        </w:tc>
        <w:tc>
          <w:tcPr>
            <w:tcW w:type="dxa" w:w="2232"/>
            <w:vAlign w:val="top"/>
          </w:tcPr>
          <w:p>
            <w:pPr>
              <w:spacing w:after="0"/>
            </w:pPr>
            <w:r>
              <w:rPr>
                <w:sz w:val="16"/>
              </w:rPr>
            </w:r>
            <w:r>
              <w:rPr>
                <w:b w:val="0"/>
                <w:sz w:val="16"/>
              </w:rPr>
              <w:t>Opportunity detection</w:t>
            </w:r>
          </w:p>
        </w:tc>
        <w:tc>
          <w:tcPr>
            <w:tcW w:type="dxa" w:w="6192"/>
            <w:vAlign w:val="top"/>
          </w:tcPr>
          <w:p>
            <w:pPr>
              <w:spacing w:after="0"/>
            </w:pPr>
            <w:r>
              <w:rPr>
                <w:sz w:val="16"/>
              </w:rPr>
            </w:r>
            <w:r>
              <w:rPr>
                <w:b w:val="0"/>
                <w:sz w:val="16"/>
              </w:rPr>
              <w:t>System classifies pages as grant, fellowship, RFP, prize, accelerator, cloud credits, technical assistance, prospect, or not an opportunity.</w:t>
            </w:r>
          </w:p>
        </w:tc>
      </w:tr>
      <w:tr>
        <w:tc>
          <w:tcPr>
            <w:tcW w:type="dxa" w:w="1080"/>
            <w:vAlign w:val="top"/>
          </w:tcPr>
          <w:p>
            <w:pPr>
              <w:spacing w:after="0"/>
            </w:pPr>
            <w:r>
              <w:rPr>
                <w:sz w:val="16"/>
              </w:rPr>
            </w:r>
            <w:r>
              <w:rPr>
                <w:b w:val="0"/>
                <w:sz w:val="16"/>
              </w:rPr>
              <w:t>FR-012</w:t>
            </w:r>
          </w:p>
        </w:tc>
        <w:tc>
          <w:tcPr>
            <w:tcW w:type="dxa" w:w="2232"/>
            <w:vAlign w:val="top"/>
          </w:tcPr>
          <w:p>
            <w:pPr>
              <w:spacing w:after="0"/>
            </w:pPr>
            <w:r>
              <w:rPr>
                <w:sz w:val="16"/>
              </w:rPr>
            </w:r>
            <w:r>
              <w:rPr>
                <w:b w:val="0"/>
                <w:sz w:val="16"/>
              </w:rPr>
              <w:t>Topic classification</w:t>
            </w:r>
          </w:p>
        </w:tc>
        <w:tc>
          <w:tcPr>
            <w:tcW w:type="dxa" w:w="6192"/>
            <w:vAlign w:val="top"/>
          </w:tcPr>
          <w:p>
            <w:pPr>
              <w:spacing w:after="0"/>
            </w:pPr>
            <w:r>
              <w:rPr>
                <w:sz w:val="16"/>
              </w:rPr>
            </w:r>
            <w:r>
              <w:rPr>
                <w:b w:val="0"/>
                <w:sz w:val="16"/>
              </w:rPr>
              <w:t>System scores each opportunity for AI, technology, social media, journalism/media, misinformation, digital rights, cybersecurity, and open source relevance.</w:t>
            </w:r>
          </w:p>
        </w:tc>
      </w:tr>
      <w:tr>
        <w:tc>
          <w:tcPr>
            <w:tcW w:type="dxa" w:w="1080"/>
            <w:vAlign w:val="top"/>
          </w:tcPr>
          <w:p>
            <w:pPr>
              <w:spacing w:after="0"/>
            </w:pPr>
            <w:r>
              <w:rPr>
                <w:sz w:val="16"/>
              </w:rPr>
            </w:r>
            <w:r>
              <w:rPr>
                <w:b w:val="0"/>
                <w:sz w:val="16"/>
              </w:rPr>
              <w:t>FR-013</w:t>
            </w:r>
          </w:p>
        </w:tc>
        <w:tc>
          <w:tcPr>
            <w:tcW w:type="dxa" w:w="2232"/>
            <w:vAlign w:val="top"/>
          </w:tcPr>
          <w:p>
            <w:pPr>
              <w:spacing w:after="0"/>
            </w:pPr>
            <w:r>
              <w:rPr>
                <w:sz w:val="16"/>
              </w:rPr>
            </w:r>
            <w:r>
              <w:rPr>
                <w:b w:val="0"/>
                <w:sz w:val="16"/>
              </w:rPr>
              <w:t>Search and filtering</w:t>
            </w:r>
          </w:p>
        </w:tc>
        <w:tc>
          <w:tcPr>
            <w:tcW w:type="dxa" w:w="6192"/>
            <w:vAlign w:val="top"/>
          </w:tcPr>
          <w:p>
            <w:pPr>
              <w:spacing w:after="0"/>
            </w:pPr>
            <w:r>
              <w:rPr>
                <w:sz w:val="16"/>
              </w:rPr>
            </w:r>
            <w:r>
              <w:rPr>
                <w:b w:val="0"/>
                <w:sz w:val="16"/>
              </w:rPr>
              <w:t>Users can search by keyword, topic, funder type, source, location, amount, deadline, applicant type, opportunity type, and match score.</w:t>
            </w:r>
          </w:p>
        </w:tc>
      </w:tr>
      <w:tr>
        <w:tc>
          <w:tcPr>
            <w:tcW w:type="dxa" w:w="1080"/>
            <w:vAlign w:val="top"/>
          </w:tcPr>
          <w:p>
            <w:pPr>
              <w:spacing w:after="0"/>
            </w:pPr>
            <w:r>
              <w:rPr>
                <w:sz w:val="16"/>
              </w:rPr>
            </w:r>
            <w:r>
              <w:rPr>
                <w:b w:val="0"/>
                <w:sz w:val="16"/>
              </w:rPr>
              <w:t>FR-014</w:t>
            </w:r>
          </w:p>
        </w:tc>
        <w:tc>
          <w:tcPr>
            <w:tcW w:type="dxa" w:w="2232"/>
            <w:vAlign w:val="top"/>
          </w:tcPr>
          <w:p>
            <w:pPr>
              <w:spacing w:after="0"/>
            </w:pPr>
            <w:r>
              <w:rPr>
                <w:sz w:val="16"/>
              </w:rPr>
            </w:r>
            <w:r>
              <w:rPr>
                <w:b w:val="0"/>
                <w:sz w:val="16"/>
              </w:rPr>
              <w:t>Match scoring</w:t>
            </w:r>
          </w:p>
        </w:tc>
        <w:tc>
          <w:tcPr>
            <w:tcW w:type="dxa" w:w="6192"/>
            <w:vAlign w:val="top"/>
          </w:tcPr>
          <w:p>
            <w:pPr>
              <w:spacing w:after="0"/>
            </w:pPr>
            <w:r>
              <w:rPr>
                <w:sz w:val="16"/>
              </w:rPr>
            </w:r>
            <w:r>
              <w:rPr>
                <w:b w:val="0"/>
                <w:sz w:val="16"/>
              </w:rPr>
              <w:t>System ranks grants by eligibility, mission/topic fit, geography, deadline, amount, readiness, application accessibility, and source confidence.</w:t>
            </w:r>
          </w:p>
        </w:tc>
      </w:tr>
      <w:tr>
        <w:tc>
          <w:tcPr>
            <w:tcW w:type="dxa" w:w="1080"/>
            <w:vAlign w:val="top"/>
          </w:tcPr>
          <w:p>
            <w:pPr>
              <w:spacing w:after="0"/>
            </w:pPr>
            <w:r>
              <w:rPr>
                <w:sz w:val="16"/>
              </w:rPr>
            </w:r>
            <w:r>
              <w:rPr>
                <w:b w:val="0"/>
                <w:sz w:val="16"/>
              </w:rPr>
              <w:t>FR-015</w:t>
            </w:r>
          </w:p>
        </w:tc>
        <w:tc>
          <w:tcPr>
            <w:tcW w:type="dxa" w:w="2232"/>
            <w:vAlign w:val="top"/>
          </w:tcPr>
          <w:p>
            <w:pPr>
              <w:spacing w:after="0"/>
            </w:pPr>
            <w:r>
              <w:rPr>
                <w:sz w:val="16"/>
              </w:rPr>
            </w:r>
            <w:r>
              <w:rPr>
                <w:b w:val="0"/>
                <w:sz w:val="16"/>
              </w:rPr>
              <w:t>Explainable results</w:t>
            </w:r>
          </w:p>
        </w:tc>
        <w:tc>
          <w:tcPr>
            <w:tcW w:type="dxa" w:w="6192"/>
            <w:vAlign w:val="top"/>
          </w:tcPr>
          <w:p>
            <w:pPr>
              <w:spacing w:after="0"/>
            </w:pPr>
            <w:r>
              <w:rPr>
                <w:sz w:val="16"/>
              </w:rPr>
            </w:r>
            <w:r>
              <w:rPr>
                <w:b w:val="0"/>
                <w:sz w:val="16"/>
              </w:rPr>
              <w:t>Each match includes reasons, warnings, disqualifiers, source evidence, and confidence indicators.</w:t>
            </w:r>
          </w:p>
        </w:tc>
      </w:tr>
      <w:tr>
        <w:tc>
          <w:tcPr>
            <w:tcW w:type="dxa" w:w="1080"/>
            <w:vAlign w:val="top"/>
          </w:tcPr>
          <w:p>
            <w:pPr>
              <w:spacing w:after="0"/>
            </w:pPr>
            <w:r>
              <w:rPr>
                <w:sz w:val="16"/>
              </w:rPr>
            </w:r>
            <w:r>
              <w:rPr>
                <w:b w:val="0"/>
                <w:sz w:val="16"/>
              </w:rPr>
              <w:t>FR-016</w:t>
            </w:r>
          </w:p>
        </w:tc>
        <w:tc>
          <w:tcPr>
            <w:tcW w:type="dxa" w:w="2232"/>
            <w:vAlign w:val="top"/>
          </w:tcPr>
          <w:p>
            <w:pPr>
              <w:spacing w:after="0"/>
            </w:pPr>
            <w:r>
              <w:rPr>
                <w:sz w:val="16"/>
              </w:rPr>
            </w:r>
            <w:r>
              <w:rPr>
                <w:b w:val="0"/>
                <w:sz w:val="16"/>
              </w:rPr>
              <w:t>Save and track</w:t>
            </w:r>
          </w:p>
        </w:tc>
        <w:tc>
          <w:tcPr>
            <w:tcW w:type="dxa" w:w="6192"/>
            <w:vAlign w:val="top"/>
          </w:tcPr>
          <w:p>
            <w:pPr>
              <w:spacing w:after="0"/>
            </w:pPr>
            <w:r>
              <w:rPr>
                <w:sz w:val="16"/>
              </w:rPr>
            </w:r>
            <w:r>
              <w:rPr>
                <w:b w:val="0"/>
                <w:sz w:val="16"/>
              </w:rPr>
              <w:t>Users can save grants and move them through application statuses.</w:t>
            </w:r>
          </w:p>
        </w:tc>
      </w:tr>
      <w:tr>
        <w:tc>
          <w:tcPr>
            <w:tcW w:type="dxa" w:w="1080"/>
            <w:vAlign w:val="top"/>
          </w:tcPr>
          <w:p>
            <w:pPr>
              <w:spacing w:after="0"/>
            </w:pPr>
            <w:r>
              <w:rPr>
                <w:sz w:val="16"/>
              </w:rPr>
            </w:r>
            <w:r>
              <w:rPr>
                <w:b w:val="0"/>
                <w:sz w:val="16"/>
              </w:rPr>
              <w:t>FR-017</w:t>
            </w:r>
          </w:p>
        </w:tc>
        <w:tc>
          <w:tcPr>
            <w:tcW w:type="dxa" w:w="2232"/>
            <w:vAlign w:val="top"/>
          </w:tcPr>
          <w:p>
            <w:pPr>
              <w:spacing w:after="0"/>
            </w:pPr>
            <w:r>
              <w:rPr>
                <w:sz w:val="16"/>
              </w:rPr>
            </w:r>
            <w:r>
              <w:rPr>
                <w:b w:val="0"/>
                <w:sz w:val="16"/>
              </w:rPr>
              <w:t>Notifications</w:t>
            </w:r>
          </w:p>
        </w:tc>
        <w:tc>
          <w:tcPr>
            <w:tcW w:type="dxa" w:w="6192"/>
            <w:vAlign w:val="top"/>
          </w:tcPr>
          <w:p>
            <w:pPr>
              <w:spacing w:after="0"/>
            </w:pPr>
            <w:r>
              <w:rPr>
                <w:sz w:val="16"/>
              </w:rPr>
            </w:r>
            <w:r>
              <w:rPr>
                <w:b w:val="0"/>
                <w:sz w:val="16"/>
              </w:rPr>
              <w:t>System alerts users for new matches, deadline reminders, grant updates, and saved-search matches.</w:t>
            </w:r>
          </w:p>
        </w:tc>
      </w:tr>
      <w:tr>
        <w:tc>
          <w:tcPr>
            <w:tcW w:type="dxa" w:w="1080"/>
            <w:vAlign w:val="top"/>
          </w:tcPr>
          <w:p>
            <w:pPr>
              <w:spacing w:after="0"/>
            </w:pPr>
            <w:r>
              <w:rPr>
                <w:sz w:val="16"/>
              </w:rPr>
            </w:r>
            <w:r>
              <w:rPr>
                <w:b w:val="0"/>
                <w:sz w:val="16"/>
              </w:rPr>
              <w:t>FR-018</w:t>
            </w:r>
          </w:p>
        </w:tc>
        <w:tc>
          <w:tcPr>
            <w:tcW w:type="dxa" w:w="2232"/>
            <w:vAlign w:val="top"/>
          </w:tcPr>
          <w:p>
            <w:pPr>
              <w:spacing w:after="0"/>
            </w:pPr>
            <w:r>
              <w:rPr>
                <w:sz w:val="16"/>
              </w:rPr>
            </w:r>
            <w:r>
              <w:rPr>
                <w:b w:val="0"/>
                <w:sz w:val="16"/>
              </w:rPr>
              <w:t>Admin source registry</w:t>
            </w:r>
          </w:p>
        </w:tc>
        <w:tc>
          <w:tcPr>
            <w:tcW w:type="dxa" w:w="6192"/>
            <w:vAlign w:val="top"/>
          </w:tcPr>
          <w:p>
            <w:pPr>
              <w:spacing w:after="0"/>
            </w:pPr>
            <w:r>
              <w:rPr>
                <w:sz w:val="16"/>
              </w:rPr>
            </w:r>
            <w:r>
              <w:rPr>
                <w:b w:val="0"/>
                <w:sz w:val="16"/>
              </w:rPr>
              <w:t>Admins can add, edit, test, enable, disable, and schedule sources.</w:t>
            </w:r>
          </w:p>
        </w:tc>
      </w:tr>
      <w:tr>
        <w:tc>
          <w:tcPr>
            <w:tcW w:type="dxa" w:w="1080"/>
            <w:vAlign w:val="top"/>
          </w:tcPr>
          <w:p>
            <w:pPr>
              <w:spacing w:after="0"/>
            </w:pPr>
            <w:r>
              <w:rPr>
                <w:sz w:val="16"/>
              </w:rPr>
            </w:r>
            <w:r>
              <w:rPr>
                <w:b w:val="0"/>
                <w:sz w:val="16"/>
              </w:rPr>
              <w:t>FR-019</w:t>
            </w:r>
          </w:p>
        </w:tc>
        <w:tc>
          <w:tcPr>
            <w:tcW w:type="dxa" w:w="2232"/>
            <w:vAlign w:val="top"/>
          </w:tcPr>
          <w:p>
            <w:pPr>
              <w:spacing w:after="0"/>
            </w:pPr>
            <w:r>
              <w:rPr>
                <w:sz w:val="16"/>
              </w:rPr>
            </w:r>
            <w:r>
              <w:rPr>
                <w:b w:val="0"/>
                <w:sz w:val="16"/>
              </w:rPr>
              <w:t>Admin review queue</w:t>
            </w:r>
          </w:p>
        </w:tc>
        <w:tc>
          <w:tcPr>
            <w:tcW w:type="dxa" w:w="6192"/>
            <w:vAlign w:val="top"/>
          </w:tcPr>
          <w:p>
            <w:pPr>
              <w:spacing w:after="0"/>
            </w:pPr>
            <w:r>
              <w:rPr>
                <w:sz w:val="16"/>
              </w:rPr>
            </w:r>
            <w:r>
              <w:rPr>
                <w:b w:val="0"/>
                <w:sz w:val="16"/>
              </w:rPr>
              <w:t>Admins can review low-confidence extractions, duplicates, missing deadlines, and compliance warnings.</w:t>
            </w:r>
          </w:p>
        </w:tc>
      </w:tr>
      <w:tr>
        <w:tc>
          <w:tcPr>
            <w:tcW w:type="dxa" w:w="1080"/>
            <w:vAlign w:val="top"/>
          </w:tcPr>
          <w:p>
            <w:pPr>
              <w:spacing w:after="0"/>
            </w:pPr>
            <w:r>
              <w:rPr>
                <w:sz w:val="16"/>
              </w:rPr>
            </w:r>
            <w:r>
              <w:rPr>
                <w:b w:val="0"/>
                <w:sz w:val="16"/>
              </w:rPr>
              <w:t>FR-020</w:t>
            </w:r>
          </w:p>
        </w:tc>
        <w:tc>
          <w:tcPr>
            <w:tcW w:type="dxa" w:w="2232"/>
            <w:vAlign w:val="top"/>
          </w:tcPr>
          <w:p>
            <w:pPr>
              <w:spacing w:after="0"/>
            </w:pPr>
            <w:r>
              <w:rPr>
                <w:sz w:val="16"/>
              </w:rPr>
            </w:r>
            <w:r>
              <w:rPr>
                <w:b w:val="0"/>
                <w:sz w:val="16"/>
              </w:rPr>
              <w:t>Audit logs</w:t>
            </w:r>
          </w:p>
        </w:tc>
        <w:tc>
          <w:tcPr>
            <w:tcW w:type="dxa" w:w="6192"/>
            <w:vAlign w:val="top"/>
          </w:tcPr>
          <w:p>
            <w:pPr>
              <w:spacing w:after="0"/>
            </w:pPr>
            <w:r>
              <w:rPr>
                <w:sz w:val="16"/>
              </w:rPr>
            </w:r>
            <w:r>
              <w:rPr>
                <w:b w:val="0"/>
                <w:sz w:val="16"/>
              </w:rPr>
              <w:t>System records admin actions, source changes, pull runs, and material data changes.</w:t>
            </w:r>
          </w:p>
        </w:tc>
      </w:tr>
    </w:tbl>
    <w:p/>
    <w:p>
      <w:pPr>
        <w:pStyle w:val="Heading1"/>
      </w:pPr>
      <w:r>
        <w:rPr>
          <w:rFonts w:ascii="Arial" w:hAnsi="Arial"/>
        </w:rPr>
        <w:t>6. Nonfunctional Requirements</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160"/>
            <w:shd w:fill="D9EAF7"/>
            <w:vAlign w:val="top"/>
          </w:tcPr>
          <w:p>
            <w:pPr>
              <w:spacing w:after="0"/>
            </w:pPr>
            <w:r>
              <w:rPr>
                <w:sz w:val="17"/>
              </w:rPr>
            </w:r>
            <w:r>
              <w:rPr>
                <w:b/>
                <w:color w:val="1C4967"/>
                <w:sz w:val="17"/>
              </w:rPr>
              <w:t>Category</w:t>
            </w:r>
          </w:p>
        </w:tc>
        <w:tc>
          <w:tcPr>
            <w:tcW w:type="dxa" w:w="7343"/>
            <w:shd w:fill="D9EAF7"/>
            <w:vAlign w:val="top"/>
          </w:tcPr>
          <w:p>
            <w:pPr>
              <w:spacing w:after="0"/>
            </w:pPr>
            <w:r>
              <w:rPr>
                <w:sz w:val="17"/>
              </w:rPr>
            </w:r>
            <w:r>
              <w:rPr>
                <w:b/>
                <w:color w:val="1C4967"/>
                <w:sz w:val="17"/>
              </w:rPr>
              <w:t>Requirement</w:t>
            </w:r>
          </w:p>
        </w:tc>
      </w:tr>
      <w:tr>
        <w:tc>
          <w:tcPr>
            <w:tcW w:type="dxa" w:w="2160"/>
            <w:vAlign w:val="top"/>
          </w:tcPr>
          <w:p>
            <w:pPr>
              <w:spacing w:after="0"/>
            </w:pPr>
            <w:r>
              <w:rPr>
                <w:sz w:val="17"/>
              </w:rPr>
            </w:r>
            <w:r>
              <w:rPr>
                <w:b w:val="0"/>
                <w:sz w:val="17"/>
              </w:rPr>
              <w:t>Freshness</w:t>
            </w:r>
          </w:p>
        </w:tc>
        <w:tc>
          <w:tcPr>
            <w:tcW w:type="dxa" w:w="7343"/>
            <w:vAlign w:val="top"/>
          </w:tcPr>
          <w:p>
            <w:pPr>
              <w:spacing w:after="0"/>
            </w:pPr>
            <w:r>
              <w:rPr>
                <w:sz w:val="17"/>
              </w:rPr>
            </w:r>
            <w:r>
              <w:rPr>
                <w:b w:val="0"/>
                <w:sz w:val="17"/>
              </w:rPr>
              <w:t>Default scheduled pull cadence is every 12 hours. High-value private/RSS sources may pull every 6 hours if permitted. Historical enrichment can run weekly/monthly.</w:t>
            </w:r>
          </w:p>
        </w:tc>
      </w:tr>
      <w:tr>
        <w:tc>
          <w:tcPr>
            <w:tcW w:type="dxa" w:w="2160"/>
            <w:vAlign w:val="top"/>
          </w:tcPr>
          <w:p>
            <w:pPr>
              <w:spacing w:after="0"/>
            </w:pPr>
            <w:r>
              <w:rPr>
                <w:sz w:val="17"/>
              </w:rPr>
            </w:r>
            <w:r>
              <w:rPr>
                <w:b w:val="0"/>
                <w:sz w:val="17"/>
              </w:rPr>
              <w:t>Performance</w:t>
            </w:r>
          </w:p>
        </w:tc>
        <w:tc>
          <w:tcPr>
            <w:tcW w:type="dxa" w:w="7343"/>
            <w:vAlign w:val="top"/>
          </w:tcPr>
          <w:p>
            <w:pPr>
              <w:spacing w:after="0"/>
            </w:pPr>
            <w:r>
              <w:rPr>
                <w:sz w:val="17"/>
              </w:rPr>
            </w:r>
            <w:r>
              <w:rPr>
                <w:b w:val="0"/>
                <w:sz w:val="17"/>
              </w:rPr>
              <w:t>Grant search should return results in under 2 seconds for common queries. Grant detail pages should render cached normalized data immediately.</w:t>
            </w:r>
          </w:p>
        </w:tc>
      </w:tr>
      <w:tr>
        <w:tc>
          <w:tcPr>
            <w:tcW w:type="dxa" w:w="2160"/>
            <w:vAlign w:val="top"/>
          </w:tcPr>
          <w:p>
            <w:pPr>
              <w:spacing w:after="0"/>
            </w:pPr>
            <w:r>
              <w:rPr>
                <w:sz w:val="17"/>
              </w:rPr>
            </w:r>
            <w:r>
              <w:rPr>
                <w:b w:val="0"/>
                <w:sz w:val="17"/>
              </w:rPr>
              <w:t>Scalability</w:t>
            </w:r>
          </w:p>
        </w:tc>
        <w:tc>
          <w:tcPr>
            <w:tcW w:type="dxa" w:w="7343"/>
            <w:vAlign w:val="top"/>
          </w:tcPr>
          <w:p>
            <w:pPr>
              <w:spacing w:after="0"/>
            </w:pPr>
            <w:r>
              <w:rPr>
                <w:sz w:val="17"/>
              </w:rPr>
            </w:r>
            <w:r>
              <w:rPr>
                <w:b w:val="0"/>
                <w:sz w:val="17"/>
              </w:rPr>
              <w:t>Architecture must support adding new connectors without rewriting core ingestion. Workers must scale independently from the API.</w:t>
            </w:r>
          </w:p>
        </w:tc>
      </w:tr>
      <w:tr>
        <w:tc>
          <w:tcPr>
            <w:tcW w:type="dxa" w:w="2160"/>
            <w:vAlign w:val="top"/>
          </w:tcPr>
          <w:p>
            <w:pPr>
              <w:spacing w:after="0"/>
            </w:pPr>
            <w:r>
              <w:rPr>
                <w:sz w:val="17"/>
              </w:rPr>
            </w:r>
            <w:r>
              <w:rPr>
                <w:b w:val="0"/>
                <w:sz w:val="17"/>
              </w:rPr>
              <w:t>Reliability</w:t>
            </w:r>
          </w:p>
        </w:tc>
        <w:tc>
          <w:tcPr>
            <w:tcW w:type="dxa" w:w="7343"/>
            <w:vAlign w:val="top"/>
          </w:tcPr>
          <w:p>
            <w:pPr>
              <w:spacing w:after="0"/>
            </w:pPr>
            <w:r>
              <w:rPr>
                <w:sz w:val="17"/>
              </w:rPr>
            </w:r>
            <w:r>
              <w:rPr>
                <w:b w:val="0"/>
                <w:sz w:val="17"/>
              </w:rPr>
              <w:t>Failed source pulls go to retry and dead-letter queues. A single failed source must not block the global pull run.</w:t>
            </w:r>
          </w:p>
        </w:tc>
      </w:tr>
      <w:tr>
        <w:tc>
          <w:tcPr>
            <w:tcW w:type="dxa" w:w="2160"/>
            <w:vAlign w:val="top"/>
          </w:tcPr>
          <w:p>
            <w:pPr>
              <w:spacing w:after="0"/>
            </w:pPr>
            <w:r>
              <w:rPr>
                <w:sz w:val="17"/>
              </w:rPr>
            </w:r>
            <w:r>
              <w:rPr>
                <w:b w:val="0"/>
                <w:sz w:val="17"/>
              </w:rPr>
              <w:t>Traceability</w:t>
            </w:r>
          </w:p>
        </w:tc>
        <w:tc>
          <w:tcPr>
            <w:tcW w:type="dxa" w:w="7343"/>
            <w:vAlign w:val="top"/>
          </w:tcPr>
          <w:p>
            <w:pPr>
              <w:spacing w:after="0"/>
            </w:pPr>
            <w:r>
              <w:rPr>
                <w:sz w:val="17"/>
              </w:rPr>
            </w:r>
            <w:r>
              <w:rPr>
                <w:b w:val="0"/>
                <w:sz w:val="17"/>
              </w:rPr>
              <w:t>Every normalized grant must link to raw source data, source URL, fetched timestamp, and version history.</w:t>
            </w:r>
          </w:p>
        </w:tc>
      </w:tr>
      <w:tr>
        <w:tc>
          <w:tcPr>
            <w:tcW w:type="dxa" w:w="2160"/>
            <w:vAlign w:val="top"/>
          </w:tcPr>
          <w:p>
            <w:pPr>
              <w:spacing w:after="0"/>
            </w:pPr>
            <w:r>
              <w:rPr>
                <w:sz w:val="17"/>
              </w:rPr>
            </w:r>
            <w:r>
              <w:rPr>
                <w:b w:val="0"/>
                <w:sz w:val="17"/>
              </w:rPr>
              <w:t>Security</w:t>
            </w:r>
          </w:p>
        </w:tc>
        <w:tc>
          <w:tcPr>
            <w:tcW w:type="dxa" w:w="7343"/>
            <w:vAlign w:val="top"/>
          </w:tcPr>
          <w:p>
            <w:pPr>
              <w:spacing w:after="0"/>
            </w:pPr>
            <w:r>
              <w:rPr>
                <w:sz w:val="17"/>
              </w:rPr>
            </w:r>
            <w:r>
              <w:rPr>
                <w:b w:val="0"/>
                <w:sz w:val="17"/>
              </w:rPr>
              <w:t>API keys are encrypted. User data is protected by role-based access control. Admin actions are audited.</w:t>
            </w:r>
          </w:p>
        </w:tc>
      </w:tr>
      <w:tr>
        <w:tc>
          <w:tcPr>
            <w:tcW w:type="dxa" w:w="2160"/>
            <w:vAlign w:val="top"/>
          </w:tcPr>
          <w:p>
            <w:pPr>
              <w:spacing w:after="0"/>
            </w:pPr>
            <w:r>
              <w:rPr>
                <w:sz w:val="17"/>
              </w:rPr>
            </w:r>
            <w:r>
              <w:rPr>
                <w:b w:val="0"/>
                <w:sz w:val="17"/>
              </w:rPr>
              <w:t>Compliance</w:t>
            </w:r>
          </w:p>
        </w:tc>
        <w:tc>
          <w:tcPr>
            <w:tcW w:type="dxa" w:w="7343"/>
            <w:vAlign w:val="top"/>
          </w:tcPr>
          <w:p>
            <w:pPr>
              <w:spacing w:after="0"/>
            </w:pPr>
            <w:r>
              <w:rPr>
                <w:sz w:val="17"/>
              </w:rPr>
            </w:r>
            <w:r>
              <w:rPr>
                <w:b w:val="0"/>
                <w:sz w:val="17"/>
              </w:rPr>
              <w:t>Crawler obeys robots.txt, terms of service, rate limits, and license boundaries. No login bypass or disallowed scraping.</w:t>
            </w:r>
          </w:p>
        </w:tc>
      </w:tr>
      <w:tr>
        <w:tc>
          <w:tcPr>
            <w:tcW w:type="dxa" w:w="2160"/>
            <w:vAlign w:val="top"/>
          </w:tcPr>
          <w:p>
            <w:pPr>
              <w:spacing w:after="0"/>
            </w:pPr>
            <w:r>
              <w:rPr>
                <w:sz w:val="17"/>
              </w:rPr>
            </w:r>
            <w:r>
              <w:rPr>
                <w:b w:val="0"/>
                <w:sz w:val="17"/>
              </w:rPr>
              <w:t>Accessibility</w:t>
            </w:r>
          </w:p>
        </w:tc>
        <w:tc>
          <w:tcPr>
            <w:tcW w:type="dxa" w:w="7343"/>
            <w:vAlign w:val="top"/>
          </w:tcPr>
          <w:p>
            <w:pPr>
              <w:spacing w:after="0"/>
            </w:pPr>
            <w:r>
              <w:rPr>
                <w:sz w:val="17"/>
              </w:rPr>
            </w:r>
            <w:r>
              <w:rPr>
                <w:b w:val="0"/>
                <w:sz w:val="17"/>
              </w:rPr>
              <w:t>Design should target WCAG 2.2 AA: keyboard access, readable contrast, labeled controls, responsive layouts, and clear error states.</w:t>
            </w:r>
          </w:p>
        </w:tc>
      </w:tr>
      <w:tr>
        <w:tc>
          <w:tcPr>
            <w:tcW w:type="dxa" w:w="2160"/>
            <w:vAlign w:val="top"/>
          </w:tcPr>
          <w:p>
            <w:pPr>
              <w:spacing w:after="0"/>
            </w:pPr>
            <w:r>
              <w:rPr>
                <w:sz w:val="17"/>
              </w:rPr>
            </w:r>
            <w:r>
              <w:rPr>
                <w:b w:val="0"/>
                <w:sz w:val="17"/>
              </w:rPr>
              <w:t>Explainability</w:t>
            </w:r>
          </w:p>
        </w:tc>
        <w:tc>
          <w:tcPr>
            <w:tcW w:type="dxa" w:w="7343"/>
            <w:vAlign w:val="top"/>
          </w:tcPr>
          <w:p>
            <w:pPr>
              <w:spacing w:after="0"/>
            </w:pPr>
            <w:r>
              <w:rPr>
                <w:sz w:val="17"/>
              </w:rPr>
            </w:r>
            <w:r>
              <w:rPr>
                <w:b w:val="0"/>
                <w:sz w:val="17"/>
              </w:rPr>
              <w:t>Match scores must be backed by reasons, warnings, and disqualifiers.</w:t>
            </w:r>
          </w:p>
        </w:tc>
      </w:tr>
      <w:tr>
        <w:tc>
          <w:tcPr>
            <w:tcW w:type="dxa" w:w="2160"/>
            <w:vAlign w:val="top"/>
          </w:tcPr>
          <w:p>
            <w:pPr>
              <w:spacing w:after="0"/>
            </w:pPr>
            <w:r>
              <w:rPr>
                <w:sz w:val="17"/>
              </w:rPr>
            </w:r>
            <w:r>
              <w:rPr>
                <w:b w:val="0"/>
                <w:sz w:val="17"/>
              </w:rPr>
              <w:t>Maintainability</w:t>
            </w:r>
          </w:p>
        </w:tc>
        <w:tc>
          <w:tcPr>
            <w:tcW w:type="dxa" w:w="7343"/>
            <w:vAlign w:val="top"/>
          </w:tcPr>
          <w:p>
            <w:pPr>
              <w:spacing w:after="0"/>
            </w:pPr>
            <w:r>
              <w:rPr>
                <w:sz w:val="17"/>
              </w:rPr>
            </w:r>
            <w:r>
              <w:rPr>
                <w:b w:val="0"/>
                <w:sz w:val="17"/>
              </w:rPr>
              <w:t>Use modular connectors, typed schemas, migration-managed data models, and versioned classifiers.</w:t>
            </w:r>
          </w:p>
        </w:tc>
      </w:tr>
    </w:tbl>
    <w:p/>
    <w:p>
      <w:pPr>
        <w:pStyle w:val="Heading1"/>
      </w:pPr>
      <w:r>
        <w:rPr>
          <w:rFonts w:ascii="Arial" w:hAnsi="Arial"/>
        </w:rPr>
        <w:t>7. Data Source Strategy</w:t>
      </w:r>
    </w:p>
    <w:p>
      <w:r>
        <w:rPr>
          <w:rFonts w:ascii="Arial" w:hAnsi="Arial"/>
        </w:rPr>
        <w:t>The platform should use a priority order for data ingestion: official APIs first, licensed APIs second, public funder pages third, RSS/newsletters fourth, and carefully reviewed public crawlers fifth. User-submitted leads should go through review before becoming normalized grant records.</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304"/>
            <w:shd w:fill="D9EAF7"/>
            <w:vAlign w:val="top"/>
          </w:tcPr>
          <w:p>
            <w:pPr>
              <w:spacing w:after="0"/>
            </w:pPr>
            <w:r>
              <w:rPr>
                <w:sz w:val="16"/>
              </w:rPr>
            </w:r>
            <w:r>
              <w:rPr>
                <w:b/>
                <w:color w:val="1C4967"/>
                <w:sz w:val="16"/>
              </w:rPr>
              <w:t>Source group</w:t>
            </w:r>
          </w:p>
        </w:tc>
        <w:tc>
          <w:tcPr>
            <w:tcW w:type="dxa" w:w="2880"/>
            <w:shd w:fill="D9EAF7"/>
            <w:vAlign w:val="top"/>
          </w:tcPr>
          <w:p>
            <w:pPr>
              <w:spacing w:after="0"/>
            </w:pPr>
            <w:r>
              <w:rPr>
                <w:sz w:val="16"/>
              </w:rPr>
            </w:r>
            <w:r>
              <w:rPr>
                <w:b/>
                <w:color w:val="1C4967"/>
                <w:sz w:val="16"/>
              </w:rPr>
              <w:t>Purpose</w:t>
            </w:r>
          </w:p>
        </w:tc>
        <w:tc>
          <w:tcPr>
            <w:tcW w:type="dxa" w:w="4320"/>
            <w:shd w:fill="D9EAF7"/>
            <w:vAlign w:val="top"/>
          </w:tcPr>
          <w:p>
            <w:pPr>
              <w:spacing w:after="0"/>
            </w:pPr>
            <w:r>
              <w:rPr>
                <w:sz w:val="16"/>
              </w:rPr>
            </w:r>
            <w:r>
              <w:rPr>
                <w:b/>
                <w:color w:val="1C4967"/>
                <w:sz w:val="16"/>
              </w:rPr>
              <w:t>Implementation note</w:t>
            </w:r>
          </w:p>
        </w:tc>
      </w:tr>
      <w:tr>
        <w:tc>
          <w:tcPr>
            <w:tcW w:type="dxa" w:w="2304"/>
            <w:vAlign w:val="top"/>
          </w:tcPr>
          <w:p>
            <w:pPr>
              <w:spacing w:after="0"/>
            </w:pPr>
            <w:r>
              <w:rPr>
                <w:sz w:val="16"/>
              </w:rPr>
            </w:r>
            <w:r>
              <w:rPr>
                <w:b w:val="0"/>
                <w:sz w:val="16"/>
              </w:rPr>
              <w:t>Grants.gov</w:t>
            </w:r>
          </w:p>
        </w:tc>
        <w:tc>
          <w:tcPr>
            <w:tcW w:type="dxa" w:w="2880"/>
            <w:vAlign w:val="top"/>
          </w:tcPr>
          <w:p>
            <w:pPr>
              <w:spacing w:after="0"/>
            </w:pPr>
            <w:r>
              <w:rPr>
                <w:sz w:val="16"/>
              </w:rPr>
            </w:r>
            <w:r>
              <w:rPr>
                <w:b w:val="0"/>
                <w:sz w:val="16"/>
              </w:rPr>
              <w:t>Official federal grant opportunities</w:t>
            </w:r>
          </w:p>
        </w:tc>
        <w:tc>
          <w:tcPr>
            <w:tcW w:type="dxa" w:w="4320"/>
            <w:vAlign w:val="top"/>
          </w:tcPr>
          <w:p>
            <w:pPr>
              <w:spacing w:after="0"/>
            </w:pPr>
            <w:r>
              <w:rPr>
                <w:sz w:val="16"/>
              </w:rPr>
            </w:r>
            <w:r>
              <w:rPr>
                <w:b w:val="0"/>
                <w:sz w:val="16"/>
              </w:rPr>
              <w:t>Primary MVP source for federal opportunities. Use search and detail endpoints.</w:t>
            </w:r>
          </w:p>
        </w:tc>
      </w:tr>
      <w:tr>
        <w:tc>
          <w:tcPr>
            <w:tcW w:type="dxa" w:w="2304"/>
            <w:vAlign w:val="top"/>
          </w:tcPr>
          <w:p>
            <w:pPr>
              <w:spacing w:after="0"/>
            </w:pPr>
            <w:r>
              <w:rPr>
                <w:sz w:val="16"/>
              </w:rPr>
            </w:r>
            <w:r>
              <w:rPr>
                <w:b w:val="0"/>
                <w:sz w:val="16"/>
              </w:rPr>
              <w:t>SAM.gov Assistance Listings</w:t>
            </w:r>
          </w:p>
        </w:tc>
        <w:tc>
          <w:tcPr>
            <w:tcW w:type="dxa" w:w="2880"/>
            <w:vAlign w:val="top"/>
          </w:tcPr>
          <w:p>
            <w:pPr>
              <w:spacing w:after="0"/>
            </w:pPr>
            <w:r>
              <w:rPr>
                <w:sz w:val="16"/>
              </w:rPr>
            </w:r>
            <w:r>
              <w:rPr>
                <w:b w:val="0"/>
                <w:sz w:val="16"/>
              </w:rPr>
              <w:t>Federal assistance program enrichment</w:t>
            </w:r>
          </w:p>
        </w:tc>
        <w:tc>
          <w:tcPr>
            <w:tcW w:type="dxa" w:w="4320"/>
            <w:vAlign w:val="top"/>
          </w:tcPr>
          <w:p>
            <w:pPr>
              <w:spacing w:after="0"/>
            </w:pPr>
            <w:r>
              <w:rPr>
                <w:sz w:val="16"/>
              </w:rPr>
            </w:r>
            <w:r>
              <w:rPr>
                <w:b w:val="0"/>
                <w:sz w:val="16"/>
              </w:rPr>
              <w:t>Use for program context, applicant types, assistance types, and agency metadata. Requires public API key.</w:t>
            </w:r>
          </w:p>
        </w:tc>
      </w:tr>
      <w:tr>
        <w:tc>
          <w:tcPr>
            <w:tcW w:type="dxa" w:w="2304"/>
            <w:vAlign w:val="top"/>
          </w:tcPr>
          <w:p>
            <w:pPr>
              <w:spacing w:after="0"/>
            </w:pPr>
            <w:r>
              <w:rPr>
                <w:sz w:val="16"/>
              </w:rPr>
            </w:r>
            <w:r>
              <w:rPr>
                <w:b w:val="0"/>
                <w:sz w:val="16"/>
              </w:rPr>
              <w:t>USAspending.gov</w:t>
            </w:r>
          </w:p>
        </w:tc>
        <w:tc>
          <w:tcPr>
            <w:tcW w:type="dxa" w:w="2880"/>
            <w:vAlign w:val="top"/>
          </w:tcPr>
          <w:p>
            <w:pPr>
              <w:spacing w:after="0"/>
            </w:pPr>
            <w:r>
              <w:rPr>
                <w:sz w:val="16"/>
              </w:rPr>
            </w:r>
            <w:r>
              <w:rPr>
                <w:b w:val="0"/>
                <w:sz w:val="16"/>
              </w:rPr>
              <w:t>Award-history enrichment</w:t>
            </w:r>
          </w:p>
        </w:tc>
        <w:tc>
          <w:tcPr>
            <w:tcW w:type="dxa" w:w="4320"/>
            <w:vAlign w:val="top"/>
          </w:tcPr>
          <w:p>
            <w:pPr>
              <w:spacing w:after="0"/>
            </w:pPr>
            <w:r>
              <w:rPr>
                <w:sz w:val="16"/>
              </w:rPr>
            </w:r>
            <w:r>
              <w:rPr>
                <w:b w:val="0"/>
                <w:sz w:val="16"/>
              </w:rPr>
              <w:t>Use for historical award patterns, recipients, agencies, and geographic grant data. Not a live opportunity source.</w:t>
            </w:r>
          </w:p>
        </w:tc>
      </w:tr>
      <w:tr>
        <w:tc>
          <w:tcPr>
            <w:tcW w:type="dxa" w:w="2304"/>
            <w:vAlign w:val="top"/>
          </w:tcPr>
          <w:p>
            <w:pPr>
              <w:spacing w:after="0"/>
            </w:pPr>
            <w:r>
              <w:rPr>
                <w:sz w:val="16"/>
              </w:rPr>
            </w:r>
            <w:r>
              <w:rPr>
                <w:b w:val="0"/>
                <w:sz w:val="16"/>
              </w:rPr>
              <w:t>Candid Grants API</w:t>
            </w:r>
          </w:p>
        </w:tc>
        <w:tc>
          <w:tcPr>
            <w:tcW w:type="dxa" w:w="2880"/>
            <w:vAlign w:val="top"/>
          </w:tcPr>
          <w:p>
            <w:pPr>
              <w:spacing w:after="0"/>
            </w:pPr>
            <w:r>
              <w:rPr>
                <w:sz w:val="16"/>
              </w:rPr>
            </w:r>
            <w:r>
              <w:rPr>
                <w:b w:val="0"/>
                <w:sz w:val="16"/>
              </w:rPr>
              <w:t>Private foundation grant history and funder intelligence</w:t>
            </w:r>
          </w:p>
        </w:tc>
        <w:tc>
          <w:tcPr>
            <w:tcW w:type="dxa" w:w="4320"/>
            <w:vAlign w:val="top"/>
          </w:tcPr>
          <w:p>
            <w:pPr>
              <w:spacing w:after="0"/>
            </w:pPr>
            <w:r>
              <w:rPr>
                <w:sz w:val="16"/>
              </w:rPr>
            </w:r>
            <w:r>
              <w:rPr>
                <w:b w:val="0"/>
                <w:sz w:val="16"/>
              </w:rPr>
              <w:t>Licensed API option for funders, recipients, transactions, and funding landscapes.</w:t>
            </w:r>
          </w:p>
        </w:tc>
      </w:tr>
      <w:tr>
        <w:tc>
          <w:tcPr>
            <w:tcW w:type="dxa" w:w="2304"/>
            <w:vAlign w:val="top"/>
          </w:tcPr>
          <w:p>
            <w:pPr>
              <w:spacing w:after="0"/>
            </w:pPr>
            <w:r>
              <w:rPr>
                <w:sz w:val="16"/>
              </w:rPr>
            </w:r>
            <w:r>
              <w:rPr>
                <w:b w:val="0"/>
                <w:sz w:val="16"/>
              </w:rPr>
              <w:t>Instrumentl API</w:t>
            </w:r>
          </w:p>
        </w:tc>
        <w:tc>
          <w:tcPr>
            <w:tcW w:type="dxa" w:w="2880"/>
            <w:vAlign w:val="top"/>
          </w:tcPr>
          <w:p>
            <w:pPr>
              <w:spacing w:after="0"/>
            </w:pPr>
            <w:r>
              <w:rPr>
                <w:sz w:val="16"/>
              </w:rPr>
            </w:r>
            <w:r>
              <w:rPr>
                <w:b w:val="0"/>
                <w:sz w:val="16"/>
              </w:rPr>
              <w:t>Licensed grant/funder workflow data</w:t>
            </w:r>
          </w:p>
        </w:tc>
        <w:tc>
          <w:tcPr>
            <w:tcW w:type="dxa" w:w="4320"/>
            <w:vAlign w:val="top"/>
          </w:tcPr>
          <w:p>
            <w:pPr>
              <w:spacing w:after="0"/>
            </w:pPr>
            <w:r>
              <w:rPr>
                <w:sz w:val="16"/>
              </w:rPr>
            </w:r>
            <w:r>
              <w:rPr>
                <w:b w:val="0"/>
                <w:sz w:val="16"/>
              </w:rPr>
              <w:t>Enterprise/licensed integration for funder data, active opportunities, tasks, and webhooks.</w:t>
            </w:r>
          </w:p>
        </w:tc>
      </w:tr>
      <w:tr>
        <w:tc>
          <w:tcPr>
            <w:tcW w:type="dxa" w:w="2304"/>
            <w:vAlign w:val="top"/>
          </w:tcPr>
          <w:p>
            <w:pPr>
              <w:spacing w:after="0"/>
            </w:pPr>
            <w:r>
              <w:rPr>
                <w:sz w:val="16"/>
              </w:rPr>
            </w:r>
            <w:r>
              <w:rPr>
                <w:b w:val="0"/>
                <w:sz w:val="16"/>
              </w:rPr>
              <w:t>Official private funder pages</w:t>
            </w:r>
          </w:p>
        </w:tc>
        <w:tc>
          <w:tcPr>
            <w:tcW w:type="dxa" w:w="2880"/>
            <w:vAlign w:val="top"/>
          </w:tcPr>
          <w:p>
            <w:pPr>
              <w:spacing w:after="0"/>
            </w:pPr>
            <w:r>
              <w:rPr>
                <w:sz w:val="16"/>
              </w:rPr>
            </w:r>
            <w:r>
              <w:rPr>
                <w:b w:val="0"/>
                <w:sz w:val="16"/>
              </w:rPr>
              <w:t>Live private/corporate opportunities</w:t>
            </w:r>
          </w:p>
        </w:tc>
        <w:tc>
          <w:tcPr>
            <w:tcW w:type="dxa" w:w="4320"/>
            <w:vAlign w:val="top"/>
          </w:tcPr>
          <w:p>
            <w:pPr>
              <w:spacing w:after="0"/>
            </w:pPr>
            <w:r>
              <w:rPr>
                <w:sz w:val="16"/>
              </w:rPr>
            </w:r>
            <w:r>
              <w:rPr>
                <w:b w:val="0"/>
                <w:sz w:val="16"/>
              </w:rPr>
              <w:t>Monitor public opportunity pages, news pages, grant programs, and application links.</w:t>
            </w:r>
          </w:p>
        </w:tc>
      </w:tr>
      <w:tr>
        <w:tc>
          <w:tcPr>
            <w:tcW w:type="dxa" w:w="2304"/>
            <w:vAlign w:val="top"/>
          </w:tcPr>
          <w:p>
            <w:pPr>
              <w:spacing w:after="0"/>
            </w:pPr>
            <w:r>
              <w:rPr>
                <w:sz w:val="16"/>
              </w:rPr>
            </w:r>
            <w:r>
              <w:rPr>
                <w:b w:val="0"/>
                <w:sz w:val="16"/>
              </w:rPr>
              <w:t>Application portals</w:t>
            </w:r>
          </w:p>
        </w:tc>
        <w:tc>
          <w:tcPr>
            <w:tcW w:type="dxa" w:w="2880"/>
            <w:vAlign w:val="top"/>
          </w:tcPr>
          <w:p>
            <w:pPr>
              <w:spacing w:after="0"/>
            </w:pPr>
            <w:r>
              <w:rPr>
                <w:sz w:val="16"/>
              </w:rPr>
            </w:r>
            <w:r>
              <w:rPr>
                <w:b w:val="0"/>
                <w:sz w:val="16"/>
              </w:rPr>
              <w:t>Apply links and metadata</w:t>
            </w:r>
          </w:p>
        </w:tc>
        <w:tc>
          <w:tcPr>
            <w:tcW w:type="dxa" w:w="4320"/>
            <w:vAlign w:val="top"/>
          </w:tcPr>
          <w:p>
            <w:pPr>
              <w:spacing w:after="0"/>
            </w:pPr>
            <w:r>
              <w:rPr>
                <w:sz w:val="16"/>
              </w:rPr>
            </w:r>
            <w:r>
              <w:rPr>
                <w:b w:val="0"/>
                <w:sz w:val="16"/>
              </w:rPr>
              <w:t>Detect portals such as Submittable, Fluxx, Foundant, SmartSimple, WizeHive, SurveyMonkey Apply, Blackbaud, Google Forms, and Typeform.</w:t>
            </w:r>
          </w:p>
        </w:tc>
      </w:tr>
      <w:tr>
        <w:tc>
          <w:tcPr>
            <w:tcW w:type="dxa" w:w="2304"/>
            <w:vAlign w:val="top"/>
          </w:tcPr>
          <w:p>
            <w:pPr>
              <w:spacing w:after="0"/>
            </w:pPr>
            <w:r>
              <w:rPr>
                <w:sz w:val="16"/>
              </w:rPr>
            </w:r>
            <w:r>
              <w:rPr>
                <w:b w:val="0"/>
                <w:sz w:val="16"/>
              </w:rPr>
              <w:t>State/local portals</w:t>
            </w:r>
          </w:p>
        </w:tc>
        <w:tc>
          <w:tcPr>
            <w:tcW w:type="dxa" w:w="2880"/>
            <w:vAlign w:val="top"/>
          </w:tcPr>
          <w:p>
            <w:pPr>
              <w:spacing w:after="0"/>
            </w:pPr>
            <w:r>
              <w:rPr>
                <w:sz w:val="16"/>
              </w:rPr>
            </w:r>
            <w:r>
              <w:rPr>
                <w:b w:val="0"/>
                <w:sz w:val="16"/>
              </w:rPr>
              <w:t>State, city, county opportunities</w:t>
            </w:r>
          </w:p>
        </w:tc>
        <w:tc>
          <w:tcPr>
            <w:tcW w:type="dxa" w:w="4320"/>
            <w:vAlign w:val="top"/>
          </w:tcPr>
          <w:p>
            <w:pPr>
              <w:spacing w:after="0"/>
            </w:pPr>
            <w:r>
              <w:rPr>
                <w:sz w:val="16"/>
              </w:rPr>
            </w:r>
            <w:r>
              <w:rPr>
                <w:b w:val="0"/>
                <w:sz w:val="16"/>
              </w:rPr>
              <w:t>Add by state and region after MVP. Many will require custom connectors or page monitors.</w:t>
            </w:r>
          </w:p>
        </w:tc>
      </w:tr>
      <w:tr>
        <w:tc>
          <w:tcPr>
            <w:tcW w:type="dxa" w:w="2304"/>
            <w:vAlign w:val="top"/>
          </w:tcPr>
          <w:p>
            <w:pPr>
              <w:spacing w:after="0"/>
            </w:pPr>
            <w:r>
              <w:rPr>
                <w:sz w:val="16"/>
              </w:rPr>
            </w:r>
            <w:r>
              <w:rPr>
                <w:b w:val="0"/>
                <w:sz w:val="16"/>
              </w:rPr>
              <w:t>RSS/newsletters</w:t>
            </w:r>
          </w:p>
        </w:tc>
        <w:tc>
          <w:tcPr>
            <w:tcW w:type="dxa" w:w="2880"/>
            <w:vAlign w:val="top"/>
          </w:tcPr>
          <w:p>
            <w:pPr>
              <w:spacing w:after="0"/>
            </w:pPr>
            <w:r>
              <w:rPr>
                <w:sz w:val="16"/>
              </w:rPr>
            </w:r>
            <w:r>
              <w:rPr>
                <w:b w:val="0"/>
                <w:sz w:val="16"/>
              </w:rPr>
              <w:t>Fast discovery of private announcements</w:t>
            </w:r>
          </w:p>
        </w:tc>
        <w:tc>
          <w:tcPr>
            <w:tcW w:type="dxa" w:w="4320"/>
            <w:vAlign w:val="top"/>
          </w:tcPr>
          <w:p>
            <w:pPr>
              <w:spacing w:after="0"/>
            </w:pPr>
            <w:r>
              <w:rPr>
                <w:sz w:val="16"/>
              </w:rPr>
            </w:r>
            <w:r>
              <w:rPr>
                <w:b w:val="0"/>
                <w:sz w:val="16"/>
              </w:rPr>
              <w:t>Monitor funder blogs, AI/social impact newsletters, journalism opportunity feeds, and research-office bulletins.</w:t>
            </w:r>
          </w:p>
        </w:tc>
      </w:tr>
      <w:tr>
        <w:tc>
          <w:tcPr>
            <w:tcW w:type="dxa" w:w="2304"/>
            <w:vAlign w:val="top"/>
          </w:tcPr>
          <w:p>
            <w:pPr>
              <w:spacing w:after="0"/>
            </w:pPr>
            <w:r>
              <w:rPr>
                <w:sz w:val="16"/>
              </w:rPr>
            </w:r>
            <w:r>
              <w:rPr>
                <w:b w:val="0"/>
                <w:sz w:val="16"/>
              </w:rPr>
              <w:t>User-submitted leads</w:t>
            </w:r>
          </w:p>
        </w:tc>
        <w:tc>
          <w:tcPr>
            <w:tcW w:type="dxa" w:w="2880"/>
            <w:vAlign w:val="top"/>
          </w:tcPr>
          <w:p>
            <w:pPr>
              <w:spacing w:after="0"/>
            </w:pPr>
            <w:r>
              <w:rPr>
                <w:sz w:val="16"/>
              </w:rPr>
            </w:r>
            <w:r>
              <w:rPr>
                <w:b w:val="0"/>
                <w:sz w:val="16"/>
              </w:rPr>
              <w:t>Crowdsourced source discovery</w:t>
            </w:r>
          </w:p>
        </w:tc>
        <w:tc>
          <w:tcPr>
            <w:tcW w:type="dxa" w:w="4320"/>
            <w:vAlign w:val="top"/>
          </w:tcPr>
          <w:p>
            <w:pPr>
              <w:spacing w:after="0"/>
            </w:pPr>
            <w:r>
              <w:rPr>
                <w:sz w:val="16"/>
              </w:rPr>
            </w:r>
            <w:r>
              <w:rPr>
                <w:b w:val="0"/>
                <w:sz w:val="16"/>
              </w:rPr>
              <w:t>Users submit links; admins review, classify, and approve into source registry or candidate queue.</w:t>
            </w:r>
          </w:p>
        </w:tc>
      </w:tr>
    </w:tbl>
    <w:p/>
    <w:p>
      <w:pPr>
        <w:pStyle w:val="Heading2"/>
      </w:pPr>
      <w:r>
        <w:rPr>
          <w:rFonts w:ascii="Arial" w:hAnsi="Arial"/>
        </w:rPr>
        <w:t>Source trust tiers</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1944"/>
            <w:shd w:fill="D9EAF7"/>
            <w:vAlign w:val="top"/>
          </w:tcPr>
          <w:p>
            <w:pPr>
              <w:spacing w:after="0"/>
            </w:pPr>
            <w:r>
              <w:rPr>
                <w:sz w:val="16"/>
              </w:rPr>
            </w:r>
            <w:r>
              <w:rPr>
                <w:b/>
                <w:color w:val="1C4967"/>
                <w:sz w:val="16"/>
              </w:rPr>
              <w:t>Tier</w:t>
            </w:r>
          </w:p>
        </w:tc>
        <w:tc>
          <w:tcPr>
            <w:tcW w:type="dxa" w:w="3600"/>
            <w:shd w:fill="D9EAF7"/>
            <w:vAlign w:val="top"/>
          </w:tcPr>
          <w:p>
            <w:pPr>
              <w:spacing w:after="0"/>
            </w:pPr>
            <w:r>
              <w:rPr>
                <w:sz w:val="16"/>
              </w:rPr>
            </w:r>
            <w:r>
              <w:rPr>
                <w:b/>
                <w:color w:val="1C4967"/>
                <w:sz w:val="16"/>
              </w:rPr>
              <w:t>Examples</w:t>
            </w:r>
          </w:p>
        </w:tc>
        <w:tc>
          <w:tcPr>
            <w:tcW w:type="dxa" w:w="3960"/>
            <w:shd w:fill="D9EAF7"/>
            <w:vAlign w:val="top"/>
          </w:tcPr>
          <w:p>
            <w:pPr>
              <w:spacing w:after="0"/>
            </w:pPr>
            <w:r>
              <w:rPr>
                <w:sz w:val="16"/>
              </w:rPr>
            </w:r>
            <w:r>
              <w:rPr>
                <w:b/>
                <w:color w:val="1C4967"/>
                <w:sz w:val="16"/>
              </w:rPr>
              <w:t>Treatment</w:t>
            </w:r>
          </w:p>
        </w:tc>
      </w:tr>
      <w:tr>
        <w:tc>
          <w:tcPr>
            <w:tcW w:type="dxa" w:w="1944"/>
            <w:vAlign w:val="top"/>
          </w:tcPr>
          <w:p>
            <w:pPr>
              <w:spacing w:after="0"/>
            </w:pPr>
            <w:r>
              <w:rPr>
                <w:sz w:val="16"/>
              </w:rPr>
            </w:r>
            <w:r>
              <w:rPr>
                <w:b w:val="0"/>
                <w:sz w:val="16"/>
              </w:rPr>
              <w:t>Tier 1: Official opportunity source</w:t>
            </w:r>
          </w:p>
        </w:tc>
        <w:tc>
          <w:tcPr>
            <w:tcW w:type="dxa" w:w="3600"/>
            <w:vAlign w:val="top"/>
          </w:tcPr>
          <w:p>
            <w:pPr>
              <w:spacing w:after="0"/>
            </w:pPr>
            <w:r>
              <w:rPr>
                <w:sz w:val="16"/>
              </w:rPr>
            </w:r>
            <w:r>
              <w:rPr>
                <w:b w:val="0"/>
                <w:sz w:val="16"/>
              </w:rPr>
              <w:t>Grants.gov, funder official grant page, official foundation application page</w:t>
            </w:r>
          </w:p>
        </w:tc>
        <w:tc>
          <w:tcPr>
            <w:tcW w:type="dxa" w:w="3960"/>
            <w:vAlign w:val="top"/>
          </w:tcPr>
          <w:p>
            <w:pPr>
              <w:spacing w:after="0"/>
            </w:pPr>
            <w:r>
              <w:rPr>
                <w:sz w:val="16"/>
              </w:rPr>
            </w:r>
            <w:r>
              <w:rPr>
                <w:b w:val="0"/>
                <w:sz w:val="16"/>
              </w:rPr>
              <w:t>Highest trust. Use as authoritative where fields conflict.</w:t>
            </w:r>
          </w:p>
        </w:tc>
      </w:tr>
      <w:tr>
        <w:tc>
          <w:tcPr>
            <w:tcW w:type="dxa" w:w="1944"/>
            <w:vAlign w:val="top"/>
          </w:tcPr>
          <w:p>
            <w:pPr>
              <w:spacing w:after="0"/>
            </w:pPr>
            <w:r>
              <w:rPr>
                <w:sz w:val="16"/>
              </w:rPr>
            </w:r>
            <w:r>
              <w:rPr>
                <w:b w:val="0"/>
                <w:sz w:val="16"/>
              </w:rPr>
              <w:t>Tier 2: Official enrichment source</w:t>
            </w:r>
          </w:p>
        </w:tc>
        <w:tc>
          <w:tcPr>
            <w:tcW w:type="dxa" w:w="3600"/>
            <w:vAlign w:val="top"/>
          </w:tcPr>
          <w:p>
            <w:pPr>
              <w:spacing w:after="0"/>
            </w:pPr>
            <w:r>
              <w:rPr>
                <w:sz w:val="16"/>
              </w:rPr>
            </w:r>
            <w:r>
              <w:rPr>
                <w:b w:val="0"/>
                <w:sz w:val="16"/>
              </w:rPr>
              <w:t>SAM.gov assistance listings, USAspending award history, IRS/Form 990-derived data</w:t>
            </w:r>
          </w:p>
        </w:tc>
        <w:tc>
          <w:tcPr>
            <w:tcW w:type="dxa" w:w="3960"/>
            <w:vAlign w:val="top"/>
          </w:tcPr>
          <w:p>
            <w:pPr>
              <w:spacing w:after="0"/>
            </w:pPr>
            <w:r>
              <w:rPr>
                <w:sz w:val="16"/>
              </w:rPr>
            </w:r>
            <w:r>
              <w:rPr>
                <w:b w:val="0"/>
                <w:sz w:val="16"/>
              </w:rPr>
              <w:t>Use for enrichment, eligibility context, and funder history.</w:t>
            </w:r>
          </w:p>
        </w:tc>
      </w:tr>
      <w:tr>
        <w:tc>
          <w:tcPr>
            <w:tcW w:type="dxa" w:w="1944"/>
            <w:vAlign w:val="top"/>
          </w:tcPr>
          <w:p>
            <w:pPr>
              <w:spacing w:after="0"/>
            </w:pPr>
            <w:r>
              <w:rPr>
                <w:sz w:val="16"/>
              </w:rPr>
            </w:r>
            <w:r>
              <w:rPr>
                <w:b w:val="0"/>
                <w:sz w:val="16"/>
              </w:rPr>
              <w:t>Tier 3: Licensed/commercial source</w:t>
            </w:r>
          </w:p>
        </w:tc>
        <w:tc>
          <w:tcPr>
            <w:tcW w:type="dxa" w:w="3600"/>
            <w:vAlign w:val="top"/>
          </w:tcPr>
          <w:p>
            <w:pPr>
              <w:spacing w:after="0"/>
            </w:pPr>
            <w:r>
              <w:rPr>
                <w:sz w:val="16"/>
              </w:rPr>
            </w:r>
            <w:r>
              <w:rPr>
                <w:b w:val="0"/>
                <w:sz w:val="16"/>
              </w:rPr>
              <w:t>Candid, Instrumentl, approved grant data vendors</w:t>
            </w:r>
          </w:p>
        </w:tc>
        <w:tc>
          <w:tcPr>
            <w:tcW w:type="dxa" w:w="3960"/>
            <w:vAlign w:val="top"/>
          </w:tcPr>
          <w:p>
            <w:pPr>
              <w:spacing w:after="0"/>
            </w:pPr>
            <w:r>
              <w:rPr>
                <w:sz w:val="16"/>
              </w:rPr>
            </w:r>
            <w:r>
              <w:rPr>
                <w:b w:val="0"/>
                <w:sz w:val="16"/>
              </w:rPr>
              <w:t>Use according to contract. Store/display only fields permitted by license.</w:t>
            </w:r>
          </w:p>
        </w:tc>
      </w:tr>
      <w:tr>
        <w:tc>
          <w:tcPr>
            <w:tcW w:type="dxa" w:w="1944"/>
            <w:vAlign w:val="top"/>
          </w:tcPr>
          <w:p>
            <w:pPr>
              <w:spacing w:after="0"/>
            </w:pPr>
            <w:r>
              <w:rPr>
                <w:sz w:val="16"/>
              </w:rPr>
            </w:r>
            <w:r>
              <w:rPr>
                <w:b w:val="0"/>
                <w:sz w:val="16"/>
              </w:rPr>
              <w:t>Tier 4: Announcement source</w:t>
            </w:r>
          </w:p>
        </w:tc>
        <w:tc>
          <w:tcPr>
            <w:tcW w:type="dxa" w:w="3600"/>
            <w:vAlign w:val="top"/>
          </w:tcPr>
          <w:p>
            <w:pPr>
              <w:spacing w:after="0"/>
            </w:pPr>
            <w:r>
              <w:rPr>
                <w:sz w:val="16"/>
              </w:rPr>
            </w:r>
            <w:r>
              <w:rPr>
                <w:b w:val="0"/>
                <w:sz w:val="16"/>
              </w:rPr>
              <w:t>Press release, blog, RSS, newsletter, news item</w:t>
            </w:r>
          </w:p>
        </w:tc>
        <w:tc>
          <w:tcPr>
            <w:tcW w:type="dxa" w:w="3960"/>
            <w:vAlign w:val="top"/>
          </w:tcPr>
          <w:p>
            <w:pPr>
              <w:spacing w:after="0"/>
            </w:pPr>
            <w:r>
              <w:rPr>
                <w:sz w:val="16"/>
              </w:rPr>
            </w:r>
            <w:r>
              <w:rPr>
                <w:b w:val="0"/>
                <w:sz w:val="16"/>
              </w:rPr>
              <w:t>Use for discovery. Link user to official application source when available.</w:t>
            </w:r>
          </w:p>
        </w:tc>
      </w:tr>
      <w:tr>
        <w:tc>
          <w:tcPr>
            <w:tcW w:type="dxa" w:w="1944"/>
            <w:vAlign w:val="top"/>
          </w:tcPr>
          <w:p>
            <w:pPr>
              <w:spacing w:after="0"/>
            </w:pPr>
            <w:r>
              <w:rPr>
                <w:sz w:val="16"/>
              </w:rPr>
            </w:r>
            <w:r>
              <w:rPr>
                <w:b w:val="0"/>
                <w:sz w:val="16"/>
              </w:rPr>
              <w:t>Tier 5: Unreviewed lead</w:t>
            </w:r>
          </w:p>
        </w:tc>
        <w:tc>
          <w:tcPr>
            <w:tcW w:type="dxa" w:w="3600"/>
            <w:vAlign w:val="top"/>
          </w:tcPr>
          <w:p>
            <w:pPr>
              <w:spacing w:after="0"/>
            </w:pPr>
            <w:r>
              <w:rPr>
                <w:sz w:val="16"/>
              </w:rPr>
            </w:r>
            <w:r>
              <w:rPr>
                <w:b w:val="0"/>
                <w:sz w:val="16"/>
              </w:rPr>
              <w:t>User-submitted link, unknown blog, scraped candidate</w:t>
            </w:r>
          </w:p>
        </w:tc>
        <w:tc>
          <w:tcPr>
            <w:tcW w:type="dxa" w:w="3960"/>
            <w:vAlign w:val="top"/>
          </w:tcPr>
          <w:p>
            <w:pPr>
              <w:spacing w:after="0"/>
            </w:pPr>
            <w:r>
              <w:rPr>
                <w:sz w:val="16"/>
              </w:rPr>
            </w:r>
            <w:r>
              <w:rPr>
                <w:b w:val="0"/>
                <w:sz w:val="16"/>
              </w:rPr>
              <w:t>Hold in review queue until verified.</w:t>
            </w:r>
          </w:p>
        </w:tc>
      </w:tr>
    </w:tbl>
    <w:p/>
    <w:p>
      <w:pPr>
        <w:pStyle w:val="Heading1"/>
      </w:pPr>
      <w:r>
        <w:rPr>
          <w:rFonts w:ascii="Arial" w:hAnsi="Arial"/>
        </w:rPr>
        <w:t>8. System Architecture</w:t>
      </w:r>
    </w:p>
    <w:p>
      <w:pPr>
        <w:pStyle w:val="Heading2"/>
      </w:pPr>
      <w:r>
        <w:rPr>
          <w:rFonts w:ascii="Arial" w:hAnsi="Arial"/>
        </w:rPr>
        <w:t>Recommended architecture</w:t>
      </w:r>
    </w:p>
    <w:p>
      <w:pPr>
        <w:pStyle w:val="CodeBlock"/>
      </w:pPr>
      <w:r>
        <w:t>User Web App / Admin Console</w:t>
      </w:r>
    </w:p>
    <w:p>
      <w:pPr>
        <w:pStyle w:val="CodeBlock"/>
      </w:pPr>
      <w:r>
        <w:t xml:space="preserve">        |</w:t>
      </w:r>
    </w:p>
    <w:p>
      <w:pPr>
        <w:pStyle w:val="CodeBlock"/>
      </w:pPr>
      <w:r>
        <w:t xml:space="preserve">        v</w:t>
      </w:r>
    </w:p>
    <w:p>
      <w:pPr>
        <w:pStyle w:val="CodeBlock"/>
      </w:pPr>
      <w:r>
        <w:t>Backend API Gateway  ---&gt; Auth Service</w:t>
      </w:r>
    </w:p>
    <w:p>
      <w:pPr>
        <w:pStyle w:val="CodeBlock"/>
      </w:pPr>
      <w:r>
        <w:t xml:space="preserve">        |              ---&gt; Billing/Plan Service (future)</w:t>
      </w:r>
    </w:p>
    <w:p>
      <w:pPr>
        <w:pStyle w:val="CodeBlock"/>
      </w:pPr>
      <w:r>
        <w:t xml:space="preserve">        |</w:t>
      </w:r>
    </w:p>
    <w:p>
      <w:pPr>
        <w:pStyle w:val="CodeBlock"/>
      </w:pPr>
      <w:r>
        <w:t xml:space="preserve">        +-- PostgreSQL: canonical grants, users, profiles, applications</w:t>
      </w:r>
    </w:p>
    <w:p>
      <w:pPr>
        <w:pStyle w:val="CodeBlock"/>
      </w:pPr>
      <w:r>
        <w:t xml:space="preserve">        +-- OpenSearch: full-text search, filters, facets, ranking</w:t>
      </w:r>
    </w:p>
    <w:p>
      <w:pPr>
        <w:pStyle w:val="CodeBlock"/>
      </w:pPr>
      <w:r>
        <w:t xml:space="preserve">        +-- Redis: cache, pull throttles, short-lived job state</w:t>
      </w:r>
    </w:p>
    <w:p>
      <w:pPr>
        <w:pStyle w:val="CodeBlock"/>
      </w:pPr>
      <w:r>
        <w:t xml:space="preserve">        +-- Object Storage: raw JSON, HTML, PDFs, attachments</w:t>
      </w:r>
    </w:p>
    <w:p>
      <w:pPr>
        <w:pStyle w:val="CodeBlock"/>
      </w:pPr>
      <w:r>
        <w:t xml:space="preserve">        +-- Workflow Engine / Queue: Temporal, Celery, BullMQ, SQS, or RabbitMQ</w:t>
      </w:r>
    </w:p>
    <w:p>
      <w:pPr>
        <w:pStyle w:val="CodeBlock"/>
      </w:pPr>
      <w:r>
        <w:t xml:space="preserve">                        |</w:t>
      </w:r>
    </w:p>
    <w:p>
      <w:pPr>
        <w:pStyle w:val="CodeBlock"/>
      </w:pPr>
      <w:r>
        <w:t xml:space="preserve">                        +-- Source API Workers</w:t>
      </w:r>
    </w:p>
    <w:p>
      <w:pPr>
        <w:pStyle w:val="CodeBlock"/>
      </w:pPr>
      <w:r>
        <w:t xml:space="preserve">                        +-- Public Web Crawler Workers</w:t>
      </w:r>
    </w:p>
    <w:p>
      <w:pPr>
        <w:pStyle w:val="CodeBlock"/>
      </w:pPr>
      <w:r>
        <w:t xml:space="preserve">                        +-- Private Funder Intelligence Workers</w:t>
      </w:r>
    </w:p>
    <w:p>
      <w:pPr>
        <w:pStyle w:val="CodeBlock"/>
      </w:pPr>
      <w:r>
        <w:t xml:space="preserve">                        +-- Document Parser Workers</w:t>
      </w:r>
    </w:p>
    <w:p>
      <w:pPr>
        <w:pStyle w:val="CodeBlock"/>
      </w:pPr>
      <w:r>
        <w:t xml:space="preserve">                        +-- Normalizer/Deduper Workers</w:t>
      </w:r>
    </w:p>
    <w:p>
      <w:pPr>
        <w:pStyle w:val="CodeBlock"/>
      </w:pPr>
      <w:r>
        <w:t xml:space="preserve">                        +-- Matching Workers</w:t>
      </w:r>
    </w:p>
    <w:p>
      <w:pPr>
        <w:pStyle w:val="CodeBlock"/>
      </w:pPr>
      <w:r>
        <w:t xml:space="preserve">                        +-- Notification Workers</w:t>
      </w:r>
    </w:p>
    <w:p>
      <w:pPr>
        <w:pStyle w:val="Heading2"/>
      </w:pPr>
      <w:r>
        <w:rPr>
          <w:rFonts w:ascii="Arial" w:hAnsi="Arial"/>
        </w:rPr>
        <w:t>Service responsibilities</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736"/>
            <w:shd w:fill="D9EAF7"/>
            <w:vAlign w:val="top"/>
          </w:tcPr>
          <w:p>
            <w:pPr>
              <w:spacing w:after="0"/>
            </w:pPr>
            <w:r>
              <w:rPr>
                <w:sz w:val="17"/>
              </w:rPr>
            </w:r>
            <w:r>
              <w:rPr>
                <w:b/>
                <w:color w:val="1C4967"/>
                <w:sz w:val="17"/>
              </w:rPr>
              <w:t>Component</w:t>
            </w:r>
          </w:p>
        </w:tc>
        <w:tc>
          <w:tcPr>
            <w:tcW w:type="dxa" w:w="6768"/>
            <w:shd w:fill="D9EAF7"/>
            <w:vAlign w:val="top"/>
          </w:tcPr>
          <w:p>
            <w:pPr>
              <w:spacing w:after="0"/>
            </w:pPr>
            <w:r>
              <w:rPr>
                <w:sz w:val="17"/>
              </w:rPr>
            </w:r>
            <w:r>
              <w:rPr>
                <w:b/>
                <w:color w:val="1C4967"/>
                <w:sz w:val="17"/>
              </w:rPr>
              <w:t>Responsibilities</w:t>
            </w:r>
          </w:p>
        </w:tc>
      </w:tr>
      <w:tr>
        <w:tc>
          <w:tcPr>
            <w:tcW w:type="dxa" w:w="2736"/>
            <w:vAlign w:val="top"/>
          </w:tcPr>
          <w:p>
            <w:pPr>
              <w:spacing w:after="0"/>
            </w:pPr>
            <w:r>
              <w:rPr>
                <w:sz w:val="17"/>
              </w:rPr>
            </w:r>
            <w:r>
              <w:rPr>
                <w:b w:val="0"/>
                <w:sz w:val="17"/>
              </w:rPr>
              <w:t>Web app</w:t>
            </w:r>
          </w:p>
        </w:tc>
        <w:tc>
          <w:tcPr>
            <w:tcW w:type="dxa" w:w="6768"/>
            <w:vAlign w:val="top"/>
          </w:tcPr>
          <w:p>
            <w:pPr>
              <w:spacing w:after="0"/>
            </w:pPr>
            <w:r>
              <w:rPr>
                <w:sz w:val="17"/>
              </w:rPr>
            </w:r>
            <w:r>
              <w:rPr>
                <w:b w:val="0"/>
                <w:sz w:val="17"/>
              </w:rPr>
              <w:t>User-facing product, onboarding, search, dashboards, application tracker, settings, admin UI.</w:t>
            </w:r>
          </w:p>
        </w:tc>
      </w:tr>
      <w:tr>
        <w:tc>
          <w:tcPr>
            <w:tcW w:type="dxa" w:w="2736"/>
            <w:vAlign w:val="top"/>
          </w:tcPr>
          <w:p>
            <w:pPr>
              <w:spacing w:after="0"/>
            </w:pPr>
            <w:r>
              <w:rPr>
                <w:sz w:val="17"/>
              </w:rPr>
            </w:r>
            <w:r>
              <w:rPr>
                <w:b w:val="0"/>
                <w:sz w:val="17"/>
              </w:rPr>
              <w:t>Backend API</w:t>
            </w:r>
          </w:p>
        </w:tc>
        <w:tc>
          <w:tcPr>
            <w:tcW w:type="dxa" w:w="6768"/>
            <w:vAlign w:val="top"/>
          </w:tcPr>
          <w:p>
            <w:pPr>
              <w:spacing w:after="0"/>
            </w:pPr>
            <w:r>
              <w:rPr>
                <w:sz w:val="17"/>
              </w:rPr>
            </w:r>
            <w:r>
              <w:rPr>
                <w:b w:val="0"/>
                <w:sz w:val="17"/>
              </w:rPr>
              <w:t>Authentication, profiles, grants, pulls, saved grants, applications, admin operations, and access control.</w:t>
            </w:r>
          </w:p>
        </w:tc>
      </w:tr>
      <w:tr>
        <w:tc>
          <w:tcPr>
            <w:tcW w:type="dxa" w:w="2736"/>
            <w:vAlign w:val="top"/>
          </w:tcPr>
          <w:p>
            <w:pPr>
              <w:spacing w:after="0"/>
            </w:pPr>
            <w:r>
              <w:rPr>
                <w:sz w:val="17"/>
              </w:rPr>
            </w:r>
            <w:r>
              <w:rPr>
                <w:b w:val="0"/>
                <w:sz w:val="17"/>
              </w:rPr>
              <w:t>Ingestion service</w:t>
            </w:r>
          </w:p>
        </w:tc>
        <w:tc>
          <w:tcPr>
            <w:tcW w:type="dxa" w:w="6768"/>
            <w:vAlign w:val="top"/>
          </w:tcPr>
          <w:p>
            <w:pPr>
              <w:spacing w:after="0"/>
            </w:pPr>
            <w:r>
              <w:rPr>
                <w:sz w:val="17"/>
              </w:rPr>
            </w:r>
            <w:r>
              <w:rPr>
                <w:b w:val="0"/>
                <w:sz w:val="17"/>
              </w:rPr>
              <w:t>Source connectors, scheduled pulls, on-demand pulls, raw storage, normalizer orchestration.</w:t>
            </w:r>
          </w:p>
        </w:tc>
      </w:tr>
      <w:tr>
        <w:tc>
          <w:tcPr>
            <w:tcW w:type="dxa" w:w="2736"/>
            <w:vAlign w:val="top"/>
          </w:tcPr>
          <w:p>
            <w:pPr>
              <w:spacing w:after="0"/>
            </w:pPr>
            <w:r>
              <w:rPr>
                <w:sz w:val="17"/>
              </w:rPr>
            </w:r>
            <w:r>
              <w:rPr>
                <w:b w:val="0"/>
                <w:sz w:val="17"/>
              </w:rPr>
              <w:t>Private funder intelligence service</w:t>
            </w:r>
          </w:p>
        </w:tc>
        <w:tc>
          <w:tcPr>
            <w:tcW w:type="dxa" w:w="6768"/>
            <w:vAlign w:val="top"/>
          </w:tcPr>
          <w:p>
            <w:pPr>
              <w:spacing w:after="0"/>
            </w:pPr>
            <w:r>
              <w:rPr>
                <w:sz w:val="17"/>
              </w:rPr>
            </w:r>
            <w:r>
              <w:rPr>
                <w:b w:val="0"/>
                <w:sz w:val="17"/>
              </w:rPr>
              <w:t>Compliance-checked crawling, opportunity detection, topic classification, candidate review, private grants and funder prospects.</w:t>
            </w:r>
          </w:p>
        </w:tc>
      </w:tr>
      <w:tr>
        <w:tc>
          <w:tcPr>
            <w:tcW w:type="dxa" w:w="2736"/>
            <w:vAlign w:val="top"/>
          </w:tcPr>
          <w:p>
            <w:pPr>
              <w:spacing w:after="0"/>
            </w:pPr>
            <w:r>
              <w:rPr>
                <w:sz w:val="17"/>
              </w:rPr>
            </w:r>
            <w:r>
              <w:rPr>
                <w:b w:val="0"/>
                <w:sz w:val="17"/>
              </w:rPr>
              <w:t>Matching service</w:t>
            </w:r>
          </w:p>
        </w:tc>
        <w:tc>
          <w:tcPr>
            <w:tcW w:type="dxa" w:w="6768"/>
            <w:vAlign w:val="top"/>
          </w:tcPr>
          <w:p>
            <w:pPr>
              <w:spacing w:after="0"/>
            </w:pPr>
            <w:r>
              <w:rPr>
                <w:sz w:val="17"/>
              </w:rPr>
            </w:r>
            <w:r>
              <w:rPr>
                <w:b w:val="0"/>
                <w:sz w:val="17"/>
              </w:rPr>
              <w:t>Profile-to-grant scoring, reasons, warnings, disqualifiers, and re-scoring when grants/profiles change.</w:t>
            </w:r>
          </w:p>
        </w:tc>
      </w:tr>
      <w:tr>
        <w:tc>
          <w:tcPr>
            <w:tcW w:type="dxa" w:w="2736"/>
            <w:vAlign w:val="top"/>
          </w:tcPr>
          <w:p>
            <w:pPr>
              <w:spacing w:after="0"/>
            </w:pPr>
            <w:r>
              <w:rPr>
                <w:sz w:val="17"/>
              </w:rPr>
            </w:r>
            <w:r>
              <w:rPr>
                <w:b w:val="0"/>
                <w:sz w:val="17"/>
              </w:rPr>
              <w:t>Notification service</w:t>
            </w:r>
          </w:p>
        </w:tc>
        <w:tc>
          <w:tcPr>
            <w:tcW w:type="dxa" w:w="6768"/>
            <w:vAlign w:val="top"/>
          </w:tcPr>
          <w:p>
            <w:pPr>
              <w:spacing w:after="0"/>
            </w:pPr>
            <w:r>
              <w:rPr>
                <w:sz w:val="17"/>
              </w:rPr>
            </w:r>
            <w:r>
              <w:rPr>
                <w:b w:val="0"/>
                <w:sz w:val="17"/>
              </w:rPr>
              <w:t>Email, in-app, SMS future, digest generation, deadline reminders, and saved-grant updates.</w:t>
            </w:r>
          </w:p>
        </w:tc>
      </w:tr>
      <w:tr>
        <w:tc>
          <w:tcPr>
            <w:tcW w:type="dxa" w:w="2736"/>
            <w:vAlign w:val="top"/>
          </w:tcPr>
          <w:p>
            <w:pPr>
              <w:spacing w:after="0"/>
            </w:pPr>
            <w:r>
              <w:rPr>
                <w:sz w:val="17"/>
              </w:rPr>
            </w:r>
            <w:r>
              <w:rPr>
                <w:b w:val="0"/>
                <w:sz w:val="17"/>
              </w:rPr>
              <w:t>Admin service</w:t>
            </w:r>
          </w:p>
        </w:tc>
        <w:tc>
          <w:tcPr>
            <w:tcW w:type="dxa" w:w="6768"/>
            <w:vAlign w:val="top"/>
          </w:tcPr>
          <w:p>
            <w:pPr>
              <w:spacing w:after="0"/>
            </w:pPr>
            <w:r>
              <w:rPr>
                <w:sz w:val="17"/>
              </w:rPr>
            </w:r>
            <w:r>
              <w:rPr>
                <w:b w:val="0"/>
                <w:sz w:val="17"/>
              </w:rPr>
              <w:t>Source registry, pull monitor, review queue, duplicate management, compliance audit, user support tools.</w:t>
            </w:r>
          </w:p>
        </w:tc>
      </w:tr>
      <w:tr>
        <w:tc>
          <w:tcPr>
            <w:tcW w:type="dxa" w:w="2736"/>
            <w:vAlign w:val="top"/>
          </w:tcPr>
          <w:p>
            <w:pPr>
              <w:spacing w:after="0"/>
            </w:pPr>
            <w:r>
              <w:rPr>
                <w:sz w:val="17"/>
              </w:rPr>
            </w:r>
            <w:r>
              <w:rPr>
                <w:b w:val="0"/>
                <w:sz w:val="17"/>
              </w:rPr>
              <w:t>Search indexer</w:t>
            </w:r>
          </w:p>
        </w:tc>
        <w:tc>
          <w:tcPr>
            <w:tcW w:type="dxa" w:w="6768"/>
            <w:vAlign w:val="top"/>
          </w:tcPr>
          <w:p>
            <w:pPr>
              <w:spacing w:after="0"/>
            </w:pPr>
            <w:r>
              <w:rPr>
                <w:sz w:val="17"/>
              </w:rPr>
            </w:r>
            <w:r>
              <w:rPr>
                <w:b w:val="0"/>
                <w:sz w:val="17"/>
              </w:rPr>
              <w:t>Synchronizes normalized grants and match metadata into OpenSearch.</w:t>
            </w:r>
          </w:p>
        </w:tc>
      </w:tr>
      <w:tr>
        <w:tc>
          <w:tcPr>
            <w:tcW w:type="dxa" w:w="2736"/>
            <w:vAlign w:val="top"/>
          </w:tcPr>
          <w:p>
            <w:pPr>
              <w:spacing w:after="0"/>
            </w:pPr>
            <w:r>
              <w:rPr>
                <w:sz w:val="17"/>
              </w:rPr>
            </w:r>
            <w:r>
              <w:rPr>
                <w:b w:val="0"/>
                <w:sz w:val="17"/>
              </w:rPr>
              <w:t>Document parser</w:t>
            </w:r>
          </w:p>
        </w:tc>
        <w:tc>
          <w:tcPr>
            <w:tcW w:type="dxa" w:w="6768"/>
            <w:vAlign w:val="top"/>
          </w:tcPr>
          <w:p>
            <w:pPr>
              <w:spacing w:after="0"/>
            </w:pPr>
            <w:r>
              <w:rPr>
                <w:sz w:val="17"/>
              </w:rPr>
            </w:r>
            <w:r>
              <w:rPr>
                <w:b w:val="0"/>
                <w:sz w:val="17"/>
              </w:rPr>
              <w:t>Downloads permitted PDFs/attachments, extracts text, identifies deadlines, amounts, eligibility, and instructions.</w:t>
            </w:r>
          </w:p>
        </w:tc>
      </w:tr>
    </w:tbl>
    <w:p/>
    <w:p>
      <w:pPr>
        <w:pStyle w:val="Heading2"/>
      </w:pPr>
      <w:r>
        <w:rPr>
          <w:rFonts w:ascii="Arial" w:hAnsi="Arial"/>
        </w:rPr>
        <w:t>Recommended technology stack</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088"/>
            <w:shd w:fill="D9EAF7"/>
            <w:vAlign w:val="top"/>
          </w:tcPr>
          <w:p>
            <w:pPr>
              <w:spacing w:after="0"/>
            </w:pPr>
            <w:r>
              <w:rPr>
                <w:sz w:val="16"/>
              </w:rPr>
            </w:r>
            <w:r>
              <w:rPr>
                <w:b/>
                <w:color w:val="1C4967"/>
                <w:sz w:val="16"/>
              </w:rPr>
              <w:t>Layer</w:t>
            </w:r>
          </w:p>
        </w:tc>
        <w:tc>
          <w:tcPr>
            <w:tcW w:type="dxa" w:w="3311"/>
            <w:shd w:fill="D9EAF7"/>
            <w:vAlign w:val="top"/>
          </w:tcPr>
          <w:p>
            <w:pPr>
              <w:spacing w:after="0"/>
            </w:pPr>
            <w:r>
              <w:rPr>
                <w:sz w:val="16"/>
              </w:rPr>
            </w:r>
            <w:r>
              <w:rPr>
                <w:b/>
                <w:color w:val="1C4967"/>
                <w:sz w:val="16"/>
              </w:rPr>
              <w:t>Recommendation</w:t>
            </w:r>
          </w:p>
        </w:tc>
        <w:tc>
          <w:tcPr>
            <w:tcW w:type="dxa" w:w="4104"/>
            <w:shd w:fill="D9EAF7"/>
            <w:vAlign w:val="top"/>
          </w:tcPr>
          <w:p>
            <w:pPr>
              <w:spacing w:after="0"/>
            </w:pPr>
            <w:r>
              <w:rPr>
                <w:sz w:val="16"/>
              </w:rPr>
            </w:r>
            <w:r>
              <w:rPr>
                <w:b/>
                <w:color w:val="1C4967"/>
                <w:sz w:val="16"/>
              </w:rPr>
              <w:t>Reason</w:t>
            </w:r>
          </w:p>
        </w:tc>
      </w:tr>
      <w:tr>
        <w:tc>
          <w:tcPr>
            <w:tcW w:type="dxa" w:w="2088"/>
            <w:vAlign w:val="top"/>
          </w:tcPr>
          <w:p>
            <w:pPr>
              <w:spacing w:after="0"/>
            </w:pPr>
            <w:r>
              <w:rPr>
                <w:sz w:val="16"/>
              </w:rPr>
            </w:r>
            <w:r>
              <w:rPr>
                <w:b w:val="0"/>
                <w:sz w:val="16"/>
              </w:rPr>
              <w:t>Frontend</w:t>
            </w:r>
          </w:p>
        </w:tc>
        <w:tc>
          <w:tcPr>
            <w:tcW w:type="dxa" w:w="3311"/>
            <w:vAlign w:val="top"/>
          </w:tcPr>
          <w:p>
            <w:pPr>
              <w:spacing w:after="0"/>
            </w:pPr>
            <w:r>
              <w:rPr>
                <w:sz w:val="16"/>
              </w:rPr>
            </w:r>
            <w:r>
              <w:rPr>
                <w:b w:val="0"/>
                <w:sz w:val="16"/>
              </w:rPr>
              <w:t>Next.js + TypeScript + Tailwind + shadcn/ui</w:t>
            </w:r>
          </w:p>
        </w:tc>
        <w:tc>
          <w:tcPr>
            <w:tcW w:type="dxa" w:w="4104"/>
            <w:vAlign w:val="top"/>
          </w:tcPr>
          <w:p>
            <w:pPr>
              <w:spacing w:after="0"/>
            </w:pPr>
            <w:r>
              <w:rPr>
                <w:sz w:val="16"/>
              </w:rPr>
            </w:r>
            <w:r>
              <w:rPr>
                <w:b w:val="0"/>
                <w:sz w:val="16"/>
              </w:rPr>
              <w:t>Fast product iteration, strong component model, responsive app, design-system friendly.</w:t>
            </w:r>
          </w:p>
        </w:tc>
      </w:tr>
      <w:tr>
        <w:tc>
          <w:tcPr>
            <w:tcW w:type="dxa" w:w="2088"/>
            <w:vAlign w:val="top"/>
          </w:tcPr>
          <w:p>
            <w:pPr>
              <w:spacing w:after="0"/>
            </w:pPr>
            <w:r>
              <w:rPr>
                <w:sz w:val="16"/>
              </w:rPr>
            </w:r>
            <w:r>
              <w:rPr>
                <w:b w:val="0"/>
                <w:sz w:val="16"/>
              </w:rPr>
              <w:t>Backend</w:t>
            </w:r>
          </w:p>
        </w:tc>
        <w:tc>
          <w:tcPr>
            <w:tcW w:type="dxa" w:w="3311"/>
            <w:vAlign w:val="top"/>
          </w:tcPr>
          <w:p>
            <w:pPr>
              <w:spacing w:after="0"/>
            </w:pPr>
            <w:r>
              <w:rPr>
                <w:sz w:val="16"/>
              </w:rPr>
            </w:r>
            <w:r>
              <w:rPr>
                <w:b w:val="0"/>
                <w:sz w:val="16"/>
              </w:rPr>
              <w:t>FastAPI or NestJS</w:t>
            </w:r>
          </w:p>
        </w:tc>
        <w:tc>
          <w:tcPr>
            <w:tcW w:type="dxa" w:w="4104"/>
            <w:vAlign w:val="top"/>
          </w:tcPr>
          <w:p>
            <w:pPr>
              <w:spacing w:after="0"/>
            </w:pPr>
            <w:r>
              <w:rPr>
                <w:sz w:val="16"/>
              </w:rPr>
            </w:r>
            <w:r>
              <w:rPr>
                <w:b w:val="0"/>
                <w:sz w:val="16"/>
              </w:rPr>
              <w:t>FastAPI is strong for data workflows; NestJS is strong for structured TypeScript teams.</w:t>
            </w:r>
          </w:p>
        </w:tc>
      </w:tr>
      <w:tr>
        <w:tc>
          <w:tcPr>
            <w:tcW w:type="dxa" w:w="2088"/>
            <w:vAlign w:val="top"/>
          </w:tcPr>
          <w:p>
            <w:pPr>
              <w:spacing w:after="0"/>
            </w:pPr>
            <w:r>
              <w:rPr>
                <w:sz w:val="16"/>
              </w:rPr>
            </w:r>
            <w:r>
              <w:rPr>
                <w:b w:val="0"/>
                <w:sz w:val="16"/>
              </w:rPr>
              <w:t>Database</w:t>
            </w:r>
          </w:p>
        </w:tc>
        <w:tc>
          <w:tcPr>
            <w:tcW w:type="dxa" w:w="3311"/>
            <w:vAlign w:val="top"/>
          </w:tcPr>
          <w:p>
            <w:pPr>
              <w:spacing w:after="0"/>
            </w:pPr>
            <w:r>
              <w:rPr>
                <w:sz w:val="16"/>
              </w:rPr>
            </w:r>
            <w:r>
              <w:rPr>
                <w:b w:val="0"/>
                <w:sz w:val="16"/>
              </w:rPr>
              <w:t>PostgreSQL</w:t>
            </w:r>
          </w:p>
        </w:tc>
        <w:tc>
          <w:tcPr>
            <w:tcW w:type="dxa" w:w="4104"/>
            <w:vAlign w:val="top"/>
          </w:tcPr>
          <w:p>
            <w:pPr>
              <w:spacing w:after="0"/>
            </w:pPr>
            <w:r>
              <w:rPr>
                <w:sz w:val="16"/>
              </w:rPr>
            </w:r>
            <w:r>
              <w:rPr>
                <w:b w:val="0"/>
                <w:sz w:val="16"/>
              </w:rPr>
              <w:t>Relational source of truth with JSONB support for raw/normalized fields.</w:t>
            </w:r>
          </w:p>
        </w:tc>
      </w:tr>
      <w:tr>
        <w:tc>
          <w:tcPr>
            <w:tcW w:type="dxa" w:w="2088"/>
            <w:vAlign w:val="top"/>
          </w:tcPr>
          <w:p>
            <w:pPr>
              <w:spacing w:after="0"/>
            </w:pPr>
            <w:r>
              <w:rPr>
                <w:sz w:val="16"/>
              </w:rPr>
            </w:r>
            <w:r>
              <w:rPr>
                <w:b w:val="0"/>
                <w:sz w:val="16"/>
              </w:rPr>
              <w:t>Search</w:t>
            </w:r>
          </w:p>
        </w:tc>
        <w:tc>
          <w:tcPr>
            <w:tcW w:type="dxa" w:w="3311"/>
            <w:vAlign w:val="top"/>
          </w:tcPr>
          <w:p>
            <w:pPr>
              <w:spacing w:after="0"/>
            </w:pPr>
            <w:r>
              <w:rPr>
                <w:sz w:val="16"/>
              </w:rPr>
            </w:r>
            <w:r>
              <w:rPr>
                <w:b w:val="0"/>
                <w:sz w:val="16"/>
              </w:rPr>
              <w:t>OpenSearch or Elasticsearch</w:t>
            </w:r>
          </w:p>
        </w:tc>
        <w:tc>
          <w:tcPr>
            <w:tcW w:type="dxa" w:w="4104"/>
            <w:vAlign w:val="top"/>
          </w:tcPr>
          <w:p>
            <w:pPr>
              <w:spacing w:after="0"/>
            </w:pPr>
            <w:r>
              <w:rPr>
                <w:sz w:val="16"/>
              </w:rPr>
            </w:r>
            <w:r>
              <w:rPr>
                <w:b w:val="0"/>
                <w:sz w:val="16"/>
              </w:rPr>
              <w:t>Fast full-text search, filters, facets, and relevance sorting.</w:t>
            </w:r>
          </w:p>
        </w:tc>
      </w:tr>
      <w:tr>
        <w:tc>
          <w:tcPr>
            <w:tcW w:type="dxa" w:w="2088"/>
            <w:vAlign w:val="top"/>
          </w:tcPr>
          <w:p>
            <w:pPr>
              <w:spacing w:after="0"/>
            </w:pPr>
            <w:r>
              <w:rPr>
                <w:sz w:val="16"/>
              </w:rPr>
            </w:r>
            <w:r>
              <w:rPr>
                <w:b w:val="0"/>
                <w:sz w:val="16"/>
              </w:rPr>
              <w:t>Cache</w:t>
            </w:r>
          </w:p>
        </w:tc>
        <w:tc>
          <w:tcPr>
            <w:tcW w:type="dxa" w:w="3311"/>
            <w:vAlign w:val="top"/>
          </w:tcPr>
          <w:p>
            <w:pPr>
              <w:spacing w:after="0"/>
            </w:pPr>
            <w:r>
              <w:rPr>
                <w:sz w:val="16"/>
              </w:rPr>
            </w:r>
            <w:r>
              <w:rPr>
                <w:b w:val="0"/>
                <w:sz w:val="16"/>
              </w:rPr>
              <w:t>Redis</w:t>
            </w:r>
          </w:p>
        </w:tc>
        <w:tc>
          <w:tcPr>
            <w:tcW w:type="dxa" w:w="4104"/>
            <w:vAlign w:val="top"/>
          </w:tcPr>
          <w:p>
            <w:pPr>
              <w:spacing w:after="0"/>
            </w:pPr>
            <w:r>
              <w:rPr>
                <w:sz w:val="16"/>
              </w:rPr>
            </w:r>
            <w:r>
              <w:rPr>
                <w:b w:val="0"/>
                <w:sz w:val="16"/>
              </w:rPr>
              <w:t>Rate limits, pull throttles, session/cache data, short job status.</w:t>
            </w:r>
          </w:p>
        </w:tc>
      </w:tr>
      <w:tr>
        <w:tc>
          <w:tcPr>
            <w:tcW w:type="dxa" w:w="2088"/>
            <w:vAlign w:val="top"/>
          </w:tcPr>
          <w:p>
            <w:pPr>
              <w:spacing w:after="0"/>
            </w:pPr>
            <w:r>
              <w:rPr>
                <w:sz w:val="16"/>
              </w:rPr>
            </w:r>
            <w:r>
              <w:rPr>
                <w:b w:val="0"/>
                <w:sz w:val="16"/>
              </w:rPr>
              <w:t>Queue/workflow</w:t>
            </w:r>
          </w:p>
        </w:tc>
        <w:tc>
          <w:tcPr>
            <w:tcW w:type="dxa" w:w="3311"/>
            <w:vAlign w:val="top"/>
          </w:tcPr>
          <w:p>
            <w:pPr>
              <w:spacing w:after="0"/>
            </w:pPr>
            <w:r>
              <w:rPr>
                <w:sz w:val="16"/>
              </w:rPr>
            </w:r>
            <w:r>
              <w:rPr>
                <w:b w:val="0"/>
                <w:sz w:val="16"/>
              </w:rPr>
              <w:t>Temporal, Celery, BullMQ, SQS/RabbitMQ</w:t>
            </w:r>
          </w:p>
        </w:tc>
        <w:tc>
          <w:tcPr>
            <w:tcW w:type="dxa" w:w="4104"/>
            <w:vAlign w:val="top"/>
          </w:tcPr>
          <w:p>
            <w:pPr>
              <w:spacing w:after="0"/>
            </w:pPr>
            <w:r>
              <w:rPr>
                <w:sz w:val="16"/>
              </w:rPr>
            </w:r>
            <w:r>
              <w:rPr>
                <w:b w:val="0"/>
                <w:sz w:val="16"/>
              </w:rPr>
              <w:t>Retry, scheduling, failure recovery, and long-running ingestion.</w:t>
            </w:r>
          </w:p>
        </w:tc>
      </w:tr>
      <w:tr>
        <w:tc>
          <w:tcPr>
            <w:tcW w:type="dxa" w:w="2088"/>
            <w:vAlign w:val="top"/>
          </w:tcPr>
          <w:p>
            <w:pPr>
              <w:spacing w:after="0"/>
            </w:pPr>
            <w:r>
              <w:rPr>
                <w:sz w:val="16"/>
              </w:rPr>
            </w:r>
            <w:r>
              <w:rPr>
                <w:b w:val="0"/>
                <w:sz w:val="16"/>
              </w:rPr>
              <w:t>Object storage</w:t>
            </w:r>
          </w:p>
        </w:tc>
        <w:tc>
          <w:tcPr>
            <w:tcW w:type="dxa" w:w="3311"/>
            <w:vAlign w:val="top"/>
          </w:tcPr>
          <w:p>
            <w:pPr>
              <w:spacing w:after="0"/>
            </w:pPr>
            <w:r>
              <w:rPr>
                <w:sz w:val="16"/>
              </w:rPr>
            </w:r>
            <w:r>
              <w:rPr>
                <w:b w:val="0"/>
                <w:sz w:val="16"/>
              </w:rPr>
              <w:t>S3-compatible storage</w:t>
            </w:r>
          </w:p>
        </w:tc>
        <w:tc>
          <w:tcPr>
            <w:tcW w:type="dxa" w:w="4104"/>
            <w:vAlign w:val="top"/>
          </w:tcPr>
          <w:p>
            <w:pPr>
              <w:spacing w:after="0"/>
            </w:pPr>
            <w:r>
              <w:rPr>
                <w:sz w:val="16"/>
              </w:rPr>
            </w:r>
            <w:r>
              <w:rPr>
                <w:b w:val="0"/>
                <w:sz w:val="16"/>
              </w:rPr>
              <w:t>Raw source payloads, documents, PDFs, screenshots, parsed text artifacts.</w:t>
            </w:r>
          </w:p>
        </w:tc>
      </w:tr>
      <w:tr>
        <w:tc>
          <w:tcPr>
            <w:tcW w:type="dxa" w:w="2088"/>
            <w:vAlign w:val="top"/>
          </w:tcPr>
          <w:p>
            <w:pPr>
              <w:spacing w:after="0"/>
            </w:pPr>
            <w:r>
              <w:rPr>
                <w:sz w:val="16"/>
              </w:rPr>
            </w:r>
            <w:r>
              <w:rPr>
                <w:b w:val="0"/>
                <w:sz w:val="16"/>
              </w:rPr>
              <w:t>Observability</w:t>
            </w:r>
          </w:p>
        </w:tc>
        <w:tc>
          <w:tcPr>
            <w:tcW w:type="dxa" w:w="3311"/>
            <w:vAlign w:val="top"/>
          </w:tcPr>
          <w:p>
            <w:pPr>
              <w:spacing w:after="0"/>
            </w:pPr>
            <w:r>
              <w:rPr>
                <w:sz w:val="16"/>
              </w:rPr>
            </w:r>
            <w:r>
              <w:rPr>
                <w:b w:val="0"/>
                <w:sz w:val="16"/>
              </w:rPr>
              <w:t>OpenTelemetry, Prometheus/Grafana, Sentry</w:t>
            </w:r>
          </w:p>
        </w:tc>
        <w:tc>
          <w:tcPr>
            <w:tcW w:type="dxa" w:w="4104"/>
            <w:vAlign w:val="top"/>
          </w:tcPr>
          <w:p>
            <w:pPr>
              <w:spacing w:after="0"/>
            </w:pPr>
            <w:r>
              <w:rPr>
                <w:sz w:val="16"/>
              </w:rPr>
            </w:r>
            <w:r>
              <w:rPr>
                <w:b w:val="0"/>
                <w:sz w:val="16"/>
              </w:rPr>
              <w:t>Tracing, metrics, error reporting, pull run health.</w:t>
            </w:r>
          </w:p>
        </w:tc>
      </w:tr>
      <w:tr>
        <w:tc>
          <w:tcPr>
            <w:tcW w:type="dxa" w:w="2088"/>
            <w:vAlign w:val="top"/>
          </w:tcPr>
          <w:p>
            <w:pPr>
              <w:spacing w:after="0"/>
            </w:pPr>
            <w:r>
              <w:rPr>
                <w:sz w:val="16"/>
              </w:rPr>
            </w:r>
            <w:r>
              <w:rPr>
                <w:b w:val="0"/>
                <w:sz w:val="16"/>
              </w:rPr>
              <w:t>Deployment</w:t>
            </w:r>
          </w:p>
        </w:tc>
        <w:tc>
          <w:tcPr>
            <w:tcW w:type="dxa" w:w="3311"/>
            <w:vAlign w:val="top"/>
          </w:tcPr>
          <w:p>
            <w:pPr>
              <w:spacing w:after="0"/>
            </w:pPr>
            <w:r>
              <w:rPr>
                <w:sz w:val="16"/>
              </w:rPr>
            </w:r>
            <w:r>
              <w:rPr>
                <w:b w:val="0"/>
                <w:sz w:val="16"/>
              </w:rPr>
              <w:t>Docker + ECS/Kubernetes/Cloud Run</w:t>
            </w:r>
          </w:p>
        </w:tc>
        <w:tc>
          <w:tcPr>
            <w:tcW w:type="dxa" w:w="4104"/>
            <w:vAlign w:val="top"/>
          </w:tcPr>
          <w:p>
            <w:pPr>
              <w:spacing w:after="0"/>
            </w:pPr>
            <w:r>
              <w:rPr>
                <w:sz w:val="16"/>
              </w:rPr>
            </w:r>
            <w:r>
              <w:rPr>
                <w:b w:val="0"/>
                <w:sz w:val="16"/>
              </w:rPr>
              <w:t>Separation of API and worker scaling.</w:t>
            </w:r>
          </w:p>
        </w:tc>
      </w:tr>
    </w:tbl>
    <w:p/>
    <w:p>
      <w:pPr>
        <w:pStyle w:val="Heading1"/>
      </w:pPr>
      <w:r>
        <w:rPr>
          <w:rFonts w:ascii="Arial" w:hAnsi="Arial"/>
        </w:rPr>
        <w:t>9. Grant Pulling and Ingestion Workflows</w:t>
      </w:r>
    </w:p>
    <w:p>
      <w:pPr>
        <w:pStyle w:val="Heading2"/>
      </w:pPr>
      <w:r>
        <w:rPr>
          <w:rFonts w:ascii="Arial" w:hAnsi="Arial"/>
        </w:rPr>
        <w:t>Scheduled 12-hour workflow</w:t>
      </w:r>
    </w:p>
    <w:p>
      <w:pPr>
        <w:pStyle w:val="ListNumber"/>
      </w:pPr>
      <w:r>
        <w:rPr>
          <w:rFonts w:ascii="Arial" w:hAnsi="Arial"/>
        </w:rPr>
        <w:t>Scheduler starts a global pull workflow every 12 hours.</w:t>
      </w:r>
    </w:p>
    <w:p>
      <w:pPr>
        <w:pStyle w:val="ListNumber"/>
      </w:pPr>
      <w:r>
        <w:rPr>
          <w:rFonts w:ascii="Arial" w:hAnsi="Arial"/>
        </w:rPr>
        <w:t>Orchestrator loads all enabled sources and source-specific limits.</w:t>
      </w:r>
    </w:p>
    <w:p>
      <w:pPr>
        <w:pStyle w:val="ListNumber"/>
      </w:pPr>
      <w:r>
        <w:rPr>
          <w:rFonts w:ascii="Arial" w:hAnsi="Arial"/>
        </w:rPr>
        <w:t>System creates one pull_run record per source.</w:t>
      </w:r>
    </w:p>
    <w:p>
      <w:pPr>
        <w:pStyle w:val="ListNumber"/>
      </w:pPr>
      <w:r>
        <w:rPr>
          <w:rFonts w:ascii="Arial" w:hAnsi="Arial"/>
        </w:rPr>
        <w:t>Connector jobs fetch list pages or API search results.</w:t>
      </w:r>
    </w:p>
    <w:p>
      <w:pPr>
        <w:pStyle w:val="ListNumber"/>
      </w:pPr>
      <w:r>
        <w:rPr>
          <w:rFonts w:ascii="Arial" w:hAnsi="Arial"/>
        </w:rPr>
        <w:t>Detail jobs fetch full records, attachments, and public documents where allowed.</w:t>
      </w:r>
    </w:p>
    <w:p>
      <w:pPr>
        <w:pStyle w:val="ListNumber"/>
      </w:pPr>
      <w:r>
        <w:rPr>
          <w:rFonts w:ascii="Arial" w:hAnsi="Arial"/>
        </w:rPr>
        <w:t>Raw responses are stored before transformation.</w:t>
      </w:r>
    </w:p>
    <w:p>
      <w:pPr>
        <w:pStyle w:val="ListNumber"/>
      </w:pPr>
      <w:r>
        <w:rPr>
          <w:rFonts w:ascii="Arial" w:hAnsi="Arial"/>
        </w:rPr>
        <w:t>Normalizer maps source fields into the canonical grant schema.</w:t>
      </w:r>
    </w:p>
    <w:p>
      <w:pPr>
        <w:pStyle w:val="ListNumber"/>
      </w:pPr>
      <w:r>
        <w:rPr>
          <w:rFonts w:ascii="Arial" w:hAnsi="Arial"/>
        </w:rPr>
        <w:t>Deduper merges duplicate opportunities and preserves all source links.</w:t>
      </w:r>
    </w:p>
    <w:p>
      <w:pPr>
        <w:pStyle w:val="ListNumber"/>
      </w:pPr>
      <w:r>
        <w:rPr>
          <w:rFonts w:ascii="Arial" w:hAnsi="Arial"/>
        </w:rPr>
        <w:t>Changed grants are versioned and re-indexed in search.</w:t>
      </w:r>
    </w:p>
    <w:p>
      <w:pPr>
        <w:pStyle w:val="ListNumber"/>
      </w:pPr>
      <w:r>
        <w:rPr>
          <w:rFonts w:ascii="Arial" w:hAnsi="Arial"/>
        </w:rPr>
        <w:t>Matching engine re-scores active user profiles against new or changed grants.</w:t>
      </w:r>
    </w:p>
    <w:p>
      <w:pPr>
        <w:pStyle w:val="ListNumber"/>
      </w:pPr>
      <w:r>
        <w:rPr>
          <w:rFonts w:ascii="Arial" w:hAnsi="Arial"/>
        </w:rPr>
        <w:t>Notification engine sends alerts based on user preferences.</w:t>
      </w:r>
    </w:p>
    <w:p>
      <w:pPr>
        <w:pStyle w:val="ListNumber"/>
      </w:pPr>
      <w:r>
        <w:rPr>
          <w:rFonts w:ascii="Arial" w:hAnsi="Arial"/>
        </w:rPr>
        <w:t>Admin monitor updates source health, counts, and failures.</w:t>
      </w:r>
    </w:p>
    <w:p>
      <w:pPr>
        <w:pStyle w:val="Heading2"/>
      </w:pPr>
      <w:r>
        <w:rPr>
          <w:rFonts w:ascii="Arial" w:hAnsi="Arial"/>
        </w:rPr>
        <w:t>On-demand workflow</w:t>
      </w:r>
    </w:p>
    <w:p>
      <w:pPr>
        <w:pStyle w:val="CodeBlock"/>
      </w:pPr>
      <w:r>
        <w:t>User clicks: Pull fresh grants</w:t>
      </w:r>
    </w:p>
    <w:p>
      <w:pPr>
        <w:pStyle w:val="CodeBlock"/>
      </w:pPr>
      <w:r>
        <w:t xml:space="preserve">        |</w:t>
      </w:r>
    </w:p>
    <w:p>
      <w:pPr>
        <w:pStyle w:val="CodeBlock"/>
      </w:pPr>
      <w:r>
        <w:t xml:space="preserve">        v</w:t>
      </w:r>
    </w:p>
    <w:p>
      <w:pPr>
        <w:pStyle w:val="CodeBlock"/>
      </w:pPr>
      <w:r>
        <w:t>API validates profile + plan + daily limit</w:t>
      </w:r>
    </w:p>
    <w:p>
      <w:pPr>
        <w:pStyle w:val="CodeBlock"/>
      </w:pPr>
      <w:r>
        <w:t xml:space="preserve">        |</w:t>
      </w:r>
    </w:p>
    <w:p>
      <w:pPr>
        <w:pStyle w:val="CodeBlock"/>
      </w:pPr>
      <w:r>
        <w:t xml:space="preserve">        +-- If recent pull exists: return cached matches immediately</w:t>
      </w:r>
    </w:p>
    <w:p>
      <w:pPr>
        <w:pStyle w:val="CodeBlock"/>
      </w:pPr>
      <w:r>
        <w:t xml:space="preserve">        |</w:t>
      </w:r>
    </w:p>
    <w:p>
      <w:pPr>
        <w:pStyle w:val="CodeBlock"/>
      </w:pPr>
      <w:r>
        <w:t xml:space="preserve">        +-- If stale: queue targeted pull by profile topics, keywords, and relevant sources</w:t>
      </w:r>
    </w:p>
    <w:p>
      <w:pPr>
        <w:pStyle w:val="CodeBlock"/>
      </w:pPr>
      <w:r>
        <w:t xml:space="preserve">                    |</w:t>
      </w:r>
    </w:p>
    <w:p>
      <w:pPr>
        <w:pStyle w:val="CodeBlock"/>
      </w:pPr>
      <w:r>
        <w:t xml:space="preserve">                    v</w:t>
      </w:r>
    </w:p>
    <w:p>
      <w:pPr>
        <w:pStyle w:val="CodeBlock"/>
      </w:pPr>
      <w:r>
        <w:t xml:space="preserve">             Fetch -&gt; normalize -&gt; dedupe -&gt; index -&gt; match -&gt; notify</w:t>
      </w:r>
    </w:p>
    <w:p>
      <w:pPr>
        <w:pStyle w:val="Heading2"/>
      </w:pPr>
      <w:r>
        <w:rPr>
          <w:rFonts w:ascii="Arial" w:hAnsi="Arial"/>
        </w:rPr>
        <w:t>On-demand rules</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160"/>
            <w:shd w:fill="D9EAF7"/>
            <w:vAlign w:val="top"/>
          </w:tcPr>
          <w:p>
            <w:pPr>
              <w:spacing w:after="0"/>
            </w:pPr>
            <w:r>
              <w:rPr>
                <w:sz w:val="16"/>
              </w:rPr>
            </w:r>
            <w:r>
              <w:rPr>
                <w:b/>
                <w:color w:val="1C4967"/>
                <w:sz w:val="16"/>
              </w:rPr>
              <w:t>Request type</w:t>
            </w:r>
          </w:p>
        </w:tc>
        <w:tc>
          <w:tcPr>
            <w:tcW w:type="dxa" w:w="2232"/>
            <w:shd w:fill="D9EAF7"/>
            <w:vAlign w:val="top"/>
          </w:tcPr>
          <w:p>
            <w:pPr>
              <w:spacing w:after="0"/>
            </w:pPr>
            <w:r>
              <w:rPr>
                <w:sz w:val="16"/>
              </w:rPr>
            </w:r>
            <w:r>
              <w:rPr>
                <w:b/>
                <w:color w:val="1C4967"/>
                <w:sz w:val="16"/>
              </w:rPr>
              <w:t>Who can trigger</w:t>
            </w:r>
          </w:p>
        </w:tc>
        <w:tc>
          <w:tcPr>
            <w:tcW w:type="dxa" w:w="5112"/>
            <w:shd w:fill="D9EAF7"/>
            <w:vAlign w:val="top"/>
          </w:tcPr>
          <w:p>
            <w:pPr>
              <w:spacing w:after="0"/>
            </w:pPr>
            <w:r>
              <w:rPr>
                <w:sz w:val="16"/>
              </w:rPr>
            </w:r>
            <w:r>
              <w:rPr>
                <w:b/>
                <w:color w:val="1C4967"/>
                <w:sz w:val="16"/>
              </w:rPr>
              <w:t>Behavior</w:t>
            </w:r>
          </w:p>
        </w:tc>
      </w:tr>
      <w:tr>
        <w:tc>
          <w:tcPr>
            <w:tcW w:type="dxa" w:w="2160"/>
            <w:vAlign w:val="top"/>
          </w:tcPr>
          <w:p>
            <w:pPr>
              <w:spacing w:after="0"/>
            </w:pPr>
            <w:r>
              <w:rPr>
                <w:sz w:val="16"/>
              </w:rPr>
            </w:r>
            <w:r>
              <w:rPr>
                <w:b w:val="0"/>
                <w:sz w:val="16"/>
              </w:rPr>
              <w:t>Profile refresh</w:t>
            </w:r>
          </w:p>
        </w:tc>
        <w:tc>
          <w:tcPr>
            <w:tcW w:type="dxa" w:w="2232"/>
            <w:vAlign w:val="top"/>
          </w:tcPr>
          <w:p>
            <w:pPr>
              <w:spacing w:after="0"/>
            </w:pPr>
            <w:r>
              <w:rPr>
                <w:sz w:val="16"/>
              </w:rPr>
            </w:r>
            <w:r>
              <w:rPr>
                <w:b w:val="0"/>
                <w:sz w:val="16"/>
              </w:rPr>
              <w:t>Authenticated user</w:t>
            </w:r>
          </w:p>
        </w:tc>
        <w:tc>
          <w:tcPr>
            <w:tcW w:type="dxa" w:w="5112"/>
            <w:vAlign w:val="top"/>
          </w:tcPr>
          <w:p>
            <w:pPr>
              <w:spacing w:after="0"/>
            </w:pPr>
            <w:r>
              <w:rPr>
                <w:sz w:val="16"/>
              </w:rPr>
            </w:r>
            <w:r>
              <w:rPr>
                <w:b w:val="0"/>
                <w:sz w:val="16"/>
              </w:rPr>
              <w:t>Refreshes sources relevant to a profile. Return cached matches immediately if data is fresh.</w:t>
            </w:r>
          </w:p>
        </w:tc>
      </w:tr>
      <w:tr>
        <w:tc>
          <w:tcPr>
            <w:tcW w:type="dxa" w:w="2160"/>
            <w:vAlign w:val="top"/>
          </w:tcPr>
          <w:p>
            <w:pPr>
              <w:spacing w:after="0"/>
            </w:pPr>
            <w:r>
              <w:rPr>
                <w:sz w:val="16"/>
              </w:rPr>
            </w:r>
            <w:r>
              <w:rPr>
                <w:b w:val="0"/>
                <w:sz w:val="16"/>
              </w:rPr>
              <w:t>Keyword refresh</w:t>
            </w:r>
          </w:p>
        </w:tc>
        <w:tc>
          <w:tcPr>
            <w:tcW w:type="dxa" w:w="2232"/>
            <w:vAlign w:val="top"/>
          </w:tcPr>
          <w:p>
            <w:pPr>
              <w:spacing w:after="0"/>
            </w:pPr>
            <w:r>
              <w:rPr>
                <w:sz w:val="16"/>
              </w:rPr>
            </w:r>
            <w:r>
              <w:rPr>
                <w:b w:val="0"/>
                <w:sz w:val="16"/>
              </w:rPr>
              <w:t>Authenticated user</w:t>
            </w:r>
          </w:p>
        </w:tc>
        <w:tc>
          <w:tcPr>
            <w:tcW w:type="dxa" w:w="5112"/>
            <w:vAlign w:val="top"/>
          </w:tcPr>
          <w:p>
            <w:pPr>
              <w:spacing w:after="0"/>
            </w:pPr>
            <w:r>
              <w:rPr>
                <w:sz w:val="16"/>
              </w:rPr>
            </w:r>
            <w:r>
              <w:rPr>
                <w:b w:val="0"/>
                <w:sz w:val="16"/>
              </w:rPr>
              <w:t>Runs targeted pulls for a keyword/topic and related sources.</w:t>
            </w:r>
          </w:p>
        </w:tc>
      </w:tr>
      <w:tr>
        <w:tc>
          <w:tcPr>
            <w:tcW w:type="dxa" w:w="2160"/>
            <w:vAlign w:val="top"/>
          </w:tcPr>
          <w:p>
            <w:pPr>
              <w:spacing w:after="0"/>
            </w:pPr>
            <w:r>
              <w:rPr>
                <w:sz w:val="16"/>
              </w:rPr>
            </w:r>
            <w:r>
              <w:rPr>
                <w:b w:val="0"/>
                <w:sz w:val="16"/>
              </w:rPr>
              <w:t>Private topic refresh</w:t>
            </w:r>
          </w:p>
        </w:tc>
        <w:tc>
          <w:tcPr>
            <w:tcW w:type="dxa" w:w="2232"/>
            <w:vAlign w:val="top"/>
          </w:tcPr>
          <w:p>
            <w:pPr>
              <w:spacing w:after="0"/>
            </w:pPr>
            <w:r>
              <w:rPr>
                <w:sz w:val="16"/>
              </w:rPr>
            </w:r>
            <w:r>
              <w:rPr>
                <w:b w:val="0"/>
                <w:sz w:val="16"/>
              </w:rPr>
              <w:t>Authenticated user</w:t>
            </w:r>
          </w:p>
        </w:tc>
        <w:tc>
          <w:tcPr>
            <w:tcW w:type="dxa" w:w="5112"/>
            <w:vAlign w:val="top"/>
          </w:tcPr>
          <w:p>
            <w:pPr>
              <w:spacing w:after="0"/>
            </w:pPr>
            <w:r>
              <w:rPr>
                <w:sz w:val="16"/>
              </w:rPr>
            </w:r>
            <w:r>
              <w:rPr>
                <w:b w:val="0"/>
                <w:sz w:val="16"/>
              </w:rPr>
              <w:t>Targets AI, technology, social media, journalism, cybersecurity, and digital rights private sources.</w:t>
            </w:r>
          </w:p>
        </w:tc>
      </w:tr>
      <w:tr>
        <w:tc>
          <w:tcPr>
            <w:tcW w:type="dxa" w:w="2160"/>
            <w:vAlign w:val="top"/>
          </w:tcPr>
          <w:p>
            <w:pPr>
              <w:spacing w:after="0"/>
            </w:pPr>
            <w:r>
              <w:rPr>
                <w:sz w:val="16"/>
              </w:rPr>
            </w:r>
            <w:r>
              <w:rPr>
                <w:b w:val="0"/>
                <w:sz w:val="16"/>
              </w:rPr>
              <w:t>Source refresh</w:t>
            </w:r>
          </w:p>
        </w:tc>
        <w:tc>
          <w:tcPr>
            <w:tcW w:type="dxa" w:w="2232"/>
            <w:vAlign w:val="top"/>
          </w:tcPr>
          <w:p>
            <w:pPr>
              <w:spacing w:after="0"/>
            </w:pPr>
            <w:r>
              <w:rPr>
                <w:sz w:val="16"/>
              </w:rPr>
            </w:r>
            <w:r>
              <w:rPr>
                <w:b w:val="0"/>
                <w:sz w:val="16"/>
              </w:rPr>
              <w:t>Admin only</w:t>
            </w:r>
          </w:p>
        </w:tc>
        <w:tc>
          <w:tcPr>
            <w:tcW w:type="dxa" w:w="5112"/>
            <w:vAlign w:val="top"/>
          </w:tcPr>
          <w:p>
            <w:pPr>
              <w:spacing w:after="0"/>
            </w:pPr>
            <w:r>
              <w:rPr>
                <w:sz w:val="16"/>
              </w:rPr>
            </w:r>
            <w:r>
              <w:rPr>
                <w:b w:val="0"/>
                <w:sz w:val="16"/>
              </w:rPr>
              <w:t>Runs one specific connector.</w:t>
            </w:r>
          </w:p>
        </w:tc>
      </w:tr>
      <w:tr>
        <w:tc>
          <w:tcPr>
            <w:tcW w:type="dxa" w:w="2160"/>
            <w:vAlign w:val="top"/>
          </w:tcPr>
          <w:p>
            <w:pPr>
              <w:spacing w:after="0"/>
            </w:pPr>
            <w:r>
              <w:rPr>
                <w:sz w:val="16"/>
              </w:rPr>
            </w:r>
            <w:r>
              <w:rPr>
                <w:b w:val="0"/>
                <w:sz w:val="16"/>
              </w:rPr>
              <w:t>Full backfill</w:t>
            </w:r>
          </w:p>
        </w:tc>
        <w:tc>
          <w:tcPr>
            <w:tcW w:type="dxa" w:w="2232"/>
            <w:vAlign w:val="top"/>
          </w:tcPr>
          <w:p>
            <w:pPr>
              <w:spacing w:after="0"/>
            </w:pPr>
            <w:r>
              <w:rPr>
                <w:sz w:val="16"/>
              </w:rPr>
            </w:r>
            <w:r>
              <w:rPr>
                <w:b w:val="0"/>
                <w:sz w:val="16"/>
              </w:rPr>
              <w:t>Admin only</w:t>
            </w:r>
          </w:p>
        </w:tc>
        <w:tc>
          <w:tcPr>
            <w:tcW w:type="dxa" w:w="5112"/>
            <w:vAlign w:val="top"/>
          </w:tcPr>
          <w:p>
            <w:pPr>
              <w:spacing w:after="0"/>
            </w:pPr>
            <w:r>
              <w:rPr>
                <w:sz w:val="16"/>
              </w:rPr>
            </w:r>
            <w:r>
              <w:rPr>
                <w:b w:val="0"/>
                <w:sz w:val="16"/>
              </w:rPr>
              <w:t>Runs larger historical import. Low priority unless emergency.</w:t>
            </w:r>
          </w:p>
        </w:tc>
      </w:tr>
      <w:tr>
        <w:tc>
          <w:tcPr>
            <w:tcW w:type="dxa" w:w="2160"/>
            <w:vAlign w:val="top"/>
          </w:tcPr>
          <w:p>
            <w:pPr>
              <w:spacing w:after="0"/>
            </w:pPr>
            <w:r>
              <w:rPr>
                <w:sz w:val="16"/>
              </w:rPr>
            </w:r>
            <w:r>
              <w:rPr>
                <w:b w:val="0"/>
                <w:sz w:val="16"/>
              </w:rPr>
              <w:t>Repair pull</w:t>
            </w:r>
          </w:p>
        </w:tc>
        <w:tc>
          <w:tcPr>
            <w:tcW w:type="dxa" w:w="2232"/>
            <w:vAlign w:val="top"/>
          </w:tcPr>
          <w:p>
            <w:pPr>
              <w:spacing w:after="0"/>
            </w:pPr>
            <w:r>
              <w:rPr>
                <w:sz w:val="16"/>
              </w:rPr>
            </w:r>
            <w:r>
              <w:rPr>
                <w:b w:val="0"/>
                <w:sz w:val="16"/>
              </w:rPr>
              <w:t>Admin only</w:t>
            </w:r>
          </w:p>
        </w:tc>
        <w:tc>
          <w:tcPr>
            <w:tcW w:type="dxa" w:w="5112"/>
            <w:vAlign w:val="top"/>
          </w:tcPr>
          <w:p>
            <w:pPr>
              <w:spacing w:after="0"/>
            </w:pPr>
            <w:r>
              <w:rPr>
                <w:sz w:val="16"/>
              </w:rPr>
            </w:r>
            <w:r>
              <w:rPr>
                <w:b w:val="0"/>
                <w:sz w:val="16"/>
              </w:rPr>
              <w:t>Reprocesses failed records, broken documents, or stale sources.</w:t>
            </w:r>
          </w:p>
        </w:tc>
      </w:tr>
    </w:tbl>
    <w:p/>
    <w:p>
      <w:pPr>
        <w:pStyle w:val="Heading2"/>
      </w:pPr>
      <w:r>
        <w:rPr>
          <w:rFonts w:ascii="Arial" w:hAnsi="Arial"/>
        </w:rPr>
        <w:t>Connector interface</w:t>
      </w:r>
    </w:p>
    <w:p>
      <w:pPr>
        <w:pStyle w:val="CodeBlock"/>
      </w:pPr>
      <w:r>
        <w:t>interface GrantSourceConnector {</w:t>
      </w:r>
    </w:p>
    <w:p>
      <w:pPr>
        <w:pStyle w:val="CodeBlock"/>
      </w:pPr>
      <w:r>
        <w:t xml:space="preserve">  sourceKey: string;</w:t>
      </w:r>
    </w:p>
    <w:p>
      <w:pPr>
        <w:pStyle w:val="CodeBlock"/>
      </w:pPr>
      <w:r>
        <w:t xml:space="preserve">  displayName: string;</w:t>
      </w:r>
    </w:p>
    <w:p>
      <w:pPr>
        <w:pStyle w:val="CodeBlock"/>
      </w:pPr>
      <w:r>
        <w:t xml:space="preserve">  supportsIncremental: boolean;</w:t>
      </w:r>
    </w:p>
    <w:p>
      <w:pPr>
        <w:pStyle w:val="CodeBlock"/>
      </w:pPr>
      <w:r>
        <w:t xml:space="preserve">  supportsDetailFetch: boolean;</w:t>
      </w:r>
    </w:p>
    <w:p>
      <w:pPr>
        <w:pStyle w:val="CodeBlock"/>
      </w:pPr>
      <w:r>
        <w:t xml:space="preserve">  defaultPullFrequencyHours: number;</w:t>
      </w:r>
    </w:p>
    <w:p>
      <w:pPr>
        <w:pStyle w:val="CodeBlock"/>
      </w:pPr>
      <w:r>
        <w:t xml:space="preserve"> </w:t>
      </w:r>
    </w:p>
    <w:p>
      <w:pPr>
        <w:pStyle w:val="CodeBlock"/>
      </w:pPr>
      <w:r>
        <w:t xml:space="preserve">  testConnection(): Promise&lt;ConnectorHealth&gt;;</w:t>
      </w:r>
    </w:p>
    <w:p>
      <w:pPr>
        <w:pStyle w:val="CodeBlock"/>
      </w:pPr>
      <w:r>
        <w:t xml:space="preserve">  discover(params: PullParams): AsyncIterable&lt;RawGrantSummary&gt;;</w:t>
      </w:r>
    </w:p>
    <w:p>
      <w:pPr>
        <w:pStyle w:val="CodeBlock"/>
      </w:pPr>
      <w:r>
        <w:t xml:space="preserve">  fetchDetails(summary: RawGrantSummary): Promise&lt;RawGrantDetail&gt;;</w:t>
      </w:r>
    </w:p>
    <w:p>
      <w:pPr>
        <w:pStyle w:val="CodeBlock"/>
      </w:pPr>
      <w:r>
        <w:t xml:space="preserve">  normalize(raw: RawGrantDetail): Promise&lt;NormalizedGrant&gt;;</w:t>
      </w:r>
    </w:p>
    <w:p>
      <w:pPr>
        <w:pStyle w:val="CodeBlock"/>
      </w:pPr>
      <w:r>
        <w:t>}</w:t>
      </w:r>
    </w:p>
    <w:p>
      <w:pPr>
        <w:pStyle w:val="Heading1"/>
      </w:pPr>
      <w:r>
        <w:rPr>
          <w:rFonts w:ascii="Arial" w:hAnsi="Arial"/>
        </w:rPr>
        <w:t>10. Private Funder Intelligence Layer</w:t>
      </w:r>
    </w:p>
    <w:p>
      <w:r>
        <w:rPr>
          <w:rFonts w:ascii="Arial" w:hAnsi="Arial"/>
        </w:rPr>
        <w:t>This is the specialized system that expands the product beyond government grant portals. It monitors public and authorized private funding sources for AI, technology, social media, journalism/media, cybersecurity, digital rights, open-source, and nonprofit technology opportunities.</w:t>
      </w:r>
    </w:p>
    <w:tbl>
      <w:tblPr>
        <w:tblW w:type="auto" w:w="0"/>
        <w:jc w:val="center"/>
        <w:tblLook w:firstColumn="1" w:firstRow="1" w:lastColumn="0" w:lastRow="0" w:noHBand="0" w:noVBand="1" w:val="04A0"/>
      </w:tblPr>
      <w:tblGrid>
        <w:gridCol w:w="10368"/>
      </w:tblGrid>
      <w:tr>
        <w:tc>
          <w:tcPr>
            <w:tcW w:type="dxa" w:w="10368"/>
            <w:shd w:fill="FEF3C7"/>
          </w:tcPr>
          <w:p>
            <w:pPr>
              <w:spacing w:after="60"/>
            </w:pPr>
            <w:r>
              <w:rPr>
                <w:b/>
                <w:color w:val="1C4967"/>
              </w:rPr>
              <w:t>Naming recommendation</w:t>
            </w:r>
          </w:p>
          <w:p>
            <w:pPr>
              <w:spacing w:after="0"/>
            </w:pPr>
            <w:r>
              <w:t>Use "Private Funder Intelligence" in the product and codebase rather than "private scraper." The feature should signal lawful public-source monitoring, licensed data use, and funder prospecting, not extraction of private or restricted data.</w:t>
            </w:r>
          </w:p>
        </w:tc>
      </w:tr>
    </w:tbl>
    <w:p>
      <w:pPr>
        <w:pStyle w:val="Heading2"/>
      </w:pPr>
      <w:r>
        <w:rPr>
          <w:rFonts w:ascii="Arial" w:hAnsi="Arial"/>
        </w:rPr>
        <w:t>Private funding record types</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088"/>
            <w:shd w:fill="D9EAF7"/>
            <w:vAlign w:val="top"/>
          </w:tcPr>
          <w:p>
            <w:pPr>
              <w:spacing w:after="0"/>
            </w:pPr>
            <w:r>
              <w:rPr>
                <w:sz w:val="16"/>
              </w:rPr>
            </w:r>
            <w:r>
              <w:rPr>
                <w:b/>
                <w:color w:val="1C4967"/>
                <w:sz w:val="16"/>
              </w:rPr>
              <w:t>Record type</w:t>
            </w:r>
          </w:p>
        </w:tc>
        <w:tc>
          <w:tcPr>
            <w:tcW w:type="dxa" w:w="3671"/>
            <w:shd w:fill="D9EAF7"/>
            <w:vAlign w:val="top"/>
          </w:tcPr>
          <w:p>
            <w:pPr>
              <w:spacing w:after="0"/>
            </w:pPr>
            <w:r>
              <w:rPr>
                <w:sz w:val="16"/>
              </w:rPr>
            </w:r>
            <w:r>
              <w:rPr>
                <w:b/>
                <w:color w:val="1C4967"/>
                <w:sz w:val="16"/>
              </w:rPr>
              <w:t>Meaning</w:t>
            </w:r>
          </w:p>
        </w:tc>
        <w:tc>
          <w:tcPr>
            <w:tcW w:type="dxa" w:w="3744"/>
            <w:shd w:fill="D9EAF7"/>
            <w:vAlign w:val="top"/>
          </w:tcPr>
          <w:p>
            <w:pPr>
              <w:spacing w:after="0"/>
            </w:pPr>
            <w:r>
              <w:rPr>
                <w:sz w:val="16"/>
              </w:rPr>
            </w:r>
            <w:r>
              <w:rPr>
                <w:b/>
                <w:color w:val="1C4967"/>
                <w:sz w:val="16"/>
              </w:rPr>
              <w:t>User value</w:t>
            </w:r>
          </w:p>
        </w:tc>
      </w:tr>
      <w:tr>
        <w:tc>
          <w:tcPr>
            <w:tcW w:type="dxa" w:w="2088"/>
            <w:vAlign w:val="top"/>
          </w:tcPr>
          <w:p>
            <w:pPr>
              <w:spacing w:after="0"/>
            </w:pPr>
            <w:r>
              <w:rPr>
                <w:sz w:val="16"/>
              </w:rPr>
            </w:r>
            <w:r>
              <w:rPr>
                <w:b w:val="0"/>
                <w:sz w:val="16"/>
              </w:rPr>
              <w:t>Active opportunity</w:t>
            </w:r>
          </w:p>
        </w:tc>
        <w:tc>
          <w:tcPr>
            <w:tcW w:type="dxa" w:w="3671"/>
            <w:vAlign w:val="top"/>
          </w:tcPr>
          <w:p>
            <w:pPr>
              <w:spacing w:after="0"/>
            </w:pPr>
            <w:r>
              <w:rPr>
                <w:sz w:val="16"/>
              </w:rPr>
            </w:r>
            <w:r>
              <w:rPr>
                <w:b w:val="0"/>
                <w:sz w:val="16"/>
              </w:rPr>
              <w:t>A public, currently open grant/fellowship/prize/RFP/accelerator users may be able to apply for now.</w:t>
            </w:r>
          </w:p>
        </w:tc>
        <w:tc>
          <w:tcPr>
            <w:tcW w:type="dxa" w:w="3744"/>
            <w:vAlign w:val="top"/>
          </w:tcPr>
          <w:p>
            <w:pPr>
              <w:spacing w:after="0"/>
            </w:pPr>
            <w:r>
              <w:rPr>
                <w:sz w:val="16"/>
              </w:rPr>
            </w:r>
            <w:r>
              <w:rPr>
                <w:b w:val="0"/>
                <w:sz w:val="16"/>
              </w:rPr>
              <w:t>Immediate action.</w:t>
            </w:r>
          </w:p>
        </w:tc>
      </w:tr>
      <w:tr>
        <w:tc>
          <w:tcPr>
            <w:tcW w:type="dxa" w:w="2088"/>
            <w:vAlign w:val="top"/>
          </w:tcPr>
          <w:p>
            <w:pPr>
              <w:spacing w:after="0"/>
            </w:pPr>
            <w:r>
              <w:rPr>
                <w:sz w:val="16"/>
              </w:rPr>
            </w:r>
            <w:r>
              <w:rPr>
                <w:b w:val="0"/>
                <w:sz w:val="16"/>
              </w:rPr>
              <w:t>Rolling opportunity</w:t>
            </w:r>
          </w:p>
        </w:tc>
        <w:tc>
          <w:tcPr>
            <w:tcW w:type="dxa" w:w="3671"/>
            <w:vAlign w:val="top"/>
          </w:tcPr>
          <w:p>
            <w:pPr>
              <w:spacing w:after="0"/>
            </w:pPr>
            <w:r>
              <w:rPr>
                <w:sz w:val="16"/>
              </w:rPr>
            </w:r>
            <w:r>
              <w:rPr>
                <w:b w:val="0"/>
                <w:sz w:val="16"/>
              </w:rPr>
              <w:t>A funder accepts applications or inquiries continuously.</w:t>
            </w:r>
          </w:p>
        </w:tc>
        <w:tc>
          <w:tcPr>
            <w:tcW w:type="dxa" w:w="3744"/>
            <w:vAlign w:val="top"/>
          </w:tcPr>
          <w:p>
            <w:pPr>
              <w:spacing w:after="0"/>
            </w:pPr>
            <w:r>
              <w:rPr>
                <w:sz w:val="16"/>
              </w:rPr>
            </w:r>
            <w:r>
              <w:rPr>
                <w:b w:val="0"/>
                <w:sz w:val="16"/>
              </w:rPr>
              <w:t>Save, monitor, or start LOI.</w:t>
            </w:r>
          </w:p>
        </w:tc>
      </w:tr>
      <w:tr>
        <w:tc>
          <w:tcPr>
            <w:tcW w:type="dxa" w:w="2088"/>
            <w:vAlign w:val="top"/>
          </w:tcPr>
          <w:p>
            <w:pPr>
              <w:spacing w:after="0"/>
            </w:pPr>
            <w:r>
              <w:rPr>
                <w:sz w:val="16"/>
              </w:rPr>
            </w:r>
            <w:r>
              <w:rPr>
                <w:b w:val="0"/>
                <w:sz w:val="16"/>
              </w:rPr>
              <w:t>Recurring opportunity</w:t>
            </w:r>
          </w:p>
        </w:tc>
        <w:tc>
          <w:tcPr>
            <w:tcW w:type="dxa" w:w="3671"/>
            <w:vAlign w:val="top"/>
          </w:tcPr>
          <w:p>
            <w:pPr>
              <w:spacing w:after="0"/>
            </w:pPr>
            <w:r>
              <w:rPr>
                <w:sz w:val="16"/>
              </w:rPr>
            </w:r>
            <w:r>
              <w:rPr>
                <w:b w:val="0"/>
                <w:sz w:val="16"/>
              </w:rPr>
              <w:t>A known opportunity is closed now but likely reopens in future cycles.</w:t>
            </w:r>
          </w:p>
        </w:tc>
        <w:tc>
          <w:tcPr>
            <w:tcW w:type="dxa" w:w="3744"/>
            <w:vAlign w:val="top"/>
          </w:tcPr>
          <w:p>
            <w:pPr>
              <w:spacing w:after="0"/>
            </w:pPr>
            <w:r>
              <w:rPr>
                <w:sz w:val="16"/>
              </w:rPr>
            </w:r>
            <w:r>
              <w:rPr>
                <w:b w:val="0"/>
                <w:sz w:val="16"/>
              </w:rPr>
              <w:t>Monitor and plan ahead.</w:t>
            </w:r>
          </w:p>
        </w:tc>
      </w:tr>
      <w:tr>
        <w:tc>
          <w:tcPr>
            <w:tcW w:type="dxa" w:w="2088"/>
            <w:vAlign w:val="top"/>
          </w:tcPr>
          <w:p>
            <w:pPr>
              <w:spacing w:after="0"/>
            </w:pPr>
            <w:r>
              <w:rPr>
                <w:sz w:val="16"/>
              </w:rPr>
            </w:r>
            <w:r>
              <w:rPr>
                <w:b w:val="0"/>
                <w:sz w:val="16"/>
              </w:rPr>
              <w:t>Invitation-only funder</w:t>
            </w:r>
          </w:p>
        </w:tc>
        <w:tc>
          <w:tcPr>
            <w:tcW w:type="dxa" w:w="3671"/>
            <w:vAlign w:val="top"/>
          </w:tcPr>
          <w:p>
            <w:pPr>
              <w:spacing w:after="0"/>
            </w:pPr>
            <w:r>
              <w:rPr>
                <w:sz w:val="16"/>
              </w:rPr>
            </w:r>
            <w:r>
              <w:rPr>
                <w:b w:val="0"/>
                <w:sz w:val="16"/>
              </w:rPr>
              <w:t>The funder makes grants but does not accept open applications.</w:t>
            </w:r>
          </w:p>
        </w:tc>
        <w:tc>
          <w:tcPr>
            <w:tcW w:type="dxa" w:w="3744"/>
            <w:vAlign w:val="top"/>
          </w:tcPr>
          <w:p>
            <w:pPr>
              <w:spacing w:after="0"/>
            </w:pPr>
            <w:r>
              <w:rPr>
                <w:sz w:val="16"/>
              </w:rPr>
            </w:r>
            <w:r>
              <w:rPr>
                <w:b w:val="0"/>
                <w:sz w:val="16"/>
              </w:rPr>
              <w:t>Research, relationship building, prospecting.</w:t>
            </w:r>
          </w:p>
        </w:tc>
      </w:tr>
      <w:tr>
        <w:tc>
          <w:tcPr>
            <w:tcW w:type="dxa" w:w="2088"/>
            <w:vAlign w:val="top"/>
          </w:tcPr>
          <w:p>
            <w:pPr>
              <w:spacing w:after="0"/>
            </w:pPr>
            <w:r>
              <w:rPr>
                <w:sz w:val="16"/>
              </w:rPr>
            </w:r>
            <w:r>
              <w:rPr>
                <w:b w:val="0"/>
                <w:sz w:val="16"/>
              </w:rPr>
              <w:t>Funder prospect</w:t>
            </w:r>
          </w:p>
        </w:tc>
        <w:tc>
          <w:tcPr>
            <w:tcW w:type="dxa" w:w="3671"/>
            <w:vAlign w:val="top"/>
          </w:tcPr>
          <w:p>
            <w:pPr>
              <w:spacing w:after="0"/>
            </w:pPr>
            <w:r>
              <w:rPr>
                <w:sz w:val="16"/>
              </w:rPr>
            </w:r>
            <w:r>
              <w:rPr>
                <w:b w:val="0"/>
                <w:sz w:val="16"/>
              </w:rPr>
              <w:t>Historical grants show fit, but no open application is currently detected.</w:t>
            </w:r>
          </w:p>
        </w:tc>
        <w:tc>
          <w:tcPr>
            <w:tcW w:type="dxa" w:w="3744"/>
            <w:vAlign w:val="top"/>
          </w:tcPr>
          <w:p>
            <w:pPr>
              <w:spacing w:after="0"/>
            </w:pPr>
            <w:r>
              <w:rPr>
                <w:sz w:val="16"/>
              </w:rPr>
            </w:r>
            <w:r>
              <w:rPr>
                <w:b w:val="0"/>
                <w:sz w:val="16"/>
              </w:rPr>
              <w:t>Add to prospect list and monitor.</w:t>
            </w:r>
          </w:p>
        </w:tc>
      </w:tr>
      <w:tr>
        <w:tc>
          <w:tcPr>
            <w:tcW w:type="dxa" w:w="2088"/>
            <w:vAlign w:val="top"/>
          </w:tcPr>
          <w:p>
            <w:pPr>
              <w:spacing w:after="0"/>
            </w:pPr>
            <w:r>
              <w:rPr>
                <w:sz w:val="16"/>
              </w:rPr>
            </w:r>
            <w:r>
              <w:rPr>
                <w:b w:val="0"/>
                <w:sz w:val="16"/>
              </w:rPr>
              <w:t>In-kind support</w:t>
            </w:r>
          </w:p>
        </w:tc>
        <w:tc>
          <w:tcPr>
            <w:tcW w:type="dxa" w:w="3671"/>
            <w:vAlign w:val="top"/>
          </w:tcPr>
          <w:p>
            <w:pPr>
              <w:spacing w:after="0"/>
            </w:pPr>
            <w:r>
              <w:rPr>
                <w:sz w:val="16"/>
              </w:rPr>
            </w:r>
            <w:r>
              <w:rPr>
                <w:b w:val="0"/>
                <w:sz w:val="16"/>
              </w:rPr>
              <w:t>Cloud credits, technical support, pro bono services, accelerator support, or platform resources.</w:t>
            </w:r>
          </w:p>
        </w:tc>
        <w:tc>
          <w:tcPr>
            <w:tcW w:type="dxa" w:w="3744"/>
            <w:vAlign w:val="top"/>
          </w:tcPr>
          <w:p>
            <w:pPr>
              <w:spacing w:after="0"/>
            </w:pPr>
            <w:r>
              <w:rPr>
                <w:sz w:val="16"/>
              </w:rPr>
            </w:r>
            <w:r>
              <w:rPr>
                <w:b w:val="0"/>
                <w:sz w:val="16"/>
              </w:rPr>
              <w:t>Valuable non-cash support.</w:t>
            </w:r>
          </w:p>
        </w:tc>
      </w:tr>
      <w:tr>
        <w:tc>
          <w:tcPr>
            <w:tcW w:type="dxa" w:w="2088"/>
            <w:vAlign w:val="top"/>
          </w:tcPr>
          <w:p>
            <w:pPr>
              <w:spacing w:after="0"/>
            </w:pPr>
            <w:r>
              <w:rPr>
                <w:sz w:val="16"/>
              </w:rPr>
            </w:r>
            <w:r>
              <w:rPr>
                <w:b w:val="0"/>
                <w:sz w:val="16"/>
              </w:rPr>
              <w:t>Historical grant</w:t>
            </w:r>
          </w:p>
        </w:tc>
        <w:tc>
          <w:tcPr>
            <w:tcW w:type="dxa" w:w="3671"/>
            <w:vAlign w:val="top"/>
          </w:tcPr>
          <w:p>
            <w:pPr>
              <w:spacing w:after="0"/>
            </w:pPr>
            <w:r>
              <w:rPr>
                <w:sz w:val="16"/>
              </w:rPr>
            </w:r>
            <w:r>
              <w:rPr>
                <w:b w:val="0"/>
                <w:sz w:val="16"/>
              </w:rPr>
              <w:t>Past award or grant record.</w:t>
            </w:r>
          </w:p>
        </w:tc>
        <w:tc>
          <w:tcPr>
            <w:tcW w:type="dxa" w:w="3744"/>
            <w:vAlign w:val="top"/>
          </w:tcPr>
          <w:p>
            <w:pPr>
              <w:spacing w:after="0"/>
            </w:pPr>
            <w:r>
              <w:rPr>
                <w:sz w:val="16"/>
              </w:rPr>
            </w:r>
            <w:r>
              <w:rPr>
                <w:b w:val="0"/>
                <w:sz w:val="16"/>
              </w:rPr>
              <w:t>Helps identify funder patterns and likely fit.</w:t>
            </w:r>
          </w:p>
        </w:tc>
      </w:tr>
    </w:tbl>
    <w:p/>
    <w:p>
      <w:pPr>
        <w:pStyle w:val="Heading2"/>
      </w:pPr>
      <w:r>
        <w:rPr>
          <w:rFonts w:ascii="Arial" w:hAnsi="Arial"/>
        </w:rPr>
        <w:t>Private funding categories</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664"/>
            <w:shd w:fill="D9EAF7"/>
            <w:vAlign w:val="top"/>
          </w:tcPr>
          <w:p>
            <w:pPr>
              <w:spacing w:after="0"/>
            </w:pPr>
            <w:r>
              <w:rPr>
                <w:sz w:val="17"/>
              </w:rPr>
            </w:r>
            <w:r>
              <w:rPr>
                <w:b/>
                <w:color w:val="1C4967"/>
                <w:sz w:val="17"/>
              </w:rPr>
              <w:t>Category</w:t>
            </w:r>
          </w:p>
        </w:tc>
        <w:tc>
          <w:tcPr>
            <w:tcW w:type="dxa" w:w="6840"/>
            <w:shd w:fill="D9EAF7"/>
            <w:vAlign w:val="top"/>
          </w:tcPr>
          <w:p>
            <w:pPr>
              <w:spacing w:after="0"/>
            </w:pPr>
            <w:r>
              <w:rPr>
                <w:sz w:val="17"/>
              </w:rPr>
            </w:r>
            <w:r>
              <w:rPr>
                <w:b/>
                <w:color w:val="1C4967"/>
                <w:sz w:val="17"/>
              </w:rPr>
              <w:t>Examples of included topics</w:t>
            </w:r>
          </w:p>
        </w:tc>
      </w:tr>
      <w:tr>
        <w:tc>
          <w:tcPr>
            <w:tcW w:type="dxa" w:w="2664"/>
            <w:vAlign w:val="top"/>
          </w:tcPr>
          <w:p>
            <w:pPr>
              <w:spacing w:after="0"/>
            </w:pPr>
            <w:r>
              <w:rPr>
                <w:sz w:val="17"/>
              </w:rPr>
            </w:r>
            <w:r>
              <w:rPr>
                <w:b w:val="0"/>
                <w:sz w:val="17"/>
              </w:rPr>
              <w:t>Artificial intelligence</w:t>
            </w:r>
          </w:p>
        </w:tc>
        <w:tc>
          <w:tcPr>
            <w:tcW w:type="dxa" w:w="6840"/>
            <w:vAlign w:val="top"/>
          </w:tcPr>
          <w:p>
            <w:pPr>
              <w:spacing w:after="0"/>
            </w:pPr>
            <w:r>
              <w:rPr>
                <w:sz w:val="17"/>
              </w:rPr>
            </w:r>
            <w:r>
              <w:rPr>
                <w:b w:val="0"/>
                <w:sz w:val="17"/>
              </w:rPr>
              <w:t>Responsible AI, AI literacy, generative AI for nonprofits, public-interest AI, AI safety, AI governance, AI for education, AI for health, AI for journalism.</w:t>
            </w:r>
          </w:p>
        </w:tc>
      </w:tr>
      <w:tr>
        <w:tc>
          <w:tcPr>
            <w:tcW w:type="dxa" w:w="2664"/>
            <w:vAlign w:val="top"/>
          </w:tcPr>
          <w:p>
            <w:pPr>
              <w:spacing w:after="0"/>
            </w:pPr>
            <w:r>
              <w:rPr>
                <w:sz w:val="17"/>
              </w:rPr>
            </w:r>
            <w:r>
              <w:rPr>
                <w:b w:val="0"/>
                <w:sz w:val="17"/>
              </w:rPr>
              <w:t>Technology</w:t>
            </w:r>
          </w:p>
        </w:tc>
        <w:tc>
          <w:tcPr>
            <w:tcW w:type="dxa" w:w="6840"/>
            <w:vAlign w:val="top"/>
          </w:tcPr>
          <w:p>
            <w:pPr>
              <w:spacing w:after="0"/>
            </w:pPr>
            <w:r>
              <w:rPr>
                <w:sz w:val="17"/>
              </w:rPr>
            </w:r>
            <w:r>
              <w:rPr>
                <w:b w:val="0"/>
                <w:sz w:val="17"/>
              </w:rPr>
              <w:t>Digital inclusion, civic tech, open-source software, data infrastructure, cybersecurity, nonprofit technology capacity, cloud credits, broadband, edtech, health tech.</w:t>
            </w:r>
          </w:p>
        </w:tc>
      </w:tr>
      <w:tr>
        <w:tc>
          <w:tcPr>
            <w:tcW w:type="dxa" w:w="2664"/>
            <w:vAlign w:val="top"/>
          </w:tcPr>
          <w:p>
            <w:pPr>
              <w:spacing w:after="0"/>
            </w:pPr>
            <w:r>
              <w:rPr>
                <w:sz w:val="17"/>
              </w:rPr>
            </w:r>
            <w:r>
              <w:rPr>
                <w:b w:val="0"/>
                <w:sz w:val="17"/>
              </w:rPr>
              <w:t>Social media and platform accountability</w:t>
            </w:r>
          </w:p>
        </w:tc>
        <w:tc>
          <w:tcPr>
            <w:tcW w:type="dxa" w:w="6840"/>
            <w:vAlign w:val="top"/>
          </w:tcPr>
          <w:p>
            <w:pPr>
              <w:spacing w:after="0"/>
            </w:pPr>
            <w:r>
              <w:rPr>
                <w:sz w:val="17"/>
              </w:rPr>
            </w:r>
            <w:r>
              <w:rPr>
                <w:b w:val="0"/>
                <w:sz w:val="17"/>
              </w:rPr>
              <w:t>Online safety, misinformation/disinformation, content moderation, youth online safety, creator economy research, digital rights, platform governance.</w:t>
            </w:r>
          </w:p>
        </w:tc>
      </w:tr>
      <w:tr>
        <w:tc>
          <w:tcPr>
            <w:tcW w:type="dxa" w:w="2664"/>
            <w:vAlign w:val="top"/>
          </w:tcPr>
          <w:p>
            <w:pPr>
              <w:spacing w:after="0"/>
            </w:pPr>
            <w:r>
              <w:rPr>
                <w:sz w:val="17"/>
              </w:rPr>
            </w:r>
            <w:r>
              <w:rPr>
                <w:b w:val="0"/>
                <w:sz w:val="17"/>
              </w:rPr>
              <w:t>Journalism and media</w:t>
            </w:r>
          </w:p>
        </w:tc>
        <w:tc>
          <w:tcPr>
            <w:tcW w:type="dxa" w:w="6840"/>
            <w:vAlign w:val="top"/>
          </w:tcPr>
          <w:p>
            <w:pPr>
              <w:spacing w:after="0"/>
            </w:pPr>
            <w:r>
              <w:rPr>
                <w:sz w:val="17"/>
              </w:rPr>
            </w:r>
            <w:r>
              <w:rPr>
                <w:b w:val="0"/>
                <w:sz w:val="17"/>
              </w:rPr>
              <w:t>Local journalism, community media, civic information, tech journalism, media innovation, AI in newsrooms, investigative reporting.</w:t>
            </w:r>
          </w:p>
        </w:tc>
      </w:tr>
      <w:tr>
        <w:tc>
          <w:tcPr>
            <w:tcW w:type="dxa" w:w="2664"/>
            <w:vAlign w:val="top"/>
          </w:tcPr>
          <w:p>
            <w:pPr>
              <w:spacing w:after="0"/>
            </w:pPr>
            <w:r>
              <w:rPr>
                <w:sz w:val="17"/>
              </w:rPr>
            </w:r>
            <w:r>
              <w:rPr>
                <w:b w:val="0"/>
                <w:sz w:val="17"/>
              </w:rPr>
              <w:t>Cybersecurity and digital rights</w:t>
            </w:r>
          </w:p>
        </w:tc>
        <w:tc>
          <w:tcPr>
            <w:tcW w:type="dxa" w:w="6840"/>
            <w:vAlign w:val="top"/>
          </w:tcPr>
          <w:p>
            <w:pPr>
              <w:spacing w:after="0"/>
            </w:pPr>
            <w:r>
              <w:rPr>
                <w:sz w:val="17"/>
              </w:rPr>
            </w:r>
            <w:r>
              <w:rPr>
                <w:b w:val="0"/>
                <w:sz w:val="17"/>
              </w:rPr>
              <w:t>Public-interest cybersecurity, secure communications, threat intelligence, digital harm prevention, civil society security, digital rights advocacy.</w:t>
            </w:r>
          </w:p>
        </w:tc>
      </w:tr>
      <w:tr>
        <w:tc>
          <w:tcPr>
            <w:tcW w:type="dxa" w:w="2664"/>
            <w:vAlign w:val="top"/>
          </w:tcPr>
          <w:p>
            <w:pPr>
              <w:spacing w:after="0"/>
            </w:pPr>
            <w:r>
              <w:rPr>
                <w:sz w:val="17"/>
              </w:rPr>
            </w:r>
            <w:r>
              <w:rPr>
                <w:b w:val="0"/>
                <w:sz w:val="17"/>
              </w:rPr>
              <w:t>Research and fellowships</w:t>
            </w:r>
          </w:p>
        </w:tc>
        <w:tc>
          <w:tcPr>
            <w:tcW w:type="dxa" w:w="6840"/>
            <w:vAlign w:val="top"/>
          </w:tcPr>
          <w:p>
            <w:pPr>
              <w:spacing w:after="0"/>
            </w:pPr>
            <w:r>
              <w:rPr>
                <w:sz w:val="17"/>
              </w:rPr>
            </w:r>
            <w:r>
              <w:rPr>
                <w:b w:val="0"/>
                <w:sz w:val="17"/>
              </w:rPr>
              <w:t>Research RFPs, academic grants, journalism fellowships, policy research, practitioner fellowships.</w:t>
            </w:r>
          </w:p>
        </w:tc>
      </w:tr>
      <w:tr>
        <w:tc>
          <w:tcPr>
            <w:tcW w:type="dxa" w:w="2664"/>
            <w:vAlign w:val="top"/>
          </w:tcPr>
          <w:p>
            <w:pPr>
              <w:spacing w:after="0"/>
            </w:pPr>
            <w:r>
              <w:rPr>
                <w:sz w:val="17"/>
              </w:rPr>
            </w:r>
            <w:r>
              <w:rPr>
                <w:b w:val="0"/>
                <w:sz w:val="17"/>
              </w:rPr>
              <w:t>Challenges and accelerators</w:t>
            </w:r>
          </w:p>
        </w:tc>
        <w:tc>
          <w:tcPr>
            <w:tcW w:type="dxa" w:w="6840"/>
            <w:vAlign w:val="top"/>
          </w:tcPr>
          <w:p>
            <w:pPr>
              <w:spacing w:after="0"/>
            </w:pPr>
            <w:r>
              <w:rPr>
                <w:sz w:val="17"/>
              </w:rPr>
            </w:r>
            <w:r>
              <w:rPr>
                <w:b w:val="0"/>
                <w:sz w:val="17"/>
              </w:rPr>
              <w:t>Prize programs, open calls, accelerator cohorts, technical assistance, innovation challenges.</w:t>
            </w:r>
          </w:p>
        </w:tc>
      </w:tr>
    </w:tbl>
    <w:p/>
    <w:p>
      <w:pPr>
        <w:pStyle w:val="Heading2"/>
      </w:pPr>
      <w:r>
        <w:rPr>
          <w:rFonts w:ascii="Arial" w:hAnsi="Arial"/>
        </w:rPr>
        <w:t>Private funder intelligence architecture</w:t>
      </w:r>
    </w:p>
    <w:p>
      <w:pPr>
        <w:pStyle w:val="CodeBlock"/>
      </w:pPr>
      <w:r>
        <w:t>Private Funder Intelligence Service</w:t>
      </w:r>
    </w:p>
    <w:p>
      <w:pPr>
        <w:pStyle w:val="CodeBlock"/>
      </w:pPr>
      <w:r>
        <w:t xml:space="preserve">  source-registry/</w:t>
      </w:r>
    </w:p>
    <w:p>
      <w:pPr>
        <w:pStyle w:val="CodeBlock"/>
      </w:pPr>
      <w:r>
        <w:t xml:space="preserve">    PrivateSourceRegistry</w:t>
      </w:r>
    </w:p>
    <w:p>
      <w:pPr>
        <w:pStyle w:val="CodeBlock"/>
      </w:pPr>
      <w:r>
        <w:t xml:space="preserve">    SourceComplianceChecker</w:t>
      </w:r>
    </w:p>
    <w:p>
      <w:pPr>
        <w:pStyle w:val="CodeBlock"/>
      </w:pPr>
      <w:r>
        <w:t xml:space="preserve">    SeedPrivateSources</w:t>
      </w:r>
    </w:p>
    <w:p>
      <w:pPr>
        <w:pStyle w:val="CodeBlock"/>
      </w:pPr>
      <w:r>
        <w:t xml:space="preserve">  crawlers/</w:t>
      </w:r>
    </w:p>
    <w:p>
      <w:pPr>
        <w:pStyle w:val="CodeBlock"/>
      </w:pPr>
      <w:r>
        <w:t xml:space="preserve">    StaticHtmlCrawler</w:t>
      </w:r>
    </w:p>
    <w:p>
      <w:pPr>
        <w:pStyle w:val="CodeBlock"/>
      </w:pPr>
      <w:r>
        <w:t xml:space="preserve">    JavascriptCrawler</w:t>
      </w:r>
    </w:p>
    <w:p>
      <w:pPr>
        <w:pStyle w:val="CodeBlock"/>
      </w:pPr>
      <w:r>
        <w:t xml:space="preserve">    RssCrawler</w:t>
      </w:r>
    </w:p>
    <w:p>
      <w:pPr>
        <w:pStyle w:val="CodeBlock"/>
      </w:pPr>
      <w:r>
        <w:t xml:space="preserve">    SitemapCrawler</w:t>
      </w:r>
    </w:p>
    <w:p>
      <w:pPr>
        <w:pStyle w:val="CodeBlock"/>
      </w:pPr>
      <w:r>
        <w:t xml:space="preserve">    PdfLinkCrawler</w:t>
      </w:r>
    </w:p>
    <w:p>
      <w:pPr>
        <w:pStyle w:val="CodeBlock"/>
      </w:pPr>
      <w:r>
        <w:t xml:space="preserve">  detectors/</w:t>
      </w:r>
    </w:p>
    <w:p>
      <w:pPr>
        <w:pStyle w:val="CodeBlock"/>
      </w:pPr>
      <w:r>
        <w:t xml:space="preserve">    OpportunityDetector</w:t>
      </w:r>
    </w:p>
    <w:p>
      <w:pPr>
        <w:pStyle w:val="CodeBlock"/>
      </w:pPr>
      <w:r>
        <w:t xml:space="preserve">    ApplicationPortalDetector</w:t>
      </w:r>
    </w:p>
    <w:p>
      <w:pPr>
        <w:pStyle w:val="CodeBlock"/>
      </w:pPr>
      <w:r>
        <w:t xml:space="preserve">    DeadlineDetector</w:t>
      </w:r>
    </w:p>
    <w:p>
      <w:pPr>
        <w:pStyle w:val="CodeBlock"/>
      </w:pPr>
      <w:r>
        <w:t xml:space="preserve">    FundingAmountDetector</w:t>
      </w:r>
    </w:p>
    <w:p>
      <w:pPr>
        <w:pStyle w:val="CodeBlock"/>
      </w:pPr>
      <w:r>
        <w:t xml:space="preserve">    EligibilityDetector</w:t>
      </w:r>
    </w:p>
    <w:p>
      <w:pPr>
        <w:pStyle w:val="CodeBlock"/>
      </w:pPr>
      <w:r>
        <w:t xml:space="preserve">    ClosedOpportunityDetector</w:t>
      </w:r>
    </w:p>
    <w:p>
      <w:pPr>
        <w:pStyle w:val="CodeBlock"/>
      </w:pPr>
      <w:r>
        <w:t xml:space="preserve">  classifiers/</w:t>
      </w:r>
    </w:p>
    <w:p>
      <w:pPr>
        <w:pStyle w:val="CodeBlock"/>
      </w:pPr>
      <w:r>
        <w:t xml:space="preserve">    AiGrantClassifier</w:t>
      </w:r>
    </w:p>
    <w:p>
      <w:pPr>
        <w:pStyle w:val="CodeBlock"/>
      </w:pPr>
      <w:r>
        <w:t xml:space="preserve">    TechnologyGrantClassifier</w:t>
      </w:r>
    </w:p>
    <w:p>
      <w:pPr>
        <w:pStyle w:val="CodeBlock"/>
      </w:pPr>
      <w:r>
        <w:t xml:space="preserve">    SocialMediaGrantClassifier</w:t>
      </w:r>
    </w:p>
    <w:p>
      <w:pPr>
        <w:pStyle w:val="CodeBlock"/>
      </w:pPr>
      <w:r>
        <w:t xml:space="preserve">    JournalismGrantClassifier</w:t>
      </w:r>
    </w:p>
    <w:p>
      <w:pPr>
        <w:pStyle w:val="CodeBlock"/>
      </w:pPr>
      <w:r>
        <w:t xml:space="preserve">    CybersecurityGrantClassifier</w:t>
      </w:r>
    </w:p>
    <w:p>
      <w:pPr>
        <w:pStyle w:val="CodeBlock"/>
      </w:pPr>
      <w:r>
        <w:t xml:space="preserve">    FunderTypeClassifier</w:t>
      </w:r>
    </w:p>
    <w:p>
      <w:pPr>
        <w:pStyle w:val="CodeBlock"/>
      </w:pPr>
      <w:r>
        <w:t xml:space="preserve">  normalizers/</w:t>
      </w:r>
    </w:p>
    <w:p>
      <w:pPr>
        <w:pStyle w:val="CodeBlock"/>
      </w:pPr>
      <w:r>
        <w:t xml:space="preserve">    PrivateGrantNormalizer</w:t>
      </w:r>
    </w:p>
    <w:p>
      <w:pPr>
        <w:pStyle w:val="CodeBlock"/>
      </w:pPr>
      <w:r>
        <w:t xml:space="preserve">    FellowshipNormalizer</w:t>
      </w:r>
    </w:p>
    <w:p>
      <w:pPr>
        <w:pStyle w:val="CodeBlock"/>
      </w:pPr>
      <w:r>
        <w:t xml:space="preserve">    ChallengeNormalizer</w:t>
      </w:r>
    </w:p>
    <w:p>
      <w:pPr>
        <w:pStyle w:val="CodeBlock"/>
      </w:pPr>
      <w:r>
        <w:t xml:space="preserve">    CorporateGrantNormalizer</w:t>
      </w:r>
    </w:p>
    <w:p>
      <w:pPr>
        <w:pStyle w:val="CodeBlock"/>
      </w:pPr>
      <w:r>
        <w:t xml:space="preserve">  review/</w:t>
      </w:r>
    </w:p>
    <w:p>
      <w:pPr>
        <w:pStyle w:val="CodeBlock"/>
      </w:pPr>
      <w:r>
        <w:t xml:space="preserve">    PrivateGrantReviewQueue</w:t>
      </w:r>
    </w:p>
    <w:p>
      <w:pPr>
        <w:pStyle w:val="CodeBlock"/>
      </w:pPr>
      <w:r>
        <w:t xml:space="preserve">    ExtractionConfidenceScorer</w:t>
      </w:r>
    </w:p>
    <w:p>
      <w:pPr>
        <w:pStyle w:val="CodeBlock"/>
      </w:pPr>
      <w:r>
        <w:t xml:space="preserve">  enrichment/</w:t>
      </w:r>
    </w:p>
    <w:p>
      <w:pPr>
        <w:pStyle w:val="CodeBlock"/>
      </w:pPr>
      <w:r>
        <w:t xml:space="preserve">    FunderProfileEnricher</w:t>
      </w:r>
    </w:p>
    <w:p>
      <w:pPr>
        <w:pStyle w:val="CodeBlock"/>
      </w:pPr>
      <w:r>
        <w:t xml:space="preserve">    HistoricalGrantEnricher</w:t>
      </w:r>
    </w:p>
    <w:p>
      <w:pPr>
        <w:pStyle w:val="CodeBlock"/>
      </w:pPr>
      <w:r>
        <w:t xml:space="preserve">    CandidApiConnector</w:t>
      </w:r>
    </w:p>
    <w:p>
      <w:pPr>
        <w:pStyle w:val="CodeBlock"/>
      </w:pPr>
      <w:r>
        <w:t xml:space="preserve">    Form990Processor</w:t>
      </w:r>
    </w:p>
    <w:p>
      <w:pPr>
        <w:pStyle w:val="Heading2"/>
      </w:pPr>
      <w:r>
        <w:rPr>
          <w:rFonts w:ascii="Arial" w:hAnsi="Arial"/>
        </w:rPr>
        <w:t>Private source workflow</w:t>
      </w:r>
    </w:p>
    <w:p>
      <w:pPr>
        <w:pStyle w:val="ListNumber"/>
      </w:pPr>
      <w:r>
        <w:rPr>
          <w:rFonts w:ascii="Arial" w:hAnsi="Arial"/>
        </w:rPr>
        <w:t>Load private source configuration from the source registry.</w:t>
      </w:r>
    </w:p>
    <w:p>
      <w:pPr>
        <w:pStyle w:val="ListNumber"/>
      </w:pPr>
      <w:r>
        <w:rPr>
          <w:rFonts w:ascii="Arial" w:hAnsi="Arial"/>
        </w:rPr>
        <w:t>Run compliance check: robots.txt, terms, login requirement, license, rate limit, and allowed storage/display behavior.</w:t>
      </w:r>
    </w:p>
    <w:p>
      <w:pPr>
        <w:pStyle w:val="ListNumber"/>
      </w:pPr>
      <w:r>
        <w:rPr>
          <w:rFonts w:ascii="Arial" w:hAnsi="Arial"/>
        </w:rPr>
        <w:t>Fetch only allowed public pages, RSS feeds, sitemaps, or licensed API records.</w:t>
      </w:r>
    </w:p>
    <w:p>
      <w:pPr>
        <w:pStyle w:val="ListNumber"/>
      </w:pPr>
      <w:r>
        <w:rPr>
          <w:rFonts w:ascii="Arial" w:hAnsi="Arial"/>
        </w:rPr>
        <w:t>Hash page content and skip unchanged pages unless a forced refresh is requested.</w:t>
      </w:r>
    </w:p>
    <w:p>
      <w:pPr>
        <w:pStyle w:val="ListNumber"/>
      </w:pPr>
      <w:r>
        <w:rPr>
          <w:rFonts w:ascii="Arial" w:hAnsi="Arial"/>
        </w:rPr>
        <w:t>Detect opportunity candidates using funding/deadline/application/eligibility signals.</w:t>
      </w:r>
    </w:p>
    <w:p>
      <w:pPr>
        <w:pStyle w:val="ListNumber"/>
      </w:pPr>
      <w:r>
        <w:rPr>
          <w:rFonts w:ascii="Arial" w:hAnsi="Arial"/>
        </w:rPr>
        <w:t>Classify opportunity type and topic relevance.</w:t>
      </w:r>
    </w:p>
    <w:p>
      <w:pPr>
        <w:pStyle w:val="ListNumber"/>
      </w:pPr>
      <w:r>
        <w:rPr>
          <w:rFonts w:ascii="Arial" w:hAnsi="Arial"/>
        </w:rPr>
        <w:t>Extract title, description, amount, deadline, eligibility, apply URL, funder, geography, and application portal type.</w:t>
      </w:r>
    </w:p>
    <w:p>
      <w:pPr>
        <w:pStyle w:val="ListNumber"/>
      </w:pPr>
      <w:r>
        <w:rPr>
          <w:rFonts w:ascii="Arial" w:hAnsi="Arial"/>
        </w:rPr>
        <w:t>Store candidate record before promoting to canonical grant.</w:t>
      </w:r>
    </w:p>
    <w:p>
      <w:pPr>
        <w:pStyle w:val="ListNumber"/>
      </w:pPr>
      <w:r>
        <w:rPr>
          <w:rFonts w:ascii="Arial" w:hAnsi="Arial"/>
        </w:rPr>
        <w:t>Send low-confidence, missing-deadline, or ambiguous records to admin review.</w:t>
      </w:r>
    </w:p>
    <w:p>
      <w:pPr>
        <w:pStyle w:val="ListNumber"/>
      </w:pPr>
      <w:r>
        <w:rPr>
          <w:rFonts w:ascii="Arial" w:hAnsi="Arial"/>
        </w:rPr>
        <w:t>Normalize approved candidates into the main grants table and index them for search.</w:t>
      </w:r>
    </w:p>
    <w:p>
      <w:pPr>
        <w:pStyle w:val="ListNumber"/>
      </w:pPr>
      <w:r>
        <w:rPr>
          <w:rFonts w:ascii="Arial" w:hAnsi="Arial"/>
        </w:rPr>
        <w:t>Match relevant profiles and send alerts.</w:t>
      </w:r>
    </w:p>
    <w:p>
      <w:pPr>
        <w:pStyle w:val="Heading2"/>
      </w:pPr>
      <w:r>
        <w:rPr>
          <w:rFonts w:ascii="Arial" w:hAnsi="Arial"/>
        </w:rPr>
        <w:t>Opportunity detector signals</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160"/>
            <w:shd w:fill="D9EAF7"/>
            <w:vAlign w:val="top"/>
          </w:tcPr>
          <w:p>
            <w:pPr>
              <w:spacing w:after="0"/>
            </w:pPr>
            <w:r>
              <w:rPr>
                <w:sz w:val="16"/>
              </w:rPr>
            </w:r>
            <w:r>
              <w:rPr>
                <w:b/>
                <w:color w:val="1C4967"/>
                <w:sz w:val="16"/>
              </w:rPr>
              <w:t>Signal group</w:t>
            </w:r>
          </w:p>
        </w:tc>
        <w:tc>
          <w:tcPr>
            <w:tcW w:type="dxa" w:w="3816"/>
            <w:shd w:fill="D9EAF7"/>
            <w:vAlign w:val="top"/>
          </w:tcPr>
          <w:p>
            <w:pPr>
              <w:spacing w:after="0"/>
            </w:pPr>
            <w:r>
              <w:rPr>
                <w:sz w:val="16"/>
              </w:rPr>
            </w:r>
            <w:r>
              <w:rPr>
                <w:b/>
                <w:color w:val="1C4967"/>
                <w:sz w:val="16"/>
              </w:rPr>
              <w:t>Positive examples</w:t>
            </w:r>
          </w:p>
        </w:tc>
        <w:tc>
          <w:tcPr>
            <w:tcW w:type="dxa" w:w="3528"/>
            <w:shd w:fill="D9EAF7"/>
            <w:vAlign w:val="top"/>
          </w:tcPr>
          <w:p>
            <w:pPr>
              <w:spacing w:after="0"/>
            </w:pPr>
            <w:r>
              <w:rPr>
                <w:sz w:val="16"/>
              </w:rPr>
            </w:r>
            <w:r>
              <w:rPr>
                <w:b/>
                <w:color w:val="1C4967"/>
                <w:sz w:val="16"/>
              </w:rPr>
              <w:t>Negative examples</w:t>
            </w:r>
          </w:p>
        </w:tc>
      </w:tr>
      <w:tr>
        <w:tc>
          <w:tcPr>
            <w:tcW w:type="dxa" w:w="2160"/>
            <w:vAlign w:val="top"/>
          </w:tcPr>
          <w:p>
            <w:pPr>
              <w:spacing w:after="0"/>
            </w:pPr>
            <w:r>
              <w:rPr>
                <w:sz w:val="16"/>
              </w:rPr>
            </w:r>
            <w:r>
              <w:rPr>
                <w:b w:val="0"/>
                <w:sz w:val="16"/>
              </w:rPr>
              <w:t>Funding language</w:t>
            </w:r>
          </w:p>
        </w:tc>
        <w:tc>
          <w:tcPr>
            <w:tcW w:type="dxa" w:w="3816"/>
            <w:vAlign w:val="top"/>
          </w:tcPr>
          <w:p>
            <w:pPr>
              <w:spacing w:after="0"/>
            </w:pPr>
            <w:r>
              <w:rPr>
                <w:sz w:val="16"/>
              </w:rPr>
            </w:r>
            <w:r>
              <w:rPr>
                <w:b w:val="0"/>
                <w:sz w:val="16"/>
              </w:rPr>
              <w:t>grant, funding, award, RFP, open call, fellowship, challenge, accelerator, request for proposals</w:t>
            </w:r>
          </w:p>
        </w:tc>
        <w:tc>
          <w:tcPr>
            <w:tcW w:type="dxa" w:w="3528"/>
            <w:vAlign w:val="top"/>
          </w:tcPr>
          <w:p>
            <w:pPr>
              <w:spacing w:after="0"/>
            </w:pPr>
            <w:r>
              <w:rPr>
                <w:sz w:val="16"/>
              </w:rPr>
            </w:r>
            <w:r>
              <w:rPr>
                <w:b w:val="0"/>
                <w:sz w:val="16"/>
              </w:rPr>
              <w:t>donate, fundraising campaign, event recap, staff bio</w:t>
            </w:r>
          </w:p>
        </w:tc>
      </w:tr>
      <w:tr>
        <w:tc>
          <w:tcPr>
            <w:tcW w:type="dxa" w:w="2160"/>
            <w:vAlign w:val="top"/>
          </w:tcPr>
          <w:p>
            <w:pPr>
              <w:spacing w:after="0"/>
            </w:pPr>
            <w:r>
              <w:rPr>
                <w:sz w:val="16"/>
              </w:rPr>
            </w:r>
            <w:r>
              <w:rPr>
                <w:b w:val="0"/>
                <w:sz w:val="16"/>
              </w:rPr>
              <w:t>Action language</w:t>
            </w:r>
          </w:p>
        </w:tc>
        <w:tc>
          <w:tcPr>
            <w:tcW w:type="dxa" w:w="3816"/>
            <w:vAlign w:val="top"/>
          </w:tcPr>
          <w:p>
            <w:pPr>
              <w:spacing w:after="0"/>
            </w:pPr>
            <w:r>
              <w:rPr>
                <w:sz w:val="16"/>
              </w:rPr>
            </w:r>
            <w:r>
              <w:rPr>
                <w:b w:val="0"/>
                <w:sz w:val="16"/>
              </w:rPr>
              <w:t>apply, application, letter of inquiry, LOI, submit proposal, register, deadline</w:t>
            </w:r>
          </w:p>
        </w:tc>
        <w:tc>
          <w:tcPr>
            <w:tcW w:type="dxa" w:w="3528"/>
            <w:vAlign w:val="top"/>
          </w:tcPr>
          <w:p>
            <w:pPr>
              <w:spacing w:after="0"/>
            </w:pPr>
            <w:r>
              <w:rPr>
                <w:sz w:val="16"/>
              </w:rPr>
            </w:r>
            <w:r>
              <w:rPr>
                <w:b w:val="0"/>
                <w:sz w:val="16"/>
              </w:rPr>
              <w:t>past recipients only, annual report only, press mention only</w:t>
            </w:r>
          </w:p>
        </w:tc>
      </w:tr>
      <w:tr>
        <w:tc>
          <w:tcPr>
            <w:tcW w:type="dxa" w:w="2160"/>
            <w:vAlign w:val="top"/>
          </w:tcPr>
          <w:p>
            <w:pPr>
              <w:spacing w:after="0"/>
            </w:pPr>
            <w:r>
              <w:rPr>
                <w:sz w:val="16"/>
              </w:rPr>
            </w:r>
            <w:r>
              <w:rPr>
                <w:b w:val="0"/>
                <w:sz w:val="16"/>
              </w:rPr>
              <w:t>Eligibility language</w:t>
            </w:r>
          </w:p>
        </w:tc>
        <w:tc>
          <w:tcPr>
            <w:tcW w:type="dxa" w:w="3816"/>
            <w:vAlign w:val="top"/>
          </w:tcPr>
          <w:p>
            <w:pPr>
              <w:spacing w:after="0"/>
            </w:pPr>
            <w:r>
              <w:rPr>
                <w:sz w:val="16"/>
              </w:rPr>
            </w:r>
            <w:r>
              <w:rPr>
                <w:b w:val="0"/>
                <w:sz w:val="16"/>
              </w:rPr>
              <w:t>who can apply, eligible organizations, nonprofit status, journalist eligibility, geographic eligibility</w:t>
            </w:r>
          </w:p>
        </w:tc>
        <w:tc>
          <w:tcPr>
            <w:tcW w:type="dxa" w:w="3528"/>
            <w:vAlign w:val="top"/>
          </w:tcPr>
          <w:p>
            <w:pPr>
              <w:spacing w:after="0"/>
            </w:pPr>
            <w:r>
              <w:rPr>
                <w:sz w:val="16"/>
              </w:rPr>
            </w:r>
            <w:r>
              <w:rPr>
                <w:b w:val="0"/>
                <w:sz w:val="16"/>
              </w:rPr>
              <w:t>no application details, no eligibility criteria</w:t>
            </w:r>
          </w:p>
        </w:tc>
      </w:tr>
      <w:tr>
        <w:tc>
          <w:tcPr>
            <w:tcW w:type="dxa" w:w="2160"/>
            <w:vAlign w:val="top"/>
          </w:tcPr>
          <w:p>
            <w:pPr>
              <w:spacing w:after="0"/>
            </w:pPr>
            <w:r>
              <w:rPr>
                <w:sz w:val="16"/>
              </w:rPr>
            </w:r>
            <w:r>
              <w:rPr>
                <w:b w:val="0"/>
                <w:sz w:val="16"/>
              </w:rPr>
              <w:t>Funding detail</w:t>
            </w:r>
          </w:p>
        </w:tc>
        <w:tc>
          <w:tcPr>
            <w:tcW w:type="dxa" w:w="3816"/>
            <w:vAlign w:val="top"/>
          </w:tcPr>
          <w:p>
            <w:pPr>
              <w:spacing w:after="0"/>
            </w:pPr>
            <w:r>
              <w:rPr>
                <w:sz w:val="16"/>
              </w:rPr>
            </w:r>
            <w:r>
              <w:rPr>
                <w:b w:val="0"/>
                <w:sz w:val="16"/>
              </w:rPr>
              <w:t>award amount, funding range, cloud credits, stipend, technical assistance</w:t>
            </w:r>
          </w:p>
        </w:tc>
        <w:tc>
          <w:tcPr>
            <w:tcW w:type="dxa" w:w="3528"/>
            <w:vAlign w:val="top"/>
          </w:tcPr>
          <w:p>
            <w:pPr>
              <w:spacing w:after="0"/>
            </w:pPr>
            <w:r>
              <w:rPr>
                <w:sz w:val="16"/>
              </w:rPr>
            </w:r>
            <w:r>
              <w:rPr>
                <w:b w:val="0"/>
                <w:sz w:val="16"/>
              </w:rPr>
              <w:t>historical amount only without current opportunity</w:t>
            </w:r>
          </w:p>
        </w:tc>
      </w:tr>
      <w:tr>
        <w:tc>
          <w:tcPr>
            <w:tcW w:type="dxa" w:w="2160"/>
            <w:vAlign w:val="top"/>
          </w:tcPr>
          <w:p>
            <w:pPr>
              <w:spacing w:after="0"/>
            </w:pPr>
            <w:r>
              <w:rPr>
                <w:sz w:val="16"/>
              </w:rPr>
            </w:r>
            <w:r>
              <w:rPr>
                <w:b w:val="0"/>
                <w:sz w:val="16"/>
              </w:rPr>
              <w:t>Status detail</w:t>
            </w:r>
          </w:p>
        </w:tc>
        <w:tc>
          <w:tcPr>
            <w:tcW w:type="dxa" w:w="3816"/>
            <w:vAlign w:val="top"/>
          </w:tcPr>
          <w:p>
            <w:pPr>
              <w:spacing w:after="0"/>
            </w:pPr>
            <w:r>
              <w:rPr>
                <w:sz w:val="16"/>
              </w:rPr>
            </w:r>
            <w:r>
              <w:rPr>
                <w:b w:val="0"/>
                <w:sz w:val="16"/>
              </w:rPr>
              <w:t>open, rolling, closes on, deadline, application window</w:t>
            </w:r>
          </w:p>
        </w:tc>
        <w:tc>
          <w:tcPr>
            <w:tcW w:type="dxa" w:w="3528"/>
            <w:vAlign w:val="top"/>
          </w:tcPr>
          <w:p>
            <w:pPr>
              <w:spacing w:after="0"/>
            </w:pPr>
            <w:r>
              <w:rPr>
                <w:sz w:val="16"/>
              </w:rPr>
            </w:r>
            <w:r>
              <w:rPr>
                <w:b w:val="0"/>
                <w:sz w:val="16"/>
              </w:rPr>
              <w:t>closed, awarded, archive, past cohort</w:t>
            </w:r>
          </w:p>
        </w:tc>
      </w:tr>
    </w:tbl>
    <w:p/>
    <w:p>
      <w:pPr>
        <w:pStyle w:val="Heading2"/>
      </w:pPr>
      <w:r>
        <w:rPr>
          <w:rFonts w:ascii="Arial" w:hAnsi="Arial"/>
        </w:rPr>
        <w:t>Topic classifier output</w:t>
      </w:r>
    </w:p>
    <w:p>
      <w:pPr>
        <w:pStyle w:val="CodeBlock"/>
      </w:pPr>
      <w:r>
        <w:t>{</w:t>
      </w:r>
    </w:p>
    <w:p>
      <w:pPr>
        <w:pStyle w:val="CodeBlock"/>
      </w:pPr>
      <w:r>
        <w:t xml:space="preserve">  "topics": ["AI", "community journalism", "technology"],</w:t>
      </w:r>
    </w:p>
    <w:p>
      <w:pPr>
        <w:pStyle w:val="CodeBlock"/>
      </w:pPr>
      <w:r>
        <w:t xml:space="preserve">  "scores": {</w:t>
      </w:r>
    </w:p>
    <w:p>
      <w:pPr>
        <w:pStyle w:val="CodeBlock"/>
      </w:pPr>
      <w:r>
        <w:t xml:space="preserve">    "artificialIntelligence": 0.92,</w:t>
      </w:r>
    </w:p>
    <w:p>
      <w:pPr>
        <w:pStyle w:val="CodeBlock"/>
      </w:pPr>
      <w:r>
        <w:t xml:space="preserve">    "technology": 0.81,</w:t>
      </w:r>
    </w:p>
    <w:p>
      <w:pPr>
        <w:pStyle w:val="CodeBlock"/>
      </w:pPr>
      <w:r>
        <w:t xml:space="preserve">    "socialMedia": 0.34,</w:t>
      </w:r>
    </w:p>
    <w:p>
      <w:pPr>
        <w:pStyle w:val="CodeBlock"/>
      </w:pPr>
      <w:r>
        <w:t xml:space="preserve">    "journalismMedia": 0.76,</w:t>
      </w:r>
    </w:p>
    <w:p>
      <w:pPr>
        <w:pStyle w:val="CodeBlock"/>
      </w:pPr>
      <w:r>
        <w:t xml:space="preserve">    "misinformation": 0.22,</w:t>
      </w:r>
    </w:p>
    <w:p>
      <w:pPr>
        <w:pStyle w:val="CodeBlock"/>
      </w:pPr>
      <w:r>
        <w:t xml:space="preserve">    "cybersecurity": 0.10,</w:t>
      </w:r>
    </w:p>
    <w:p>
      <w:pPr>
        <w:pStyle w:val="CodeBlock"/>
      </w:pPr>
      <w:r>
        <w:t xml:space="preserve">    "digitalRights": 0.18,</w:t>
      </w:r>
    </w:p>
    <w:p>
      <w:pPr>
        <w:pStyle w:val="CodeBlock"/>
      </w:pPr>
      <w:r>
        <w:t xml:space="preserve">    "openSource": 0.26</w:t>
      </w:r>
    </w:p>
    <w:p>
      <w:pPr>
        <w:pStyle w:val="CodeBlock"/>
      </w:pPr>
      <w:r>
        <w:t xml:space="preserve">  },</w:t>
      </w:r>
    </w:p>
    <w:p>
      <w:pPr>
        <w:pStyle w:val="CodeBlock"/>
      </w:pPr>
      <w:r>
        <w:t xml:space="preserve">  "reason": "The opportunity mentions AI, local journalism, community information, and nonprofit innovation."</w:t>
      </w:r>
    </w:p>
    <w:p>
      <w:pPr>
        <w:pStyle w:val="CodeBlock"/>
      </w:pPr>
      <w:r>
        <w:t>}</w:t>
      </w:r>
    </w:p>
    <w:p>
      <w:pPr>
        <w:pStyle w:val="Heading2"/>
      </w:pPr>
      <w:r>
        <w:rPr>
          <w:rFonts w:ascii="Arial" w:hAnsi="Arial"/>
        </w:rPr>
        <w:t>Seed source examples for private intelligence</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448"/>
            <w:shd w:fill="D9EAF7"/>
            <w:vAlign w:val="top"/>
          </w:tcPr>
          <w:p>
            <w:pPr>
              <w:spacing w:after="0"/>
            </w:pPr>
            <w:r>
              <w:rPr>
                <w:sz w:val="17"/>
              </w:rPr>
            </w:r>
            <w:r>
              <w:rPr>
                <w:b/>
                <w:color w:val="1C4967"/>
                <w:sz w:val="17"/>
              </w:rPr>
              <w:t>Focus</w:t>
            </w:r>
          </w:p>
        </w:tc>
        <w:tc>
          <w:tcPr>
            <w:tcW w:type="dxa" w:w="7056"/>
            <w:shd w:fill="D9EAF7"/>
            <w:vAlign w:val="top"/>
          </w:tcPr>
          <w:p>
            <w:pPr>
              <w:spacing w:after="0"/>
            </w:pPr>
            <w:r>
              <w:rPr>
                <w:sz w:val="17"/>
              </w:rPr>
            </w:r>
            <w:r>
              <w:rPr>
                <w:b/>
                <w:color w:val="1C4967"/>
                <w:sz w:val="17"/>
              </w:rPr>
              <w:t>Example source types to seed</w:t>
            </w:r>
          </w:p>
        </w:tc>
      </w:tr>
      <w:tr>
        <w:tc>
          <w:tcPr>
            <w:tcW w:type="dxa" w:w="2448"/>
            <w:vAlign w:val="top"/>
          </w:tcPr>
          <w:p>
            <w:pPr>
              <w:spacing w:after="0"/>
            </w:pPr>
            <w:r>
              <w:rPr>
                <w:sz w:val="17"/>
              </w:rPr>
            </w:r>
            <w:r>
              <w:rPr>
                <w:b w:val="0"/>
                <w:sz w:val="17"/>
              </w:rPr>
              <w:t>AI and public-interest technology</w:t>
            </w:r>
          </w:p>
        </w:tc>
        <w:tc>
          <w:tcPr>
            <w:tcW w:type="dxa" w:w="7056"/>
            <w:vAlign w:val="top"/>
          </w:tcPr>
          <w:p>
            <w:pPr>
              <w:spacing w:after="0"/>
            </w:pPr>
            <w:r>
              <w:rPr>
                <w:sz w:val="17"/>
              </w:rPr>
            </w:r>
            <w:r>
              <w:rPr>
                <w:b w:val="0"/>
                <w:sz w:val="17"/>
              </w:rPr>
              <w:t>OpenAI Foundation, Google.org, Patrick J. McGovern Foundation, Mozilla Foundation, RAAIS Foundation, GitLab Foundation, corporate AI-for-good programs.</w:t>
            </w:r>
          </w:p>
        </w:tc>
      </w:tr>
      <w:tr>
        <w:tc>
          <w:tcPr>
            <w:tcW w:type="dxa" w:w="2448"/>
            <w:vAlign w:val="top"/>
          </w:tcPr>
          <w:p>
            <w:pPr>
              <w:spacing w:after="0"/>
            </w:pPr>
            <w:r>
              <w:rPr>
                <w:sz w:val="17"/>
              </w:rPr>
            </w:r>
            <w:r>
              <w:rPr>
                <w:b w:val="0"/>
                <w:sz w:val="17"/>
              </w:rPr>
              <w:t>Social media, journalism, platform accountability</w:t>
            </w:r>
          </w:p>
        </w:tc>
        <w:tc>
          <w:tcPr>
            <w:tcW w:type="dxa" w:w="7056"/>
            <w:vAlign w:val="top"/>
          </w:tcPr>
          <w:p>
            <w:pPr>
              <w:spacing w:after="0"/>
            </w:pPr>
            <w:r>
              <w:rPr>
                <w:sz w:val="17"/>
              </w:rPr>
            </w:r>
            <w:r>
              <w:rPr>
                <w:b w:val="0"/>
                <w:sz w:val="17"/>
              </w:rPr>
              <w:t>Omidyar Network, Knight Foundation, Democracy Fund, Craig Newmark Philanthropies, Lenfest Institute, American Journalism Project, Mozilla, MacArthur, Ford.</w:t>
            </w:r>
          </w:p>
        </w:tc>
      </w:tr>
      <w:tr>
        <w:tc>
          <w:tcPr>
            <w:tcW w:type="dxa" w:w="2448"/>
            <w:vAlign w:val="top"/>
          </w:tcPr>
          <w:p>
            <w:pPr>
              <w:spacing w:after="0"/>
            </w:pPr>
            <w:r>
              <w:rPr>
                <w:sz w:val="17"/>
              </w:rPr>
            </w:r>
            <w:r>
              <w:rPr>
                <w:b w:val="0"/>
                <w:sz w:val="17"/>
              </w:rPr>
              <w:t>Cybersecurity and digital rights</w:t>
            </w:r>
          </w:p>
        </w:tc>
        <w:tc>
          <w:tcPr>
            <w:tcW w:type="dxa" w:w="7056"/>
            <w:vAlign w:val="top"/>
          </w:tcPr>
          <w:p>
            <w:pPr>
              <w:spacing w:after="0"/>
            </w:pPr>
            <w:r>
              <w:rPr>
                <w:sz w:val="17"/>
              </w:rPr>
            </w:r>
            <w:r>
              <w:rPr>
                <w:b w:val="0"/>
                <w:sz w:val="17"/>
              </w:rPr>
              <w:t>Internet Society Foundation, Common Good Cyber Fund, Open Technology Fund, Access Now ecosystem sources, digital rights funders.</w:t>
            </w:r>
          </w:p>
        </w:tc>
      </w:tr>
      <w:tr>
        <w:tc>
          <w:tcPr>
            <w:tcW w:type="dxa" w:w="2448"/>
            <w:vAlign w:val="top"/>
          </w:tcPr>
          <w:p>
            <w:pPr>
              <w:spacing w:after="0"/>
            </w:pPr>
            <w:r>
              <w:rPr>
                <w:sz w:val="17"/>
              </w:rPr>
            </w:r>
            <w:r>
              <w:rPr>
                <w:b w:val="0"/>
                <w:sz w:val="17"/>
              </w:rPr>
              <w:t>Nonprofit technology and digital inclusion</w:t>
            </w:r>
          </w:p>
        </w:tc>
        <w:tc>
          <w:tcPr>
            <w:tcW w:type="dxa" w:w="7056"/>
            <w:vAlign w:val="top"/>
          </w:tcPr>
          <w:p>
            <w:pPr>
              <w:spacing w:after="0"/>
            </w:pPr>
            <w:r>
              <w:rPr>
                <w:sz w:val="17"/>
              </w:rPr>
            </w:r>
            <w:r>
              <w:rPr>
                <w:b w:val="0"/>
                <w:sz w:val="17"/>
              </w:rPr>
              <w:t>Tech capacity funders, digital inclusion funders, broadband initiatives, civic tech regrantors, cloud credit programs.</w:t>
            </w:r>
          </w:p>
        </w:tc>
      </w:tr>
      <w:tr>
        <w:tc>
          <w:tcPr>
            <w:tcW w:type="dxa" w:w="2448"/>
            <w:vAlign w:val="top"/>
          </w:tcPr>
          <w:p>
            <w:pPr>
              <w:spacing w:after="0"/>
            </w:pPr>
            <w:r>
              <w:rPr>
                <w:sz w:val="17"/>
              </w:rPr>
            </w:r>
            <w:r>
              <w:rPr>
                <w:b w:val="0"/>
                <w:sz w:val="17"/>
              </w:rPr>
              <w:t>Licensed private grant databases</w:t>
            </w:r>
          </w:p>
        </w:tc>
        <w:tc>
          <w:tcPr>
            <w:tcW w:type="dxa" w:w="7056"/>
            <w:vAlign w:val="top"/>
          </w:tcPr>
          <w:p>
            <w:pPr>
              <w:spacing w:after="0"/>
            </w:pPr>
            <w:r>
              <w:rPr>
                <w:sz w:val="17"/>
              </w:rPr>
            </w:r>
            <w:r>
              <w:rPr>
                <w:b w:val="0"/>
                <w:sz w:val="17"/>
              </w:rPr>
              <w:t>Candid Grants API, Instrumentl API, and other licensed vendor sources where terms allow data ingestion/display.</w:t>
            </w:r>
          </w:p>
        </w:tc>
      </w:tr>
    </w:tbl>
    <w:p/>
    <w:p>
      <w:pPr>
        <w:pStyle w:val="Heading1"/>
      </w:pPr>
      <w:r>
        <w:rPr>
          <w:rFonts w:ascii="Arial" w:hAnsi="Arial"/>
        </w:rPr>
        <w:t>11. Normalization, Deduplication, and Quality Control</w:t>
      </w:r>
    </w:p>
    <w:p>
      <w:pPr>
        <w:pStyle w:val="Heading2"/>
      </w:pPr>
      <w:r>
        <w:rPr>
          <w:rFonts w:ascii="Arial" w:hAnsi="Arial"/>
        </w:rPr>
        <w:t>Canonical grant model</w:t>
      </w:r>
    </w:p>
    <w:p>
      <w:pPr>
        <w:pStyle w:val="CodeBlock"/>
      </w:pPr>
      <w:r>
        <w:t>NormalizedGrant {</w:t>
      </w:r>
    </w:p>
    <w:p>
      <w:pPr>
        <w:pStyle w:val="CodeBlock"/>
      </w:pPr>
      <w:r>
        <w:t xml:space="preserve">  id: string;</w:t>
      </w:r>
    </w:p>
    <w:p>
      <w:pPr>
        <w:pStyle w:val="CodeBlock"/>
      </w:pPr>
      <w:r>
        <w:t xml:space="preserve">  canonicalKey: string;</w:t>
      </w:r>
    </w:p>
    <w:p>
      <w:pPr>
        <w:pStyle w:val="CodeBlock"/>
      </w:pPr>
      <w:r>
        <w:t xml:space="preserve">  title: string;</w:t>
      </w:r>
    </w:p>
    <w:p>
      <w:pPr>
        <w:pStyle w:val="CodeBlock"/>
      </w:pPr>
      <w:r>
        <w:t xml:space="preserve">  summary?: string;</w:t>
      </w:r>
    </w:p>
    <w:p>
      <w:pPr>
        <w:pStyle w:val="CodeBlock"/>
      </w:pPr>
      <w:r>
        <w:t xml:space="preserve">  description?: string;</w:t>
      </w:r>
    </w:p>
    <w:p>
      <w:pPr>
        <w:pStyle w:val="CodeBlock"/>
      </w:pPr>
      <w:r>
        <w:t xml:space="preserve">  source: { sourceKey, sourceName, sourceRecordId, sourceUrl, fetchedAt };</w:t>
      </w:r>
    </w:p>
    <w:p>
      <w:pPr>
        <w:pStyle w:val="CodeBlock"/>
      </w:pPr>
      <w:r>
        <w:t xml:space="preserve">  funder: { name, agencyCode, agencyName, parentAgency, funderType };</w:t>
      </w:r>
    </w:p>
    <w:p>
      <w:pPr>
        <w:pStyle w:val="CodeBlock"/>
      </w:pPr>
      <w:r>
        <w:t xml:space="preserve">  opportunity: { opportunityNumber, status, postedDate, openDate, closeDate, deadlineText };</w:t>
      </w:r>
    </w:p>
    <w:p>
      <w:pPr>
        <w:pStyle w:val="CodeBlock"/>
      </w:pPr>
      <w:r>
        <w:t xml:space="preserve">  funding: { awardFloor, awardCeiling, estimatedTotalFunding, expectedAwards, currency, costSharingRequired };</w:t>
      </w:r>
    </w:p>
    <w:p>
      <w:pPr>
        <w:pStyle w:val="CodeBlock"/>
      </w:pPr>
      <w:r>
        <w:t xml:space="preserve">  eligibility: { applicantTypes, locationRestrictions, eligibleStates, eligibleCountries, narrative };</w:t>
      </w:r>
    </w:p>
    <w:p>
      <w:pPr>
        <w:pStyle w:val="CodeBlock"/>
      </w:pPr>
      <w:r>
        <w:t xml:space="preserve">  categories: { fundingCategories, instruments, keywords, sectors };</w:t>
      </w:r>
    </w:p>
    <w:p>
      <w:pPr>
        <w:pStyle w:val="CodeBlock"/>
      </w:pPr>
      <w:r>
        <w:t xml:space="preserve">  privateFields?: { opportunityType, applicationPortal, topicScores, prospecting };</w:t>
      </w:r>
    </w:p>
    <w:p>
      <w:pPr>
        <w:pStyle w:val="CodeBlock"/>
      </w:pPr>
      <w:r>
        <w:t xml:space="preserve">  documents: GrantDocument[];</w:t>
      </w:r>
    </w:p>
    <w:p>
      <w:pPr>
        <w:pStyle w:val="CodeBlock"/>
      </w:pPr>
      <w:r>
        <w:t xml:space="preserve">  quality: { extractionConfidence, duplicateConfidence, needsHumanReview, missingFields };</w:t>
      </w:r>
    </w:p>
    <w:p>
      <w:pPr>
        <w:pStyle w:val="CodeBlock"/>
      </w:pPr>
      <w:r>
        <w:t>}</w:t>
      </w:r>
    </w:p>
    <w:p>
      <w:pPr>
        <w:pStyle w:val="Heading2"/>
      </w:pPr>
      <w:r>
        <w:rPr>
          <w:rFonts w:ascii="Arial" w:hAnsi="Arial"/>
        </w:rPr>
        <w:t>Deduplication logic</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1728"/>
            <w:shd w:fill="D9EAF7"/>
            <w:vAlign w:val="top"/>
          </w:tcPr>
          <w:p>
            <w:pPr>
              <w:spacing w:after="0"/>
            </w:pPr>
            <w:r>
              <w:rPr>
                <w:sz w:val="16"/>
              </w:rPr>
            </w:r>
            <w:r>
              <w:rPr>
                <w:b/>
                <w:color w:val="1C4967"/>
                <w:sz w:val="16"/>
              </w:rPr>
              <w:t>Match strength</w:t>
            </w:r>
          </w:p>
        </w:tc>
        <w:tc>
          <w:tcPr>
            <w:tcW w:type="dxa" w:w="4464"/>
            <w:shd w:fill="D9EAF7"/>
            <w:vAlign w:val="top"/>
          </w:tcPr>
          <w:p>
            <w:pPr>
              <w:spacing w:after="0"/>
            </w:pPr>
            <w:r>
              <w:rPr>
                <w:sz w:val="16"/>
              </w:rPr>
            </w:r>
            <w:r>
              <w:rPr>
                <w:b/>
                <w:color w:val="1C4967"/>
                <w:sz w:val="16"/>
              </w:rPr>
              <w:t>Rule</w:t>
            </w:r>
          </w:p>
        </w:tc>
        <w:tc>
          <w:tcPr>
            <w:tcW w:type="dxa" w:w="3311"/>
            <w:shd w:fill="D9EAF7"/>
            <w:vAlign w:val="top"/>
          </w:tcPr>
          <w:p>
            <w:pPr>
              <w:spacing w:after="0"/>
            </w:pPr>
            <w:r>
              <w:rPr>
                <w:sz w:val="16"/>
              </w:rPr>
            </w:r>
            <w:r>
              <w:rPr>
                <w:b/>
                <w:color w:val="1C4967"/>
                <w:sz w:val="16"/>
              </w:rPr>
              <w:t>Action</w:t>
            </w:r>
          </w:p>
        </w:tc>
      </w:tr>
      <w:tr>
        <w:tc>
          <w:tcPr>
            <w:tcW w:type="dxa" w:w="1728"/>
            <w:vAlign w:val="top"/>
          </w:tcPr>
          <w:p>
            <w:pPr>
              <w:spacing w:after="0"/>
            </w:pPr>
            <w:r>
              <w:rPr>
                <w:sz w:val="16"/>
              </w:rPr>
            </w:r>
            <w:r>
              <w:rPr>
                <w:b w:val="0"/>
                <w:sz w:val="16"/>
              </w:rPr>
              <w:t>Strong</w:t>
            </w:r>
          </w:p>
        </w:tc>
        <w:tc>
          <w:tcPr>
            <w:tcW w:type="dxa" w:w="4464"/>
            <w:vAlign w:val="top"/>
          </w:tcPr>
          <w:p>
            <w:pPr>
              <w:spacing w:after="0"/>
            </w:pPr>
            <w:r>
              <w:rPr>
                <w:sz w:val="16"/>
              </w:rPr>
            </w:r>
            <w:r>
              <w:rPr>
                <w:b w:val="0"/>
                <w:sz w:val="16"/>
              </w:rPr>
              <w:t>Same official source opportunity ID or opportunity number.</w:t>
            </w:r>
          </w:p>
        </w:tc>
        <w:tc>
          <w:tcPr>
            <w:tcW w:type="dxa" w:w="3311"/>
            <w:vAlign w:val="top"/>
          </w:tcPr>
          <w:p>
            <w:pPr>
              <w:spacing w:after="0"/>
            </w:pPr>
            <w:r>
              <w:rPr>
                <w:sz w:val="16"/>
              </w:rPr>
            </w:r>
            <w:r>
              <w:rPr>
                <w:b w:val="0"/>
                <w:sz w:val="16"/>
              </w:rPr>
              <w:t>Update existing canonical grant and version changed fields.</w:t>
            </w:r>
          </w:p>
        </w:tc>
      </w:tr>
      <w:tr>
        <w:tc>
          <w:tcPr>
            <w:tcW w:type="dxa" w:w="1728"/>
            <w:vAlign w:val="top"/>
          </w:tcPr>
          <w:p>
            <w:pPr>
              <w:spacing w:after="0"/>
            </w:pPr>
            <w:r>
              <w:rPr>
                <w:sz w:val="16"/>
              </w:rPr>
            </w:r>
            <w:r>
              <w:rPr>
                <w:b w:val="0"/>
                <w:sz w:val="16"/>
              </w:rPr>
              <w:t>Strong</w:t>
            </w:r>
          </w:p>
        </w:tc>
        <w:tc>
          <w:tcPr>
            <w:tcW w:type="dxa" w:w="4464"/>
            <w:vAlign w:val="top"/>
          </w:tcPr>
          <w:p>
            <w:pPr>
              <w:spacing w:after="0"/>
            </w:pPr>
            <w:r>
              <w:rPr>
                <w:sz w:val="16"/>
              </w:rPr>
            </w:r>
            <w:r>
              <w:rPr>
                <w:b w:val="0"/>
                <w:sz w:val="16"/>
              </w:rPr>
              <w:t>Same assistance listing number + opportunity number.</w:t>
            </w:r>
          </w:p>
        </w:tc>
        <w:tc>
          <w:tcPr>
            <w:tcW w:type="dxa" w:w="3311"/>
            <w:vAlign w:val="top"/>
          </w:tcPr>
          <w:p>
            <w:pPr>
              <w:spacing w:after="0"/>
            </w:pPr>
            <w:r>
              <w:rPr>
                <w:sz w:val="16"/>
              </w:rPr>
            </w:r>
            <w:r>
              <w:rPr>
                <w:b w:val="0"/>
                <w:sz w:val="16"/>
              </w:rPr>
              <w:t>Merge source links into canonical record.</w:t>
            </w:r>
          </w:p>
        </w:tc>
      </w:tr>
      <w:tr>
        <w:tc>
          <w:tcPr>
            <w:tcW w:type="dxa" w:w="1728"/>
            <w:vAlign w:val="top"/>
          </w:tcPr>
          <w:p>
            <w:pPr>
              <w:spacing w:after="0"/>
            </w:pPr>
            <w:r>
              <w:rPr>
                <w:sz w:val="16"/>
              </w:rPr>
            </w:r>
            <w:r>
              <w:rPr>
                <w:b w:val="0"/>
                <w:sz w:val="16"/>
              </w:rPr>
              <w:t>Medium</w:t>
            </w:r>
          </w:p>
        </w:tc>
        <w:tc>
          <w:tcPr>
            <w:tcW w:type="dxa" w:w="4464"/>
            <w:vAlign w:val="top"/>
          </w:tcPr>
          <w:p>
            <w:pPr>
              <w:spacing w:after="0"/>
            </w:pPr>
            <w:r>
              <w:rPr>
                <w:sz w:val="16"/>
              </w:rPr>
            </w:r>
            <w:r>
              <w:rPr>
                <w:b w:val="0"/>
                <w:sz w:val="16"/>
              </w:rPr>
              <w:t>Similar normalized title + same funder + same close date.</w:t>
            </w:r>
          </w:p>
        </w:tc>
        <w:tc>
          <w:tcPr>
            <w:tcW w:type="dxa" w:w="3311"/>
            <w:vAlign w:val="top"/>
          </w:tcPr>
          <w:p>
            <w:pPr>
              <w:spacing w:after="0"/>
            </w:pPr>
            <w:r>
              <w:rPr>
                <w:sz w:val="16"/>
              </w:rPr>
            </w:r>
            <w:r>
              <w:rPr>
                <w:b w:val="0"/>
                <w:sz w:val="16"/>
              </w:rPr>
              <w:t>Auto-merge if similarity confidence exceeds threshold; otherwise review.</w:t>
            </w:r>
          </w:p>
        </w:tc>
      </w:tr>
      <w:tr>
        <w:tc>
          <w:tcPr>
            <w:tcW w:type="dxa" w:w="1728"/>
            <w:vAlign w:val="top"/>
          </w:tcPr>
          <w:p>
            <w:pPr>
              <w:spacing w:after="0"/>
            </w:pPr>
            <w:r>
              <w:rPr>
                <w:sz w:val="16"/>
              </w:rPr>
            </w:r>
            <w:r>
              <w:rPr>
                <w:b w:val="0"/>
                <w:sz w:val="16"/>
              </w:rPr>
              <w:t>Medium</w:t>
            </w:r>
          </w:p>
        </w:tc>
        <w:tc>
          <w:tcPr>
            <w:tcW w:type="dxa" w:w="4464"/>
            <w:vAlign w:val="top"/>
          </w:tcPr>
          <w:p>
            <w:pPr>
              <w:spacing w:after="0"/>
            </w:pPr>
            <w:r>
              <w:rPr>
                <w:sz w:val="16"/>
              </w:rPr>
            </w:r>
            <w:r>
              <w:rPr>
                <w:b w:val="0"/>
                <w:sz w:val="16"/>
              </w:rPr>
              <w:t>Same application URL + similar title.</w:t>
            </w:r>
          </w:p>
        </w:tc>
        <w:tc>
          <w:tcPr>
            <w:tcW w:type="dxa" w:w="3311"/>
            <w:vAlign w:val="top"/>
          </w:tcPr>
          <w:p>
            <w:pPr>
              <w:spacing w:after="0"/>
            </w:pPr>
            <w:r>
              <w:rPr>
                <w:sz w:val="16"/>
              </w:rPr>
            </w:r>
            <w:r>
              <w:rPr>
                <w:b w:val="0"/>
                <w:sz w:val="16"/>
              </w:rPr>
              <w:t>Auto-merge or review depending on field conflicts.</w:t>
            </w:r>
          </w:p>
        </w:tc>
      </w:tr>
      <w:tr>
        <w:tc>
          <w:tcPr>
            <w:tcW w:type="dxa" w:w="1728"/>
            <w:vAlign w:val="top"/>
          </w:tcPr>
          <w:p>
            <w:pPr>
              <w:spacing w:after="0"/>
            </w:pPr>
            <w:r>
              <w:rPr>
                <w:sz w:val="16"/>
              </w:rPr>
            </w:r>
            <w:r>
              <w:rPr>
                <w:b w:val="0"/>
                <w:sz w:val="16"/>
              </w:rPr>
              <w:t>Weak</w:t>
            </w:r>
          </w:p>
        </w:tc>
        <w:tc>
          <w:tcPr>
            <w:tcW w:type="dxa" w:w="4464"/>
            <w:vAlign w:val="top"/>
          </w:tcPr>
          <w:p>
            <w:pPr>
              <w:spacing w:after="0"/>
            </w:pPr>
            <w:r>
              <w:rPr>
                <w:sz w:val="16"/>
              </w:rPr>
            </w:r>
            <w:r>
              <w:rPr>
                <w:b w:val="0"/>
                <w:sz w:val="16"/>
              </w:rPr>
              <w:t>Fuzzy title/description similarity but missing deadline/funder.</w:t>
            </w:r>
          </w:p>
        </w:tc>
        <w:tc>
          <w:tcPr>
            <w:tcW w:type="dxa" w:w="3311"/>
            <w:vAlign w:val="top"/>
          </w:tcPr>
          <w:p>
            <w:pPr>
              <w:spacing w:after="0"/>
            </w:pPr>
            <w:r>
              <w:rPr>
                <w:sz w:val="16"/>
              </w:rPr>
            </w:r>
            <w:r>
              <w:rPr>
                <w:b w:val="0"/>
                <w:sz w:val="16"/>
              </w:rPr>
              <w:t>Hold as possible duplicate in admin review queue.</w:t>
            </w:r>
          </w:p>
        </w:tc>
      </w:tr>
      <w:tr>
        <w:tc>
          <w:tcPr>
            <w:tcW w:type="dxa" w:w="1728"/>
            <w:vAlign w:val="top"/>
          </w:tcPr>
          <w:p>
            <w:pPr>
              <w:spacing w:after="0"/>
            </w:pPr>
            <w:r>
              <w:rPr>
                <w:sz w:val="16"/>
              </w:rPr>
            </w:r>
            <w:r>
              <w:rPr>
                <w:b w:val="0"/>
                <w:sz w:val="16"/>
              </w:rPr>
              <w:t>Conflict</w:t>
            </w:r>
          </w:p>
        </w:tc>
        <w:tc>
          <w:tcPr>
            <w:tcW w:type="dxa" w:w="4464"/>
            <w:vAlign w:val="top"/>
          </w:tcPr>
          <w:p>
            <w:pPr>
              <w:spacing w:after="0"/>
            </w:pPr>
            <w:r>
              <w:rPr>
                <w:sz w:val="16"/>
              </w:rPr>
            </w:r>
            <w:r>
              <w:rPr>
                <w:b w:val="0"/>
                <w:sz w:val="16"/>
              </w:rPr>
              <w:t>Source fields disagree on deadline or amount.</w:t>
            </w:r>
          </w:p>
        </w:tc>
        <w:tc>
          <w:tcPr>
            <w:tcW w:type="dxa" w:w="3311"/>
            <w:vAlign w:val="top"/>
          </w:tcPr>
          <w:p>
            <w:pPr>
              <w:spacing w:after="0"/>
            </w:pPr>
            <w:r>
              <w:rPr>
                <w:sz w:val="16"/>
              </w:rPr>
            </w:r>
            <w:r>
              <w:rPr>
                <w:b w:val="0"/>
                <w:sz w:val="16"/>
              </w:rPr>
              <w:t>Prefer official source, preserve conflicting value in version/evidence table, flag for review.</w:t>
            </w:r>
          </w:p>
        </w:tc>
      </w:tr>
    </w:tbl>
    <w:p/>
    <w:p>
      <w:pPr>
        <w:pStyle w:val="Heading2"/>
      </w:pPr>
      <w:r>
        <w:rPr>
          <w:rFonts w:ascii="Arial" w:hAnsi="Arial"/>
        </w:rPr>
        <w:t>Quality and review rules</w:t>
      </w:r>
    </w:p>
    <w:p>
      <w:pPr>
        <w:pStyle w:val="ListBullet"/>
      </w:pPr>
      <w:r>
        <w:rPr>
          <w:rFonts w:ascii="Arial" w:hAnsi="Arial"/>
        </w:rPr>
        <w:t>A grant with missing deadline, missing source URL, or low extraction confidence should be visible to admins before broad user distribution.</w:t>
      </w:r>
    </w:p>
    <w:p>
      <w:pPr>
        <w:pStyle w:val="ListBullet"/>
      </w:pPr>
      <w:r>
        <w:rPr>
          <w:rFonts w:ascii="Arial" w:hAnsi="Arial"/>
        </w:rPr>
        <w:t>A private opportunity behind a login should be classified as application portal detected, not scraped beyond public metadata.</w:t>
      </w:r>
    </w:p>
    <w:p>
      <w:pPr>
        <w:pStyle w:val="ListBullet"/>
      </w:pPr>
      <w:r>
        <w:rPr>
          <w:rFonts w:ascii="Arial" w:hAnsi="Arial"/>
        </w:rPr>
        <w:t>A closed but recurring opportunity should not be hidden. It should be stored as recurring/monitoring rather than active.</w:t>
      </w:r>
    </w:p>
    <w:p>
      <w:pPr>
        <w:pStyle w:val="ListBullet"/>
      </w:pPr>
      <w:r>
        <w:rPr>
          <w:rFonts w:ascii="Arial" w:hAnsi="Arial"/>
        </w:rPr>
        <w:t>Invitation-only funders should appear as funder prospects, not open grants.</w:t>
      </w:r>
    </w:p>
    <w:p>
      <w:pPr>
        <w:pStyle w:val="ListBullet"/>
      </w:pPr>
      <w:r>
        <w:rPr>
          <w:rFonts w:ascii="Arial" w:hAnsi="Arial"/>
        </w:rPr>
        <w:t>Every AI-assisted field extraction must store confidence and evidence.</w:t>
      </w:r>
    </w:p>
    <w:p>
      <w:pPr>
        <w:pStyle w:val="Heading1"/>
      </w:pPr>
      <w:r>
        <w:rPr>
          <w:rFonts w:ascii="Arial" w:hAnsi="Arial"/>
        </w:rPr>
        <w:t>12. Matching and Recommendation Engine</w:t>
      </w:r>
    </w:p>
    <w:p>
      <w:r>
        <w:rPr>
          <w:rFonts w:ascii="Arial" w:hAnsi="Arial"/>
        </w:rPr>
        <w:t>The match engine should rank opportunities while also protecting users from wasting time on clearly ineligible grants. It should show strong matches, possible matches, and disqualified grants with reasons.</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088"/>
            <w:shd w:fill="D9EAF7"/>
            <w:vAlign w:val="top"/>
          </w:tcPr>
          <w:p>
            <w:pPr>
              <w:spacing w:after="0"/>
            </w:pPr>
            <w:r>
              <w:rPr>
                <w:sz w:val="16"/>
              </w:rPr>
            </w:r>
            <w:r>
              <w:rPr>
                <w:b/>
                <w:color w:val="1C4967"/>
                <w:sz w:val="16"/>
              </w:rPr>
              <w:t>Score area</w:t>
            </w:r>
          </w:p>
        </w:tc>
        <w:tc>
          <w:tcPr>
            <w:tcW w:type="dxa" w:w="1440"/>
            <w:shd w:fill="D9EAF7"/>
            <w:vAlign w:val="top"/>
          </w:tcPr>
          <w:p>
            <w:pPr>
              <w:spacing w:after="0"/>
            </w:pPr>
            <w:r>
              <w:rPr>
                <w:sz w:val="16"/>
              </w:rPr>
            </w:r>
            <w:r>
              <w:rPr>
                <w:b/>
                <w:color w:val="1C4967"/>
                <w:sz w:val="16"/>
              </w:rPr>
              <w:t>Public grant weight</w:t>
            </w:r>
          </w:p>
        </w:tc>
        <w:tc>
          <w:tcPr>
            <w:tcW w:type="dxa" w:w="1584"/>
            <w:shd w:fill="D9EAF7"/>
            <w:vAlign w:val="top"/>
          </w:tcPr>
          <w:p>
            <w:pPr>
              <w:spacing w:after="0"/>
            </w:pPr>
            <w:r>
              <w:rPr>
                <w:sz w:val="16"/>
              </w:rPr>
            </w:r>
            <w:r>
              <w:rPr>
                <w:b/>
                <w:color w:val="1C4967"/>
                <w:sz w:val="16"/>
              </w:rPr>
              <w:t>Private grant weight</w:t>
            </w:r>
          </w:p>
        </w:tc>
        <w:tc>
          <w:tcPr>
            <w:tcW w:type="dxa" w:w="4392"/>
            <w:shd w:fill="D9EAF7"/>
            <w:vAlign w:val="top"/>
          </w:tcPr>
          <w:p>
            <w:pPr>
              <w:spacing w:after="0"/>
            </w:pPr>
            <w:r>
              <w:rPr>
                <w:sz w:val="16"/>
              </w:rPr>
            </w:r>
            <w:r>
              <w:rPr>
                <w:b/>
                <w:color w:val="1C4967"/>
                <w:sz w:val="16"/>
              </w:rPr>
              <w:t>Notes</w:t>
            </w:r>
          </w:p>
        </w:tc>
      </w:tr>
      <w:tr>
        <w:tc>
          <w:tcPr>
            <w:tcW w:type="dxa" w:w="2088"/>
            <w:vAlign w:val="top"/>
          </w:tcPr>
          <w:p>
            <w:pPr>
              <w:spacing w:after="0"/>
            </w:pPr>
            <w:r>
              <w:rPr>
                <w:sz w:val="16"/>
              </w:rPr>
            </w:r>
            <w:r>
              <w:rPr>
                <w:b w:val="0"/>
                <w:sz w:val="16"/>
              </w:rPr>
              <w:t>Eligibility fit</w:t>
            </w:r>
          </w:p>
        </w:tc>
        <w:tc>
          <w:tcPr>
            <w:tcW w:type="dxa" w:w="1440"/>
            <w:vAlign w:val="top"/>
          </w:tcPr>
          <w:p>
            <w:pPr>
              <w:spacing w:after="0"/>
            </w:pPr>
            <w:r>
              <w:rPr>
                <w:sz w:val="16"/>
              </w:rPr>
            </w:r>
            <w:r>
              <w:rPr>
                <w:b w:val="0"/>
                <w:sz w:val="16"/>
              </w:rPr>
              <w:t>30</w:t>
            </w:r>
          </w:p>
        </w:tc>
        <w:tc>
          <w:tcPr>
            <w:tcW w:type="dxa" w:w="1584"/>
            <w:vAlign w:val="top"/>
          </w:tcPr>
          <w:p>
            <w:pPr>
              <w:spacing w:after="0"/>
            </w:pPr>
            <w:r>
              <w:rPr>
                <w:sz w:val="16"/>
              </w:rPr>
            </w:r>
            <w:r>
              <w:rPr>
                <w:b w:val="0"/>
                <w:sz w:val="16"/>
              </w:rPr>
              <w:t>25</w:t>
            </w:r>
          </w:p>
        </w:tc>
        <w:tc>
          <w:tcPr>
            <w:tcW w:type="dxa" w:w="4392"/>
            <w:vAlign w:val="top"/>
          </w:tcPr>
          <w:p>
            <w:pPr>
              <w:spacing w:after="0"/>
            </w:pPr>
            <w:r>
              <w:rPr>
                <w:sz w:val="16"/>
              </w:rPr>
            </w:r>
            <w:r>
              <w:rPr>
                <w:b w:val="0"/>
                <w:sz w:val="16"/>
              </w:rPr>
              <w:t>Applicant type, entity status, registrations, geography, cost share.</w:t>
            </w:r>
          </w:p>
        </w:tc>
      </w:tr>
      <w:tr>
        <w:tc>
          <w:tcPr>
            <w:tcW w:type="dxa" w:w="2088"/>
            <w:vAlign w:val="top"/>
          </w:tcPr>
          <w:p>
            <w:pPr>
              <w:spacing w:after="0"/>
            </w:pPr>
            <w:r>
              <w:rPr>
                <w:sz w:val="16"/>
              </w:rPr>
            </w:r>
            <w:r>
              <w:rPr>
                <w:b w:val="0"/>
                <w:sz w:val="16"/>
              </w:rPr>
              <w:t>Mission/topic fit</w:t>
            </w:r>
          </w:p>
        </w:tc>
        <w:tc>
          <w:tcPr>
            <w:tcW w:type="dxa" w:w="1440"/>
            <w:vAlign w:val="top"/>
          </w:tcPr>
          <w:p>
            <w:pPr>
              <w:spacing w:after="0"/>
            </w:pPr>
            <w:r>
              <w:rPr>
                <w:sz w:val="16"/>
              </w:rPr>
            </w:r>
            <w:r>
              <w:rPr>
                <w:b w:val="0"/>
                <w:sz w:val="16"/>
              </w:rPr>
              <w:t>25</w:t>
            </w:r>
          </w:p>
        </w:tc>
        <w:tc>
          <w:tcPr>
            <w:tcW w:type="dxa" w:w="1584"/>
            <w:vAlign w:val="top"/>
          </w:tcPr>
          <w:p>
            <w:pPr>
              <w:spacing w:after="0"/>
            </w:pPr>
            <w:r>
              <w:rPr>
                <w:sz w:val="16"/>
              </w:rPr>
            </w:r>
            <w:r>
              <w:rPr>
                <w:b w:val="0"/>
                <w:sz w:val="16"/>
              </w:rPr>
              <w:t>25</w:t>
            </w:r>
          </w:p>
        </w:tc>
        <w:tc>
          <w:tcPr>
            <w:tcW w:type="dxa" w:w="4392"/>
            <w:vAlign w:val="top"/>
          </w:tcPr>
          <w:p>
            <w:pPr>
              <w:spacing w:after="0"/>
            </w:pPr>
            <w:r>
              <w:rPr>
                <w:sz w:val="16"/>
              </w:rPr>
            </w:r>
            <w:r>
              <w:rPr>
                <w:b w:val="0"/>
                <w:sz w:val="16"/>
              </w:rPr>
              <w:t>Keyword, category, semantic similarity, AI/tech/social/media topic scores.</w:t>
            </w:r>
          </w:p>
        </w:tc>
      </w:tr>
      <w:tr>
        <w:tc>
          <w:tcPr>
            <w:tcW w:type="dxa" w:w="2088"/>
            <w:vAlign w:val="top"/>
          </w:tcPr>
          <w:p>
            <w:pPr>
              <w:spacing w:after="0"/>
            </w:pPr>
            <w:r>
              <w:rPr>
                <w:sz w:val="16"/>
              </w:rPr>
            </w:r>
            <w:r>
              <w:rPr>
                <w:b w:val="0"/>
                <w:sz w:val="16"/>
              </w:rPr>
              <w:t>Location fit</w:t>
            </w:r>
          </w:p>
        </w:tc>
        <w:tc>
          <w:tcPr>
            <w:tcW w:type="dxa" w:w="1440"/>
            <w:vAlign w:val="top"/>
          </w:tcPr>
          <w:p>
            <w:pPr>
              <w:spacing w:after="0"/>
            </w:pPr>
            <w:r>
              <w:rPr>
                <w:sz w:val="16"/>
              </w:rPr>
            </w:r>
            <w:r>
              <w:rPr>
                <w:b w:val="0"/>
                <w:sz w:val="16"/>
              </w:rPr>
              <w:t>15</w:t>
            </w:r>
          </w:p>
        </w:tc>
        <w:tc>
          <w:tcPr>
            <w:tcW w:type="dxa" w:w="1584"/>
            <w:vAlign w:val="top"/>
          </w:tcPr>
          <w:p>
            <w:pPr>
              <w:spacing w:after="0"/>
            </w:pPr>
            <w:r>
              <w:rPr>
                <w:sz w:val="16"/>
              </w:rPr>
            </w:r>
            <w:r>
              <w:rPr>
                <w:b w:val="0"/>
                <w:sz w:val="16"/>
              </w:rPr>
              <w:t>10</w:t>
            </w:r>
          </w:p>
        </w:tc>
        <w:tc>
          <w:tcPr>
            <w:tcW w:type="dxa" w:w="4392"/>
            <w:vAlign w:val="top"/>
          </w:tcPr>
          <w:p>
            <w:pPr>
              <w:spacing w:after="0"/>
            </w:pPr>
            <w:r>
              <w:rPr>
                <w:sz w:val="16"/>
              </w:rPr>
            </w:r>
            <w:r>
              <w:rPr>
                <w:b w:val="0"/>
                <w:sz w:val="16"/>
              </w:rPr>
              <w:t>Service area, eligible states/countries, local-only restrictions.</w:t>
            </w:r>
          </w:p>
        </w:tc>
      </w:tr>
      <w:tr>
        <w:tc>
          <w:tcPr>
            <w:tcW w:type="dxa" w:w="2088"/>
            <w:vAlign w:val="top"/>
          </w:tcPr>
          <w:p>
            <w:pPr>
              <w:spacing w:after="0"/>
            </w:pPr>
            <w:r>
              <w:rPr>
                <w:sz w:val="16"/>
              </w:rPr>
            </w:r>
            <w:r>
              <w:rPr>
                <w:b w:val="0"/>
                <w:sz w:val="16"/>
              </w:rPr>
              <w:t>Deadline/timing</w:t>
            </w:r>
          </w:p>
        </w:tc>
        <w:tc>
          <w:tcPr>
            <w:tcW w:type="dxa" w:w="1440"/>
            <w:vAlign w:val="top"/>
          </w:tcPr>
          <w:p>
            <w:pPr>
              <w:spacing w:after="0"/>
            </w:pPr>
            <w:r>
              <w:rPr>
                <w:sz w:val="16"/>
              </w:rPr>
            </w:r>
            <w:r>
              <w:rPr>
                <w:b w:val="0"/>
                <w:sz w:val="16"/>
              </w:rPr>
              <w:t>10</w:t>
            </w:r>
          </w:p>
        </w:tc>
        <w:tc>
          <w:tcPr>
            <w:tcW w:type="dxa" w:w="1584"/>
            <w:vAlign w:val="top"/>
          </w:tcPr>
          <w:p>
            <w:pPr>
              <w:spacing w:after="0"/>
            </w:pPr>
            <w:r>
              <w:rPr>
                <w:sz w:val="16"/>
              </w:rPr>
            </w:r>
            <w:r>
              <w:rPr>
                <w:b w:val="0"/>
                <w:sz w:val="16"/>
              </w:rPr>
              <w:t>10</w:t>
            </w:r>
          </w:p>
        </w:tc>
        <w:tc>
          <w:tcPr>
            <w:tcW w:type="dxa" w:w="4392"/>
            <w:vAlign w:val="top"/>
          </w:tcPr>
          <w:p>
            <w:pPr>
              <w:spacing w:after="0"/>
            </w:pPr>
            <w:r>
              <w:rPr>
                <w:sz w:val="16"/>
              </w:rPr>
            </w:r>
            <w:r>
              <w:rPr>
                <w:b w:val="0"/>
                <w:sz w:val="16"/>
              </w:rPr>
              <w:t>Days to deadline and user readiness.</w:t>
            </w:r>
          </w:p>
        </w:tc>
      </w:tr>
      <w:tr>
        <w:tc>
          <w:tcPr>
            <w:tcW w:type="dxa" w:w="2088"/>
            <w:vAlign w:val="top"/>
          </w:tcPr>
          <w:p>
            <w:pPr>
              <w:spacing w:after="0"/>
            </w:pPr>
            <w:r>
              <w:rPr>
                <w:sz w:val="16"/>
              </w:rPr>
            </w:r>
            <w:r>
              <w:rPr>
                <w:b w:val="0"/>
                <w:sz w:val="16"/>
              </w:rPr>
              <w:t>Award amount fit</w:t>
            </w:r>
          </w:p>
        </w:tc>
        <w:tc>
          <w:tcPr>
            <w:tcW w:type="dxa" w:w="1440"/>
            <w:vAlign w:val="top"/>
          </w:tcPr>
          <w:p>
            <w:pPr>
              <w:spacing w:after="0"/>
            </w:pPr>
            <w:r>
              <w:rPr>
                <w:sz w:val="16"/>
              </w:rPr>
            </w:r>
            <w:r>
              <w:rPr>
                <w:b w:val="0"/>
                <w:sz w:val="16"/>
              </w:rPr>
              <w:t>10</w:t>
            </w:r>
          </w:p>
        </w:tc>
        <w:tc>
          <w:tcPr>
            <w:tcW w:type="dxa" w:w="1584"/>
            <w:vAlign w:val="top"/>
          </w:tcPr>
          <w:p>
            <w:pPr>
              <w:spacing w:after="0"/>
            </w:pPr>
            <w:r>
              <w:rPr>
                <w:sz w:val="16"/>
              </w:rPr>
            </w:r>
            <w:r>
              <w:rPr>
                <w:b w:val="0"/>
                <w:sz w:val="16"/>
              </w:rPr>
              <w:t>10</w:t>
            </w:r>
          </w:p>
        </w:tc>
        <w:tc>
          <w:tcPr>
            <w:tcW w:type="dxa" w:w="4392"/>
            <w:vAlign w:val="top"/>
          </w:tcPr>
          <w:p>
            <w:pPr>
              <w:spacing w:after="0"/>
            </w:pPr>
            <w:r>
              <w:rPr>
                <w:sz w:val="16"/>
              </w:rPr>
            </w:r>
            <w:r>
              <w:rPr>
                <w:b w:val="0"/>
                <w:sz w:val="16"/>
              </w:rPr>
              <w:t>Award ceiling/floor and user preferred range.</w:t>
            </w:r>
          </w:p>
        </w:tc>
      </w:tr>
      <w:tr>
        <w:tc>
          <w:tcPr>
            <w:tcW w:type="dxa" w:w="2088"/>
            <w:vAlign w:val="top"/>
          </w:tcPr>
          <w:p>
            <w:pPr>
              <w:spacing w:after="0"/>
            </w:pPr>
            <w:r>
              <w:rPr>
                <w:sz w:val="16"/>
              </w:rPr>
            </w:r>
            <w:r>
              <w:rPr>
                <w:b w:val="0"/>
                <w:sz w:val="16"/>
              </w:rPr>
              <w:t>Application readiness</w:t>
            </w:r>
          </w:p>
        </w:tc>
        <w:tc>
          <w:tcPr>
            <w:tcW w:type="dxa" w:w="1440"/>
            <w:vAlign w:val="top"/>
          </w:tcPr>
          <w:p>
            <w:pPr>
              <w:spacing w:after="0"/>
            </w:pPr>
            <w:r>
              <w:rPr>
                <w:sz w:val="16"/>
              </w:rPr>
            </w:r>
            <w:r>
              <w:rPr>
                <w:b w:val="0"/>
                <w:sz w:val="16"/>
              </w:rPr>
              <w:t>5</w:t>
            </w:r>
          </w:p>
        </w:tc>
        <w:tc>
          <w:tcPr>
            <w:tcW w:type="dxa" w:w="1584"/>
            <w:vAlign w:val="top"/>
          </w:tcPr>
          <w:p>
            <w:pPr>
              <w:spacing w:after="0"/>
            </w:pPr>
            <w:r>
              <w:rPr>
                <w:sz w:val="16"/>
              </w:rPr>
            </w:r>
            <w:r>
              <w:rPr>
                <w:b w:val="0"/>
                <w:sz w:val="16"/>
              </w:rPr>
              <w:t>5</w:t>
            </w:r>
          </w:p>
        </w:tc>
        <w:tc>
          <w:tcPr>
            <w:tcW w:type="dxa" w:w="4392"/>
            <w:vAlign w:val="top"/>
          </w:tcPr>
          <w:p>
            <w:pPr>
              <w:spacing w:after="0"/>
            </w:pPr>
            <w:r>
              <w:rPr>
                <w:sz w:val="16"/>
              </w:rPr>
            </w:r>
            <w:r>
              <w:rPr>
                <w:b w:val="0"/>
                <w:sz w:val="16"/>
              </w:rPr>
              <w:t>Required docs, SAM/UEI status, audit/budget capacity.</w:t>
            </w:r>
          </w:p>
        </w:tc>
      </w:tr>
      <w:tr>
        <w:tc>
          <w:tcPr>
            <w:tcW w:type="dxa" w:w="2088"/>
            <w:vAlign w:val="top"/>
          </w:tcPr>
          <w:p>
            <w:pPr>
              <w:spacing w:after="0"/>
            </w:pPr>
            <w:r>
              <w:rPr>
                <w:sz w:val="16"/>
              </w:rPr>
            </w:r>
            <w:r>
              <w:rPr>
                <w:b w:val="0"/>
                <w:sz w:val="16"/>
              </w:rPr>
              <w:t>Funder/strategy fit</w:t>
            </w:r>
          </w:p>
        </w:tc>
        <w:tc>
          <w:tcPr>
            <w:tcW w:type="dxa" w:w="1440"/>
            <w:vAlign w:val="top"/>
          </w:tcPr>
          <w:p>
            <w:pPr>
              <w:spacing w:after="0"/>
            </w:pPr>
            <w:r>
              <w:rPr>
                <w:sz w:val="16"/>
              </w:rPr>
            </w:r>
            <w:r>
              <w:rPr>
                <w:b w:val="0"/>
                <w:sz w:val="16"/>
              </w:rPr>
              <w:t>5</w:t>
            </w:r>
          </w:p>
        </w:tc>
        <w:tc>
          <w:tcPr>
            <w:tcW w:type="dxa" w:w="1584"/>
            <w:vAlign w:val="top"/>
          </w:tcPr>
          <w:p>
            <w:pPr>
              <w:spacing w:after="0"/>
            </w:pPr>
            <w:r>
              <w:rPr>
                <w:sz w:val="16"/>
              </w:rPr>
            </w:r>
            <w:r>
              <w:rPr>
                <w:b w:val="0"/>
                <w:sz w:val="16"/>
              </w:rPr>
              <w:t>5</w:t>
            </w:r>
          </w:p>
        </w:tc>
        <w:tc>
          <w:tcPr>
            <w:tcW w:type="dxa" w:w="4392"/>
            <w:vAlign w:val="top"/>
          </w:tcPr>
          <w:p>
            <w:pPr>
              <w:spacing w:after="0"/>
            </w:pPr>
            <w:r>
              <w:rPr>
                <w:sz w:val="16"/>
              </w:rPr>
            </w:r>
            <w:r>
              <w:rPr>
                <w:b w:val="0"/>
                <w:sz w:val="16"/>
              </w:rPr>
              <w:t>Historical grants, funder interest, recurring prospects.</w:t>
            </w:r>
          </w:p>
        </w:tc>
      </w:tr>
      <w:tr>
        <w:tc>
          <w:tcPr>
            <w:tcW w:type="dxa" w:w="2088"/>
            <w:vAlign w:val="top"/>
          </w:tcPr>
          <w:p>
            <w:pPr>
              <w:spacing w:after="0"/>
            </w:pPr>
            <w:r>
              <w:rPr>
                <w:sz w:val="16"/>
              </w:rPr>
            </w:r>
            <w:r>
              <w:rPr>
                <w:b w:val="0"/>
                <w:sz w:val="16"/>
              </w:rPr>
              <w:t>Source confidence/access</w:t>
            </w:r>
          </w:p>
        </w:tc>
        <w:tc>
          <w:tcPr>
            <w:tcW w:type="dxa" w:w="1440"/>
            <w:vAlign w:val="top"/>
          </w:tcPr>
          <w:p>
            <w:pPr>
              <w:spacing w:after="0"/>
            </w:pPr>
            <w:r>
              <w:rPr>
                <w:sz w:val="16"/>
              </w:rPr>
            </w:r>
            <w:r>
              <w:rPr>
                <w:b w:val="0"/>
                <w:sz w:val="16"/>
              </w:rPr>
              <w:t>Included</w:t>
            </w:r>
          </w:p>
        </w:tc>
        <w:tc>
          <w:tcPr>
            <w:tcW w:type="dxa" w:w="1584"/>
            <w:vAlign w:val="top"/>
          </w:tcPr>
          <w:p>
            <w:pPr>
              <w:spacing w:after="0"/>
            </w:pPr>
            <w:r>
              <w:rPr>
                <w:sz w:val="16"/>
              </w:rPr>
            </w:r>
            <w:r>
              <w:rPr>
                <w:b w:val="0"/>
                <w:sz w:val="16"/>
              </w:rPr>
              <w:t>10</w:t>
            </w:r>
          </w:p>
        </w:tc>
        <w:tc>
          <w:tcPr>
            <w:tcW w:type="dxa" w:w="4392"/>
            <w:vAlign w:val="top"/>
          </w:tcPr>
          <w:p>
            <w:pPr>
              <w:spacing w:after="0"/>
            </w:pPr>
            <w:r>
              <w:rPr>
                <w:sz w:val="16"/>
              </w:rPr>
            </w:r>
            <w:r>
              <w:rPr>
                <w:b w:val="0"/>
                <w:sz w:val="16"/>
              </w:rPr>
              <w:t>Private sources need extra weighting for source confidence and public apply access.</w:t>
            </w:r>
          </w:p>
        </w:tc>
      </w:tr>
    </w:tbl>
    <w:p/>
    <w:p>
      <w:pPr>
        <w:pStyle w:val="Heading2"/>
      </w:pPr>
      <w:r>
        <w:rPr>
          <w:rFonts w:ascii="Arial" w:hAnsi="Arial"/>
        </w:rPr>
        <w:t>Match explanation example</w:t>
      </w:r>
    </w:p>
    <w:p>
      <w:pPr>
        <w:pStyle w:val="CodeBlock"/>
      </w:pPr>
      <w:r>
        <w:t>{</w:t>
      </w:r>
    </w:p>
    <w:p>
      <w:pPr>
        <w:pStyle w:val="CodeBlock"/>
      </w:pPr>
      <w:r>
        <w:t xml:space="preserve">  "matchScore": 89,</w:t>
      </w:r>
    </w:p>
    <w:p>
      <w:pPr>
        <w:pStyle w:val="CodeBlock"/>
      </w:pPr>
      <w:r>
        <w:t xml:space="preserve">  "fitLabel": "Strong match",</w:t>
      </w:r>
    </w:p>
    <w:p>
      <w:pPr>
        <w:pStyle w:val="CodeBlock"/>
      </w:pPr>
      <w:r>
        <w:t xml:space="preserve">  "reasons": [</w:t>
      </w:r>
    </w:p>
    <w:p>
      <w:pPr>
        <w:pStyle w:val="CodeBlock"/>
      </w:pPr>
      <w:r>
        <w:t xml:space="preserve">    "Strong AI and community journalism topic match",</w:t>
      </w:r>
    </w:p>
    <w:p>
      <w:pPr>
        <w:pStyle w:val="CodeBlock"/>
      </w:pPr>
      <w:r>
        <w:t xml:space="preserve">    "Applicant type appears to match nonprofit eligibility",</w:t>
      </w:r>
    </w:p>
    <w:p>
      <w:pPr>
        <w:pStyle w:val="CodeBlock"/>
      </w:pPr>
      <w:r>
        <w:t xml:space="preserve">    "Deadline is 42 days away",</w:t>
      </w:r>
    </w:p>
    <w:p>
      <w:pPr>
        <w:pStyle w:val="CodeBlock"/>
      </w:pPr>
      <w:r>
        <w:t xml:space="preserve">    "Application link is public",</w:t>
      </w:r>
    </w:p>
    <w:p>
      <w:pPr>
        <w:pStyle w:val="CodeBlock"/>
      </w:pPr>
      <w:r>
        <w:t xml:space="preserve">    "Award amount is within preferred range"</w:t>
      </w:r>
    </w:p>
    <w:p>
      <w:pPr>
        <w:pStyle w:val="CodeBlock"/>
      </w:pPr>
      <w:r>
        <w:t xml:space="preserve">  ],</w:t>
      </w:r>
    </w:p>
    <w:p>
      <w:pPr>
        <w:pStyle w:val="CodeBlock"/>
      </w:pPr>
      <w:r>
        <w:t xml:space="preserve">  "warnings": [</w:t>
      </w:r>
    </w:p>
    <w:p>
      <w:pPr>
        <w:pStyle w:val="CodeBlock"/>
      </w:pPr>
      <w:r>
        <w:t xml:space="preserve">    "Eligibility text should be manually reviewed",</w:t>
      </w:r>
    </w:p>
    <w:p>
      <w:pPr>
        <w:pStyle w:val="CodeBlock"/>
      </w:pPr>
      <w:r>
        <w:t xml:space="preserve">    "Application package may require board-approved budget documents"</w:t>
      </w:r>
    </w:p>
    <w:p>
      <w:pPr>
        <w:pStyle w:val="CodeBlock"/>
      </w:pPr>
      <w:r>
        <w:t xml:space="preserve">  ],</w:t>
      </w:r>
    </w:p>
    <w:p>
      <w:pPr>
        <w:pStyle w:val="CodeBlock"/>
      </w:pPr>
      <w:r>
        <w:t xml:space="preserve">  "disqualifiers": []</w:t>
      </w:r>
    </w:p>
    <w:p>
      <w:pPr>
        <w:pStyle w:val="CodeBlock"/>
      </w:pPr>
      <w:r>
        <w:t>}</w:t>
      </w:r>
    </w:p>
    <w:p>
      <w:pPr>
        <w:pStyle w:val="Heading2"/>
      </w:pPr>
      <w:r>
        <w:rPr>
          <w:rFonts w:ascii="Arial" w:hAnsi="Arial"/>
        </w:rPr>
        <w:t>Hard disqualifiers</w:t>
      </w:r>
    </w:p>
    <w:p>
      <w:pPr>
        <w:pStyle w:val="ListBullet"/>
      </w:pPr>
      <w:r>
        <w:rPr>
          <w:rFonts w:ascii="Arial" w:hAnsi="Arial"/>
        </w:rPr>
        <w:t>Deadline has passed and opportunity is not rolling or recurring.</w:t>
      </w:r>
    </w:p>
    <w:p>
      <w:pPr>
        <w:pStyle w:val="ListBullet"/>
      </w:pPr>
      <w:r>
        <w:rPr>
          <w:rFonts w:ascii="Arial" w:hAnsi="Arial"/>
        </w:rPr>
        <w:t>Applicant type clearly excludes the user.</w:t>
      </w:r>
    </w:p>
    <w:p>
      <w:pPr>
        <w:pStyle w:val="ListBullet"/>
      </w:pPr>
      <w:r>
        <w:rPr>
          <w:rFonts w:ascii="Arial" w:hAnsi="Arial"/>
        </w:rPr>
        <w:t>Geography clearly excludes the user or service area.</w:t>
      </w:r>
    </w:p>
    <w:p>
      <w:pPr>
        <w:pStyle w:val="ListBullet"/>
      </w:pPr>
      <w:r>
        <w:rPr>
          <w:rFonts w:ascii="Arial" w:hAnsi="Arial"/>
        </w:rPr>
        <w:t>Grant requires cost share and user explicitly cannot provide cost share.</w:t>
      </w:r>
    </w:p>
    <w:p>
      <w:pPr>
        <w:pStyle w:val="ListBullet"/>
      </w:pPr>
      <w:r>
        <w:rPr>
          <w:rFonts w:ascii="Arial" w:hAnsi="Arial"/>
        </w:rPr>
        <w:t>Opportunity is invitation-only and user is viewing active apply-now results.</w:t>
      </w:r>
    </w:p>
    <w:p>
      <w:pPr>
        <w:pStyle w:val="ListBullet"/>
      </w:pPr>
      <w:r>
        <w:rPr>
          <w:rFonts w:ascii="Arial" w:hAnsi="Arial"/>
        </w:rPr>
        <w:t>Required registration or legal status is absent and no workaround is listed.</w:t>
      </w:r>
    </w:p>
    <w:p>
      <w:pPr>
        <w:pStyle w:val="Heading1"/>
      </w:pPr>
      <w:r>
        <w:rPr>
          <w:rFonts w:ascii="Arial" w:hAnsi="Arial"/>
        </w:rPr>
        <w:t>13. Data Model and Storage Design</w:t>
      </w:r>
    </w:p>
    <w:p>
      <w:pPr>
        <w:pStyle w:val="Heading2"/>
      </w:pPr>
      <w:r>
        <w:rPr>
          <w:rFonts w:ascii="Arial" w:hAnsi="Arial"/>
        </w:rPr>
        <w:t>Core data stores</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232"/>
            <w:shd w:fill="D9EAF7"/>
            <w:vAlign w:val="top"/>
          </w:tcPr>
          <w:p>
            <w:pPr>
              <w:spacing w:after="0"/>
            </w:pPr>
            <w:r>
              <w:rPr>
                <w:sz w:val="17"/>
              </w:rPr>
            </w:r>
            <w:r>
              <w:rPr>
                <w:b/>
                <w:color w:val="1C4967"/>
                <w:sz w:val="17"/>
              </w:rPr>
              <w:t>Store</w:t>
            </w:r>
          </w:p>
        </w:tc>
        <w:tc>
          <w:tcPr>
            <w:tcW w:type="dxa" w:w="7272"/>
            <w:shd w:fill="D9EAF7"/>
            <w:vAlign w:val="top"/>
          </w:tcPr>
          <w:p>
            <w:pPr>
              <w:spacing w:after="0"/>
            </w:pPr>
            <w:r>
              <w:rPr>
                <w:sz w:val="17"/>
              </w:rPr>
            </w:r>
            <w:r>
              <w:rPr>
                <w:b/>
                <w:color w:val="1C4967"/>
                <w:sz w:val="17"/>
              </w:rPr>
              <w:t>Purpose</w:t>
            </w:r>
          </w:p>
        </w:tc>
      </w:tr>
      <w:tr>
        <w:tc>
          <w:tcPr>
            <w:tcW w:type="dxa" w:w="2232"/>
            <w:vAlign w:val="top"/>
          </w:tcPr>
          <w:p>
            <w:pPr>
              <w:spacing w:after="0"/>
            </w:pPr>
            <w:r>
              <w:rPr>
                <w:sz w:val="17"/>
              </w:rPr>
            </w:r>
            <w:r>
              <w:rPr>
                <w:b w:val="0"/>
                <w:sz w:val="17"/>
              </w:rPr>
              <w:t>PostgreSQL</w:t>
            </w:r>
          </w:p>
        </w:tc>
        <w:tc>
          <w:tcPr>
            <w:tcW w:type="dxa" w:w="7272"/>
            <w:vAlign w:val="top"/>
          </w:tcPr>
          <w:p>
            <w:pPr>
              <w:spacing w:after="0"/>
            </w:pPr>
            <w:r>
              <w:rPr>
                <w:sz w:val="17"/>
              </w:rPr>
            </w:r>
            <w:r>
              <w:rPr>
                <w:b w:val="0"/>
                <w:sz w:val="17"/>
              </w:rPr>
              <w:t>Source of truth for users, organizations, profiles, grants, sources, pull runs, matches, saved grants, applications, and admin review.</w:t>
            </w:r>
          </w:p>
        </w:tc>
      </w:tr>
      <w:tr>
        <w:tc>
          <w:tcPr>
            <w:tcW w:type="dxa" w:w="2232"/>
            <w:vAlign w:val="top"/>
          </w:tcPr>
          <w:p>
            <w:pPr>
              <w:spacing w:after="0"/>
            </w:pPr>
            <w:r>
              <w:rPr>
                <w:sz w:val="17"/>
              </w:rPr>
            </w:r>
            <w:r>
              <w:rPr>
                <w:b w:val="0"/>
                <w:sz w:val="17"/>
              </w:rPr>
              <w:t>OpenSearch</w:t>
            </w:r>
          </w:p>
        </w:tc>
        <w:tc>
          <w:tcPr>
            <w:tcW w:type="dxa" w:w="7272"/>
            <w:vAlign w:val="top"/>
          </w:tcPr>
          <w:p>
            <w:pPr>
              <w:spacing w:after="0"/>
            </w:pPr>
            <w:r>
              <w:rPr>
                <w:sz w:val="17"/>
              </w:rPr>
            </w:r>
            <w:r>
              <w:rPr>
                <w:b w:val="0"/>
                <w:sz w:val="17"/>
              </w:rPr>
              <w:t>Search index for grant discovery, filters, facets, and ranked result retrieval.</w:t>
            </w:r>
          </w:p>
        </w:tc>
      </w:tr>
      <w:tr>
        <w:tc>
          <w:tcPr>
            <w:tcW w:type="dxa" w:w="2232"/>
            <w:vAlign w:val="top"/>
          </w:tcPr>
          <w:p>
            <w:pPr>
              <w:spacing w:after="0"/>
            </w:pPr>
            <w:r>
              <w:rPr>
                <w:sz w:val="17"/>
              </w:rPr>
            </w:r>
            <w:r>
              <w:rPr>
                <w:b w:val="0"/>
                <w:sz w:val="17"/>
              </w:rPr>
              <w:t>Redis</w:t>
            </w:r>
          </w:p>
        </w:tc>
        <w:tc>
          <w:tcPr>
            <w:tcW w:type="dxa" w:w="7272"/>
            <w:vAlign w:val="top"/>
          </w:tcPr>
          <w:p>
            <w:pPr>
              <w:spacing w:after="0"/>
            </w:pPr>
            <w:r>
              <w:rPr>
                <w:sz w:val="17"/>
              </w:rPr>
            </w:r>
            <w:r>
              <w:rPr>
                <w:b w:val="0"/>
                <w:sz w:val="17"/>
              </w:rPr>
              <w:t>Caching, rate limits, lock management, user on-demand throttles, and short-lived job status.</w:t>
            </w:r>
          </w:p>
        </w:tc>
      </w:tr>
      <w:tr>
        <w:tc>
          <w:tcPr>
            <w:tcW w:type="dxa" w:w="2232"/>
            <w:vAlign w:val="top"/>
          </w:tcPr>
          <w:p>
            <w:pPr>
              <w:spacing w:after="0"/>
            </w:pPr>
            <w:r>
              <w:rPr>
                <w:sz w:val="17"/>
              </w:rPr>
            </w:r>
            <w:r>
              <w:rPr>
                <w:b w:val="0"/>
                <w:sz w:val="17"/>
              </w:rPr>
              <w:t>Object storage</w:t>
            </w:r>
          </w:p>
        </w:tc>
        <w:tc>
          <w:tcPr>
            <w:tcW w:type="dxa" w:w="7272"/>
            <w:vAlign w:val="top"/>
          </w:tcPr>
          <w:p>
            <w:pPr>
              <w:spacing w:after="0"/>
            </w:pPr>
            <w:r>
              <w:rPr>
                <w:sz w:val="17"/>
              </w:rPr>
            </w:r>
            <w:r>
              <w:rPr>
                <w:b w:val="0"/>
                <w:sz w:val="17"/>
              </w:rPr>
              <w:t>Raw JSON, HTML snapshots, PDFs, source documents, parsed text, and evidence artifacts.</w:t>
            </w:r>
          </w:p>
        </w:tc>
      </w:tr>
      <w:tr>
        <w:tc>
          <w:tcPr>
            <w:tcW w:type="dxa" w:w="2232"/>
            <w:vAlign w:val="top"/>
          </w:tcPr>
          <w:p>
            <w:pPr>
              <w:spacing w:after="0"/>
            </w:pPr>
            <w:r>
              <w:rPr>
                <w:sz w:val="17"/>
              </w:rPr>
            </w:r>
            <w:r>
              <w:rPr>
                <w:b w:val="0"/>
                <w:sz w:val="17"/>
              </w:rPr>
              <w:t>Workflow/queue state</w:t>
            </w:r>
          </w:p>
        </w:tc>
        <w:tc>
          <w:tcPr>
            <w:tcW w:type="dxa" w:w="7272"/>
            <w:vAlign w:val="top"/>
          </w:tcPr>
          <w:p>
            <w:pPr>
              <w:spacing w:after="0"/>
            </w:pPr>
            <w:r>
              <w:rPr>
                <w:sz w:val="17"/>
              </w:rPr>
            </w:r>
            <w:r>
              <w:rPr>
                <w:b w:val="0"/>
                <w:sz w:val="17"/>
              </w:rPr>
              <w:t>Long-running ingestion, retries, backoff, dead-letter records, and worker orchestration.</w:t>
            </w:r>
          </w:p>
        </w:tc>
      </w:tr>
    </w:tbl>
    <w:p/>
    <w:p>
      <w:pPr>
        <w:pStyle w:val="Heading2"/>
      </w:pPr>
      <w:r>
        <w:rPr>
          <w:rFonts w:ascii="Arial" w:hAnsi="Arial"/>
        </w:rPr>
        <w:t>Required database tables</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3024"/>
            <w:shd w:fill="D9EAF7"/>
            <w:vAlign w:val="top"/>
          </w:tcPr>
          <w:p>
            <w:pPr>
              <w:spacing w:after="0"/>
            </w:pPr>
            <w:r>
              <w:rPr>
                <w:sz w:val="16"/>
              </w:rPr>
            </w:r>
            <w:r>
              <w:rPr>
                <w:b/>
                <w:color w:val="1C4967"/>
                <w:sz w:val="16"/>
              </w:rPr>
              <w:t>Table</w:t>
            </w:r>
          </w:p>
        </w:tc>
        <w:tc>
          <w:tcPr>
            <w:tcW w:type="dxa" w:w="6480"/>
            <w:shd w:fill="D9EAF7"/>
            <w:vAlign w:val="top"/>
          </w:tcPr>
          <w:p>
            <w:pPr>
              <w:spacing w:after="0"/>
            </w:pPr>
            <w:r>
              <w:rPr>
                <w:sz w:val="16"/>
              </w:rPr>
            </w:r>
            <w:r>
              <w:rPr>
                <w:b/>
                <w:color w:val="1C4967"/>
                <w:sz w:val="16"/>
              </w:rPr>
              <w:t>Purpose</w:t>
            </w:r>
          </w:p>
        </w:tc>
      </w:tr>
      <w:tr>
        <w:tc>
          <w:tcPr>
            <w:tcW w:type="dxa" w:w="3024"/>
            <w:vAlign w:val="top"/>
          </w:tcPr>
          <w:p>
            <w:pPr>
              <w:spacing w:after="0"/>
            </w:pPr>
            <w:r>
              <w:rPr>
                <w:sz w:val="16"/>
              </w:rPr>
            </w:r>
            <w:r>
              <w:rPr>
                <w:b w:val="0"/>
                <w:sz w:val="16"/>
              </w:rPr>
              <w:t>users</w:t>
            </w:r>
          </w:p>
        </w:tc>
        <w:tc>
          <w:tcPr>
            <w:tcW w:type="dxa" w:w="6480"/>
            <w:vAlign w:val="top"/>
          </w:tcPr>
          <w:p>
            <w:pPr>
              <w:spacing w:after="0"/>
            </w:pPr>
            <w:r>
              <w:rPr>
                <w:sz w:val="16"/>
              </w:rPr>
            </w:r>
            <w:r>
              <w:rPr>
                <w:b w:val="0"/>
                <w:sz w:val="16"/>
              </w:rPr>
              <w:t>User accounts, roles, login identity.</w:t>
            </w:r>
          </w:p>
        </w:tc>
      </w:tr>
      <w:tr>
        <w:tc>
          <w:tcPr>
            <w:tcW w:type="dxa" w:w="3024"/>
            <w:vAlign w:val="top"/>
          </w:tcPr>
          <w:p>
            <w:pPr>
              <w:spacing w:after="0"/>
            </w:pPr>
            <w:r>
              <w:rPr>
                <w:sz w:val="16"/>
              </w:rPr>
            </w:r>
            <w:r>
              <w:rPr>
                <w:b w:val="0"/>
                <w:sz w:val="16"/>
              </w:rPr>
              <w:t>organizations</w:t>
            </w:r>
          </w:p>
        </w:tc>
        <w:tc>
          <w:tcPr>
            <w:tcW w:type="dxa" w:w="6480"/>
            <w:vAlign w:val="top"/>
          </w:tcPr>
          <w:p>
            <w:pPr>
              <w:spacing w:after="0"/>
            </w:pPr>
            <w:r>
              <w:rPr>
                <w:sz w:val="16"/>
              </w:rPr>
            </w:r>
            <w:r>
              <w:rPr>
                <w:b w:val="0"/>
                <w:sz w:val="16"/>
              </w:rPr>
              <w:t>Organization profile, EIN/UEI, type, budget, location, website.</w:t>
            </w:r>
          </w:p>
        </w:tc>
      </w:tr>
      <w:tr>
        <w:tc>
          <w:tcPr>
            <w:tcW w:type="dxa" w:w="3024"/>
            <w:vAlign w:val="top"/>
          </w:tcPr>
          <w:p>
            <w:pPr>
              <w:spacing w:after="0"/>
            </w:pPr>
            <w:r>
              <w:rPr>
                <w:sz w:val="16"/>
              </w:rPr>
            </w:r>
            <w:r>
              <w:rPr>
                <w:b w:val="0"/>
                <w:sz w:val="16"/>
              </w:rPr>
              <w:t>grant_profiles</w:t>
            </w:r>
          </w:p>
        </w:tc>
        <w:tc>
          <w:tcPr>
            <w:tcW w:type="dxa" w:w="6480"/>
            <w:vAlign w:val="top"/>
          </w:tcPr>
          <w:p>
            <w:pPr>
              <w:spacing w:after="0"/>
            </w:pPr>
            <w:r>
              <w:rPr>
                <w:sz w:val="16"/>
              </w:rPr>
            </w:r>
            <w:r>
              <w:rPr>
                <w:b w:val="0"/>
                <w:sz w:val="16"/>
              </w:rPr>
              <w:t>Search/match profile settings, focus areas, keywords, applicant type, locations.</w:t>
            </w:r>
          </w:p>
        </w:tc>
      </w:tr>
      <w:tr>
        <w:tc>
          <w:tcPr>
            <w:tcW w:type="dxa" w:w="3024"/>
            <w:vAlign w:val="top"/>
          </w:tcPr>
          <w:p>
            <w:pPr>
              <w:spacing w:after="0"/>
            </w:pPr>
            <w:r>
              <w:rPr>
                <w:sz w:val="16"/>
              </w:rPr>
            </w:r>
            <w:r>
              <w:rPr>
                <w:b w:val="0"/>
                <w:sz w:val="16"/>
              </w:rPr>
              <w:t>sources</w:t>
            </w:r>
          </w:p>
        </w:tc>
        <w:tc>
          <w:tcPr>
            <w:tcW w:type="dxa" w:w="6480"/>
            <w:vAlign w:val="top"/>
          </w:tcPr>
          <w:p>
            <w:pPr>
              <w:spacing w:after="0"/>
            </w:pPr>
            <w:r>
              <w:rPr>
                <w:sz w:val="16"/>
              </w:rPr>
            </w:r>
            <w:r>
              <w:rPr>
                <w:b w:val="0"/>
                <w:sz w:val="16"/>
              </w:rPr>
              <w:t>All source configurations: API, RSS, crawler, licensed, manual.</w:t>
            </w:r>
          </w:p>
        </w:tc>
      </w:tr>
      <w:tr>
        <w:tc>
          <w:tcPr>
            <w:tcW w:type="dxa" w:w="3024"/>
            <w:vAlign w:val="top"/>
          </w:tcPr>
          <w:p>
            <w:pPr>
              <w:spacing w:after="0"/>
            </w:pPr>
            <w:r>
              <w:rPr>
                <w:sz w:val="16"/>
              </w:rPr>
            </w:r>
            <w:r>
              <w:rPr>
                <w:b w:val="0"/>
                <w:sz w:val="16"/>
              </w:rPr>
              <w:t>private_sources</w:t>
            </w:r>
          </w:p>
        </w:tc>
        <w:tc>
          <w:tcPr>
            <w:tcW w:type="dxa" w:w="6480"/>
            <w:vAlign w:val="top"/>
          </w:tcPr>
          <w:p>
            <w:pPr>
              <w:spacing w:after="0"/>
            </w:pPr>
            <w:r>
              <w:rPr>
                <w:sz w:val="16"/>
              </w:rPr>
            </w:r>
            <w:r>
              <w:rPr>
                <w:b w:val="0"/>
                <w:sz w:val="16"/>
              </w:rPr>
              <w:t>Private funder-specific source rules, topics, crawl settings, portal metadata.</w:t>
            </w:r>
          </w:p>
        </w:tc>
      </w:tr>
      <w:tr>
        <w:tc>
          <w:tcPr>
            <w:tcW w:type="dxa" w:w="3024"/>
            <w:vAlign w:val="top"/>
          </w:tcPr>
          <w:p>
            <w:pPr>
              <w:spacing w:after="0"/>
            </w:pPr>
            <w:r>
              <w:rPr>
                <w:sz w:val="16"/>
              </w:rPr>
            </w:r>
            <w:r>
              <w:rPr>
                <w:b w:val="0"/>
                <w:sz w:val="16"/>
              </w:rPr>
              <w:t>source_compliance_audits</w:t>
            </w:r>
          </w:p>
        </w:tc>
        <w:tc>
          <w:tcPr>
            <w:tcW w:type="dxa" w:w="6480"/>
            <w:vAlign w:val="top"/>
          </w:tcPr>
          <w:p>
            <w:pPr>
              <w:spacing w:after="0"/>
            </w:pPr>
            <w:r>
              <w:rPr>
                <w:sz w:val="16"/>
              </w:rPr>
            </w:r>
            <w:r>
              <w:rPr>
                <w:b w:val="0"/>
                <w:sz w:val="16"/>
              </w:rPr>
              <w:t>Robots, terms, license, storage/display permissions, review dates.</w:t>
            </w:r>
          </w:p>
        </w:tc>
      </w:tr>
      <w:tr>
        <w:tc>
          <w:tcPr>
            <w:tcW w:type="dxa" w:w="3024"/>
            <w:vAlign w:val="top"/>
          </w:tcPr>
          <w:p>
            <w:pPr>
              <w:spacing w:after="0"/>
            </w:pPr>
            <w:r>
              <w:rPr>
                <w:sz w:val="16"/>
              </w:rPr>
            </w:r>
            <w:r>
              <w:rPr>
                <w:b w:val="0"/>
                <w:sz w:val="16"/>
              </w:rPr>
              <w:t>pull_runs</w:t>
            </w:r>
          </w:p>
        </w:tc>
        <w:tc>
          <w:tcPr>
            <w:tcW w:type="dxa" w:w="6480"/>
            <w:vAlign w:val="top"/>
          </w:tcPr>
          <w:p>
            <w:pPr>
              <w:spacing w:after="0"/>
            </w:pPr>
            <w:r>
              <w:rPr>
                <w:sz w:val="16"/>
              </w:rPr>
            </w:r>
            <w:r>
              <w:rPr>
                <w:b w:val="0"/>
                <w:sz w:val="16"/>
              </w:rPr>
              <w:t>Each scheduled, on-demand, admin, backfill, or repair run.</w:t>
            </w:r>
          </w:p>
        </w:tc>
      </w:tr>
      <w:tr>
        <w:tc>
          <w:tcPr>
            <w:tcW w:type="dxa" w:w="3024"/>
            <w:vAlign w:val="top"/>
          </w:tcPr>
          <w:p>
            <w:pPr>
              <w:spacing w:after="0"/>
            </w:pPr>
            <w:r>
              <w:rPr>
                <w:sz w:val="16"/>
              </w:rPr>
            </w:r>
            <w:r>
              <w:rPr>
                <w:b w:val="0"/>
                <w:sz w:val="16"/>
              </w:rPr>
              <w:t>raw_grant_records</w:t>
            </w:r>
          </w:p>
        </w:tc>
        <w:tc>
          <w:tcPr>
            <w:tcW w:type="dxa" w:w="6480"/>
            <w:vAlign w:val="top"/>
          </w:tcPr>
          <w:p>
            <w:pPr>
              <w:spacing w:after="0"/>
            </w:pPr>
            <w:r>
              <w:rPr>
                <w:sz w:val="16"/>
              </w:rPr>
            </w:r>
            <w:r>
              <w:rPr>
                <w:b w:val="0"/>
                <w:sz w:val="16"/>
              </w:rPr>
              <w:t>Raw source payloads, hashes, HTML/text, source record IDs.</w:t>
            </w:r>
          </w:p>
        </w:tc>
      </w:tr>
      <w:tr>
        <w:tc>
          <w:tcPr>
            <w:tcW w:type="dxa" w:w="3024"/>
            <w:vAlign w:val="top"/>
          </w:tcPr>
          <w:p>
            <w:pPr>
              <w:spacing w:after="0"/>
            </w:pPr>
            <w:r>
              <w:rPr>
                <w:sz w:val="16"/>
              </w:rPr>
            </w:r>
            <w:r>
              <w:rPr>
                <w:b w:val="0"/>
                <w:sz w:val="16"/>
              </w:rPr>
              <w:t>private_opportunity_candidates</w:t>
            </w:r>
          </w:p>
        </w:tc>
        <w:tc>
          <w:tcPr>
            <w:tcW w:type="dxa" w:w="6480"/>
            <w:vAlign w:val="top"/>
          </w:tcPr>
          <w:p>
            <w:pPr>
              <w:spacing w:after="0"/>
            </w:pPr>
            <w:r>
              <w:rPr>
                <w:sz w:val="16"/>
              </w:rPr>
            </w:r>
            <w:r>
              <w:rPr>
                <w:b w:val="0"/>
                <w:sz w:val="16"/>
              </w:rPr>
              <w:t>Pre-normalized private grant candidates awaiting validation or promotion.</w:t>
            </w:r>
          </w:p>
        </w:tc>
      </w:tr>
      <w:tr>
        <w:tc>
          <w:tcPr>
            <w:tcW w:type="dxa" w:w="3024"/>
            <w:vAlign w:val="top"/>
          </w:tcPr>
          <w:p>
            <w:pPr>
              <w:spacing w:after="0"/>
            </w:pPr>
            <w:r>
              <w:rPr>
                <w:sz w:val="16"/>
              </w:rPr>
            </w:r>
            <w:r>
              <w:rPr>
                <w:b w:val="0"/>
                <w:sz w:val="16"/>
              </w:rPr>
              <w:t>grants</w:t>
            </w:r>
          </w:p>
        </w:tc>
        <w:tc>
          <w:tcPr>
            <w:tcW w:type="dxa" w:w="6480"/>
            <w:vAlign w:val="top"/>
          </w:tcPr>
          <w:p>
            <w:pPr>
              <w:spacing w:after="0"/>
            </w:pPr>
            <w:r>
              <w:rPr>
                <w:sz w:val="16"/>
              </w:rPr>
            </w:r>
            <w:r>
              <w:rPr>
                <w:b w:val="0"/>
                <w:sz w:val="16"/>
              </w:rPr>
              <w:t>Canonical normalized grants and opportunities.</w:t>
            </w:r>
          </w:p>
        </w:tc>
      </w:tr>
      <w:tr>
        <w:tc>
          <w:tcPr>
            <w:tcW w:type="dxa" w:w="3024"/>
            <w:vAlign w:val="top"/>
          </w:tcPr>
          <w:p>
            <w:pPr>
              <w:spacing w:after="0"/>
            </w:pPr>
            <w:r>
              <w:rPr>
                <w:sz w:val="16"/>
              </w:rPr>
            </w:r>
            <w:r>
              <w:rPr>
                <w:b w:val="0"/>
                <w:sz w:val="16"/>
              </w:rPr>
              <w:t>grant_source_links</w:t>
            </w:r>
          </w:p>
        </w:tc>
        <w:tc>
          <w:tcPr>
            <w:tcW w:type="dxa" w:w="6480"/>
            <w:vAlign w:val="top"/>
          </w:tcPr>
          <w:p>
            <w:pPr>
              <w:spacing w:after="0"/>
            </w:pPr>
            <w:r>
              <w:rPr>
                <w:sz w:val="16"/>
              </w:rPr>
            </w:r>
            <w:r>
              <w:rPr>
                <w:b w:val="0"/>
                <w:sz w:val="16"/>
              </w:rPr>
              <w:t>Many-to-one mapping of source records to canonical grants.</w:t>
            </w:r>
          </w:p>
        </w:tc>
      </w:tr>
      <w:tr>
        <w:tc>
          <w:tcPr>
            <w:tcW w:type="dxa" w:w="3024"/>
            <w:vAlign w:val="top"/>
          </w:tcPr>
          <w:p>
            <w:pPr>
              <w:spacing w:after="0"/>
            </w:pPr>
            <w:r>
              <w:rPr>
                <w:sz w:val="16"/>
              </w:rPr>
            </w:r>
            <w:r>
              <w:rPr>
                <w:b w:val="0"/>
                <w:sz w:val="16"/>
              </w:rPr>
              <w:t>grant_versions</w:t>
            </w:r>
          </w:p>
        </w:tc>
        <w:tc>
          <w:tcPr>
            <w:tcW w:type="dxa" w:w="6480"/>
            <w:vAlign w:val="top"/>
          </w:tcPr>
          <w:p>
            <w:pPr>
              <w:spacing w:after="0"/>
            </w:pPr>
            <w:r>
              <w:rPr>
                <w:sz w:val="16"/>
              </w:rPr>
            </w:r>
            <w:r>
              <w:rPr>
                <w:b w:val="0"/>
                <w:sz w:val="16"/>
              </w:rPr>
              <w:t>Field-level changes and snapshots over time.</w:t>
            </w:r>
          </w:p>
        </w:tc>
      </w:tr>
      <w:tr>
        <w:tc>
          <w:tcPr>
            <w:tcW w:type="dxa" w:w="3024"/>
            <w:vAlign w:val="top"/>
          </w:tcPr>
          <w:p>
            <w:pPr>
              <w:spacing w:after="0"/>
            </w:pPr>
            <w:r>
              <w:rPr>
                <w:sz w:val="16"/>
              </w:rPr>
            </w:r>
            <w:r>
              <w:rPr>
                <w:b w:val="0"/>
                <w:sz w:val="16"/>
              </w:rPr>
              <w:t>grant_documents</w:t>
            </w:r>
          </w:p>
        </w:tc>
        <w:tc>
          <w:tcPr>
            <w:tcW w:type="dxa" w:w="6480"/>
            <w:vAlign w:val="top"/>
          </w:tcPr>
          <w:p>
            <w:pPr>
              <w:spacing w:after="0"/>
            </w:pPr>
            <w:r>
              <w:rPr>
                <w:sz w:val="16"/>
              </w:rPr>
            </w:r>
            <w:r>
              <w:rPr>
                <w:b w:val="0"/>
                <w:sz w:val="16"/>
              </w:rPr>
              <w:t>NOFOs, PDFs, instructions, attachments, parsed text.</w:t>
            </w:r>
          </w:p>
        </w:tc>
      </w:tr>
      <w:tr>
        <w:tc>
          <w:tcPr>
            <w:tcW w:type="dxa" w:w="3024"/>
            <w:vAlign w:val="top"/>
          </w:tcPr>
          <w:p>
            <w:pPr>
              <w:spacing w:after="0"/>
            </w:pPr>
            <w:r>
              <w:rPr>
                <w:sz w:val="16"/>
              </w:rPr>
            </w:r>
            <w:r>
              <w:rPr>
                <w:b w:val="0"/>
                <w:sz w:val="16"/>
              </w:rPr>
              <w:t>grant_categories</w:t>
            </w:r>
          </w:p>
        </w:tc>
        <w:tc>
          <w:tcPr>
            <w:tcW w:type="dxa" w:w="6480"/>
            <w:vAlign w:val="top"/>
          </w:tcPr>
          <w:p>
            <w:pPr>
              <w:spacing w:after="0"/>
            </w:pPr>
            <w:r>
              <w:rPr>
                <w:sz w:val="16"/>
              </w:rPr>
            </w:r>
            <w:r>
              <w:rPr>
                <w:b w:val="0"/>
                <w:sz w:val="16"/>
              </w:rPr>
              <w:t>Funding categories, sectors, instruments, ALNs, keywords.</w:t>
            </w:r>
          </w:p>
        </w:tc>
      </w:tr>
      <w:tr>
        <w:tc>
          <w:tcPr>
            <w:tcW w:type="dxa" w:w="3024"/>
            <w:vAlign w:val="top"/>
          </w:tcPr>
          <w:p>
            <w:pPr>
              <w:spacing w:after="0"/>
            </w:pPr>
            <w:r>
              <w:rPr>
                <w:sz w:val="16"/>
              </w:rPr>
            </w:r>
            <w:r>
              <w:rPr>
                <w:b w:val="0"/>
                <w:sz w:val="16"/>
              </w:rPr>
              <w:t>grant_topic_scores</w:t>
            </w:r>
          </w:p>
        </w:tc>
        <w:tc>
          <w:tcPr>
            <w:tcW w:type="dxa" w:w="6480"/>
            <w:vAlign w:val="top"/>
          </w:tcPr>
          <w:p>
            <w:pPr>
              <w:spacing w:after="0"/>
            </w:pPr>
            <w:r>
              <w:rPr>
                <w:sz w:val="16"/>
              </w:rPr>
            </w:r>
            <w:r>
              <w:rPr>
                <w:b w:val="0"/>
                <w:sz w:val="16"/>
              </w:rPr>
              <w:t>AI, tech, social media, journalism, cybersecurity, digital rights, open-source scores.</w:t>
            </w:r>
          </w:p>
        </w:tc>
      </w:tr>
      <w:tr>
        <w:tc>
          <w:tcPr>
            <w:tcW w:type="dxa" w:w="3024"/>
            <w:vAlign w:val="top"/>
          </w:tcPr>
          <w:p>
            <w:pPr>
              <w:spacing w:after="0"/>
            </w:pPr>
            <w:r>
              <w:rPr>
                <w:sz w:val="16"/>
              </w:rPr>
            </w:r>
            <w:r>
              <w:rPr>
                <w:b w:val="0"/>
                <w:sz w:val="16"/>
              </w:rPr>
              <w:t>funder_profiles</w:t>
            </w:r>
          </w:p>
        </w:tc>
        <w:tc>
          <w:tcPr>
            <w:tcW w:type="dxa" w:w="6480"/>
            <w:vAlign w:val="top"/>
          </w:tcPr>
          <w:p>
            <w:pPr>
              <w:spacing w:after="0"/>
            </w:pPr>
            <w:r>
              <w:rPr>
                <w:sz w:val="16"/>
              </w:rPr>
            </w:r>
            <w:r>
              <w:rPr>
                <w:b w:val="0"/>
                <w:sz w:val="16"/>
              </w:rPr>
              <w:t>Funder profile, type, focus areas, typical awards, application method, prospecting metadata.</w:t>
            </w:r>
          </w:p>
        </w:tc>
      </w:tr>
      <w:tr>
        <w:tc>
          <w:tcPr>
            <w:tcW w:type="dxa" w:w="3024"/>
            <w:vAlign w:val="top"/>
          </w:tcPr>
          <w:p>
            <w:pPr>
              <w:spacing w:after="0"/>
            </w:pPr>
            <w:r>
              <w:rPr>
                <w:sz w:val="16"/>
              </w:rPr>
            </w:r>
            <w:r>
              <w:rPr>
                <w:b w:val="0"/>
                <w:sz w:val="16"/>
              </w:rPr>
              <w:t>grant_matches</w:t>
            </w:r>
          </w:p>
        </w:tc>
        <w:tc>
          <w:tcPr>
            <w:tcW w:type="dxa" w:w="6480"/>
            <w:vAlign w:val="top"/>
          </w:tcPr>
          <w:p>
            <w:pPr>
              <w:spacing w:after="0"/>
            </w:pPr>
            <w:r>
              <w:rPr>
                <w:sz w:val="16"/>
              </w:rPr>
            </w:r>
            <w:r>
              <w:rPr>
                <w:b w:val="0"/>
                <w:sz w:val="16"/>
              </w:rPr>
              <w:t>Match scores, reasons, warnings, disqualifiers by profile.</w:t>
            </w:r>
          </w:p>
        </w:tc>
      </w:tr>
      <w:tr>
        <w:tc>
          <w:tcPr>
            <w:tcW w:type="dxa" w:w="3024"/>
            <w:vAlign w:val="top"/>
          </w:tcPr>
          <w:p>
            <w:pPr>
              <w:spacing w:after="0"/>
            </w:pPr>
            <w:r>
              <w:rPr>
                <w:sz w:val="16"/>
              </w:rPr>
            </w:r>
            <w:r>
              <w:rPr>
                <w:b w:val="0"/>
                <w:sz w:val="16"/>
              </w:rPr>
              <w:t>saved_grants</w:t>
            </w:r>
          </w:p>
        </w:tc>
        <w:tc>
          <w:tcPr>
            <w:tcW w:type="dxa" w:w="6480"/>
            <w:vAlign w:val="top"/>
          </w:tcPr>
          <w:p>
            <w:pPr>
              <w:spacing w:after="0"/>
            </w:pPr>
            <w:r>
              <w:rPr>
                <w:sz w:val="16"/>
              </w:rPr>
            </w:r>
            <w:r>
              <w:rPr>
                <w:b w:val="0"/>
                <w:sz w:val="16"/>
              </w:rPr>
              <w:t>User-saved grants and notes.</w:t>
            </w:r>
          </w:p>
        </w:tc>
      </w:tr>
      <w:tr>
        <w:tc>
          <w:tcPr>
            <w:tcW w:type="dxa" w:w="3024"/>
            <w:vAlign w:val="top"/>
          </w:tcPr>
          <w:p>
            <w:pPr>
              <w:spacing w:after="0"/>
            </w:pPr>
            <w:r>
              <w:rPr>
                <w:sz w:val="16"/>
              </w:rPr>
            </w:r>
            <w:r>
              <w:rPr>
                <w:b w:val="0"/>
                <w:sz w:val="16"/>
              </w:rPr>
              <w:t>applications</w:t>
            </w:r>
          </w:p>
        </w:tc>
        <w:tc>
          <w:tcPr>
            <w:tcW w:type="dxa" w:w="6480"/>
            <w:vAlign w:val="top"/>
          </w:tcPr>
          <w:p>
            <w:pPr>
              <w:spacing w:after="0"/>
            </w:pPr>
            <w:r>
              <w:rPr>
                <w:sz w:val="16"/>
              </w:rPr>
            </w:r>
            <w:r>
              <w:rPr>
                <w:b w:val="0"/>
                <w:sz w:val="16"/>
              </w:rPr>
              <w:t>Application tracker states and due dates.</w:t>
            </w:r>
          </w:p>
        </w:tc>
      </w:tr>
      <w:tr>
        <w:tc>
          <w:tcPr>
            <w:tcW w:type="dxa" w:w="3024"/>
            <w:vAlign w:val="top"/>
          </w:tcPr>
          <w:p>
            <w:pPr>
              <w:spacing w:after="0"/>
            </w:pPr>
            <w:r>
              <w:rPr>
                <w:sz w:val="16"/>
              </w:rPr>
            </w:r>
            <w:r>
              <w:rPr>
                <w:b w:val="0"/>
                <w:sz w:val="16"/>
              </w:rPr>
              <w:t>notifications</w:t>
            </w:r>
          </w:p>
        </w:tc>
        <w:tc>
          <w:tcPr>
            <w:tcW w:type="dxa" w:w="6480"/>
            <w:vAlign w:val="top"/>
          </w:tcPr>
          <w:p>
            <w:pPr>
              <w:spacing w:after="0"/>
            </w:pPr>
            <w:r>
              <w:rPr>
                <w:sz w:val="16"/>
              </w:rPr>
            </w:r>
            <w:r>
              <w:rPr>
                <w:b w:val="0"/>
                <w:sz w:val="16"/>
              </w:rPr>
              <w:t>In-app/email/SMS notification records.</w:t>
            </w:r>
          </w:p>
        </w:tc>
      </w:tr>
      <w:tr>
        <w:tc>
          <w:tcPr>
            <w:tcW w:type="dxa" w:w="3024"/>
            <w:vAlign w:val="top"/>
          </w:tcPr>
          <w:p>
            <w:pPr>
              <w:spacing w:after="0"/>
            </w:pPr>
            <w:r>
              <w:rPr>
                <w:sz w:val="16"/>
              </w:rPr>
            </w:r>
            <w:r>
              <w:rPr>
                <w:b w:val="0"/>
                <w:sz w:val="16"/>
              </w:rPr>
              <w:t>admin_review_queue</w:t>
            </w:r>
          </w:p>
        </w:tc>
        <w:tc>
          <w:tcPr>
            <w:tcW w:type="dxa" w:w="6480"/>
            <w:vAlign w:val="top"/>
          </w:tcPr>
          <w:p>
            <w:pPr>
              <w:spacing w:after="0"/>
            </w:pPr>
            <w:r>
              <w:rPr>
                <w:sz w:val="16"/>
              </w:rPr>
            </w:r>
            <w:r>
              <w:rPr>
                <w:b w:val="0"/>
                <w:sz w:val="16"/>
              </w:rPr>
              <w:t>Low-confidence records, duplicate conflicts, and data quality issues.</w:t>
            </w:r>
          </w:p>
        </w:tc>
      </w:tr>
      <w:tr>
        <w:tc>
          <w:tcPr>
            <w:tcW w:type="dxa" w:w="3024"/>
            <w:vAlign w:val="top"/>
          </w:tcPr>
          <w:p>
            <w:pPr>
              <w:spacing w:after="0"/>
            </w:pPr>
            <w:r>
              <w:rPr>
                <w:sz w:val="16"/>
              </w:rPr>
            </w:r>
            <w:r>
              <w:rPr>
                <w:b w:val="0"/>
                <w:sz w:val="16"/>
              </w:rPr>
              <w:t>audit_logs</w:t>
            </w:r>
          </w:p>
        </w:tc>
        <w:tc>
          <w:tcPr>
            <w:tcW w:type="dxa" w:w="6480"/>
            <w:vAlign w:val="top"/>
          </w:tcPr>
          <w:p>
            <w:pPr>
              <w:spacing w:after="0"/>
            </w:pPr>
            <w:r>
              <w:rPr>
                <w:sz w:val="16"/>
              </w:rPr>
            </w:r>
            <w:r>
              <w:rPr>
                <w:b w:val="0"/>
                <w:sz w:val="16"/>
              </w:rPr>
              <w:t>Admin and system actions for traceability.</w:t>
            </w:r>
          </w:p>
        </w:tc>
      </w:tr>
    </w:tbl>
    <w:p/>
    <w:p>
      <w:pPr>
        <w:pStyle w:val="Heading2"/>
      </w:pPr>
      <w:r>
        <w:rPr>
          <w:rFonts w:ascii="Arial" w:hAnsi="Arial"/>
        </w:rPr>
        <w:t>Selected table schema examples</w:t>
      </w:r>
    </w:p>
    <w:p>
      <w:pPr>
        <w:pStyle w:val="CodeBlock"/>
      </w:pPr>
      <w:r>
        <w:t>sources (</w:t>
      </w:r>
    </w:p>
    <w:p>
      <w:pPr>
        <w:pStyle w:val="CodeBlock"/>
      </w:pPr>
      <w:r>
        <w:t xml:space="preserve">  id uuid primary key,</w:t>
      </w:r>
    </w:p>
    <w:p>
      <w:pPr>
        <w:pStyle w:val="CodeBlock"/>
      </w:pPr>
      <w:r>
        <w:t xml:space="preserve">  source_key text unique not null,</w:t>
      </w:r>
    </w:p>
    <w:p>
      <w:pPr>
        <w:pStyle w:val="CodeBlock"/>
      </w:pPr>
      <w:r>
        <w:t xml:space="preserve">  name text not null,</w:t>
      </w:r>
    </w:p>
    <w:p>
      <w:pPr>
        <w:pStyle w:val="CodeBlock"/>
      </w:pPr>
      <w:r>
        <w:t xml:space="preserve">  type text not null, -- api, rss, crawler, licensed, manual</w:t>
      </w:r>
    </w:p>
    <w:p>
      <w:pPr>
        <w:pStyle w:val="CodeBlock"/>
      </w:pPr>
      <w:r>
        <w:t xml:space="preserve">  base_url text,</w:t>
      </w:r>
    </w:p>
    <w:p>
      <w:pPr>
        <w:pStyle w:val="CodeBlock"/>
      </w:pPr>
      <w:r>
        <w:t xml:space="preserve">  auth_type text,</w:t>
      </w:r>
    </w:p>
    <w:p>
      <w:pPr>
        <w:pStyle w:val="CodeBlock"/>
      </w:pPr>
      <w:r>
        <w:t xml:space="preserve">  enabled boolean default true,</w:t>
      </w:r>
    </w:p>
    <w:p>
      <w:pPr>
        <w:pStyle w:val="CodeBlock"/>
      </w:pPr>
      <w:r>
        <w:t xml:space="preserve">  pull_frequency_hours int default 12,</w:t>
      </w:r>
    </w:p>
    <w:p>
      <w:pPr>
        <w:pStyle w:val="CodeBlock"/>
      </w:pPr>
      <w:r>
        <w:t xml:space="preserve">  rate_limit_per_minute int,</w:t>
      </w:r>
    </w:p>
    <w:p>
      <w:pPr>
        <w:pStyle w:val="CodeBlock"/>
      </w:pPr>
      <w:r>
        <w:t xml:space="preserve">  robots_allowed boolean,</w:t>
      </w:r>
    </w:p>
    <w:p>
      <w:pPr>
        <w:pStyle w:val="CodeBlock"/>
      </w:pPr>
      <w:r>
        <w:t xml:space="preserve">  terms_reviewed_at timestamptz,</w:t>
      </w:r>
    </w:p>
    <w:p>
      <w:pPr>
        <w:pStyle w:val="CodeBlock"/>
      </w:pPr>
      <w:r>
        <w:t xml:space="preserve">  created_at timestamptz,</w:t>
      </w:r>
    </w:p>
    <w:p>
      <w:pPr>
        <w:pStyle w:val="CodeBlock"/>
      </w:pPr>
      <w:r>
        <w:t xml:space="preserve">  updated_at timestamptz</w:t>
      </w:r>
    </w:p>
    <w:p>
      <w:pPr>
        <w:pStyle w:val="CodeBlock"/>
      </w:pPr>
      <w:r>
        <w:t>)</w:t>
      </w:r>
    </w:p>
    <w:p>
      <w:pPr>
        <w:pStyle w:val="CodeBlock"/>
      </w:pPr>
      <w:r>
        <w:t xml:space="preserve"> </w:t>
      </w:r>
    </w:p>
    <w:p>
      <w:pPr>
        <w:pStyle w:val="CodeBlock"/>
      </w:pPr>
      <w:r>
        <w:t>pull_runs (</w:t>
      </w:r>
    </w:p>
    <w:p>
      <w:pPr>
        <w:pStyle w:val="CodeBlock"/>
      </w:pPr>
      <w:r>
        <w:t xml:space="preserve">  id uuid primary key,</w:t>
      </w:r>
    </w:p>
    <w:p>
      <w:pPr>
        <w:pStyle w:val="CodeBlock"/>
      </w:pPr>
      <w:r>
        <w:t xml:space="preserve">  source_id uuid references sources(id),</w:t>
      </w:r>
    </w:p>
    <w:p>
      <w:pPr>
        <w:pStyle w:val="CodeBlock"/>
      </w:pPr>
      <w:r>
        <w:t xml:space="preserve">  trigger_type text not null, -- scheduled, user_on_demand, admin, backfill, repair</w:t>
      </w:r>
    </w:p>
    <w:p>
      <w:pPr>
        <w:pStyle w:val="CodeBlock"/>
      </w:pPr>
      <w:r>
        <w:t xml:space="preserve">  requested_by_user_id uuid references users(id),</w:t>
      </w:r>
    </w:p>
    <w:p>
      <w:pPr>
        <w:pStyle w:val="CodeBlock"/>
      </w:pPr>
      <w:r>
        <w:t xml:space="preserve">  status text not null, -- queued, running, succeeded, failed, partial</w:t>
      </w:r>
    </w:p>
    <w:p>
      <w:pPr>
        <w:pStyle w:val="CodeBlock"/>
      </w:pPr>
      <w:r>
        <w:t xml:space="preserve">  started_at timestamptz,</w:t>
      </w:r>
    </w:p>
    <w:p>
      <w:pPr>
        <w:pStyle w:val="CodeBlock"/>
      </w:pPr>
      <w:r>
        <w:t xml:space="preserve">  finished_at timestamptz,</w:t>
      </w:r>
    </w:p>
    <w:p>
      <w:pPr>
        <w:pStyle w:val="CodeBlock"/>
      </w:pPr>
      <w:r>
        <w:t xml:space="preserve">  records_found int default 0,</w:t>
      </w:r>
    </w:p>
    <w:p>
      <w:pPr>
        <w:pStyle w:val="CodeBlock"/>
      </w:pPr>
      <w:r>
        <w:t xml:space="preserve">  records_new int default 0,</w:t>
      </w:r>
    </w:p>
    <w:p>
      <w:pPr>
        <w:pStyle w:val="CodeBlock"/>
      </w:pPr>
      <w:r>
        <w:t xml:space="preserve">  records_updated int default 0,</w:t>
      </w:r>
    </w:p>
    <w:p>
      <w:pPr>
        <w:pStyle w:val="CodeBlock"/>
      </w:pPr>
      <w:r>
        <w:t xml:space="preserve">  records_failed int default 0,</w:t>
      </w:r>
    </w:p>
    <w:p>
      <w:pPr>
        <w:pStyle w:val="CodeBlock"/>
      </w:pPr>
      <w:r>
        <w:t xml:space="preserve">  error_summary text,</w:t>
      </w:r>
    </w:p>
    <w:p>
      <w:pPr>
        <w:pStyle w:val="CodeBlock"/>
      </w:pPr>
      <w:r>
        <w:t xml:space="preserve">  metadata jsonb</w:t>
      </w:r>
    </w:p>
    <w:p>
      <w:pPr>
        <w:pStyle w:val="CodeBlock"/>
      </w:pPr>
      <w:r>
        <w:t>)</w:t>
      </w:r>
    </w:p>
    <w:p>
      <w:pPr>
        <w:pStyle w:val="CodeBlock"/>
      </w:pPr>
      <w:r>
        <w:t xml:space="preserve"> </w:t>
      </w:r>
    </w:p>
    <w:p>
      <w:pPr>
        <w:pStyle w:val="CodeBlock"/>
      </w:pPr>
      <w:r>
        <w:t>private_opportunity_candidates (</w:t>
      </w:r>
    </w:p>
    <w:p>
      <w:pPr>
        <w:pStyle w:val="CodeBlock"/>
      </w:pPr>
      <w:r>
        <w:t xml:space="preserve">  id uuid primary key,</w:t>
      </w:r>
    </w:p>
    <w:p>
      <w:pPr>
        <w:pStyle w:val="CodeBlock"/>
      </w:pPr>
      <w:r>
        <w:t xml:space="preserve">  private_source_id uuid references private_sources(id),</w:t>
      </w:r>
    </w:p>
    <w:p>
      <w:pPr>
        <w:pStyle w:val="CodeBlock"/>
      </w:pPr>
      <w:r>
        <w:t xml:space="preserve">  source_url text not null,</w:t>
      </w:r>
    </w:p>
    <w:p>
      <w:pPr>
        <w:pStyle w:val="CodeBlock"/>
      </w:pPr>
      <w:r>
        <w:t xml:space="preserve">  extracted_title text,</w:t>
      </w:r>
    </w:p>
    <w:p>
      <w:pPr>
        <w:pStyle w:val="CodeBlock"/>
      </w:pPr>
      <w:r>
        <w:t xml:space="preserve">  extracted_description text,</w:t>
      </w:r>
    </w:p>
    <w:p>
      <w:pPr>
        <w:pStyle w:val="CodeBlock"/>
      </w:pPr>
      <w:r>
        <w:t xml:space="preserve">  extracted_deadline text,</w:t>
      </w:r>
    </w:p>
    <w:p>
      <w:pPr>
        <w:pStyle w:val="CodeBlock"/>
      </w:pPr>
      <w:r>
        <w:t xml:space="preserve">  extracted_amount text,</w:t>
      </w:r>
    </w:p>
    <w:p>
      <w:pPr>
        <w:pStyle w:val="CodeBlock"/>
      </w:pPr>
      <w:r>
        <w:t xml:space="preserve">  extracted_eligibility text,</w:t>
      </w:r>
    </w:p>
    <w:p>
      <w:pPr>
        <w:pStyle w:val="CodeBlock"/>
      </w:pPr>
      <w:r>
        <w:t xml:space="preserve">  extracted_apply_url text,</w:t>
      </w:r>
    </w:p>
    <w:p>
      <w:pPr>
        <w:pStyle w:val="CodeBlock"/>
      </w:pPr>
      <w:r>
        <w:t xml:space="preserve">  detected_opportunity_type text,</w:t>
      </w:r>
    </w:p>
    <w:p>
      <w:pPr>
        <w:pStyle w:val="CodeBlock"/>
      </w:pPr>
      <w:r>
        <w:t xml:space="preserve">  detected_topics text[],</w:t>
      </w:r>
    </w:p>
    <w:p>
      <w:pPr>
        <w:pStyle w:val="CodeBlock"/>
      </w:pPr>
      <w:r>
        <w:t xml:space="preserve">  extraction_confidence numeric,</w:t>
      </w:r>
    </w:p>
    <w:p>
      <w:pPr>
        <w:pStyle w:val="CodeBlock"/>
      </w:pPr>
      <w:r>
        <w:t xml:space="preserve">  needs_review boolean default false,</w:t>
      </w:r>
    </w:p>
    <w:p>
      <w:pPr>
        <w:pStyle w:val="CodeBlock"/>
      </w:pPr>
      <w:r>
        <w:t xml:space="preserve">  first_seen_at timestamptz,</w:t>
      </w:r>
    </w:p>
    <w:p>
      <w:pPr>
        <w:pStyle w:val="CodeBlock"/>
      </w:pPr>
      <w:r>
        <w:t xml:space="preserve">  last_seen_at timestamptz,</w:t>
      </w:r>
    </w:p>
    <w:p>
      <w:pPr>
        <w:pStyle w:val="CodeBlock"/>
      </w:pPr>
      <w:r>
        <w:t xml:space="preserve">  created_at timestamptz</w:t>
      </w:r>
    </w:p>
    <w:p>
      <w:pPr>
        <w:pStyle w:val="CodeBlock"/>
      </w:pPr>
      <w:r>
        <w:t>)</w:t>
      </w:r>
    </w:p>
    <w:p>
      <w:pPr>
        <w:pStyle w:val="Heading1"/>
      </w:pPr>
      <w:r>
        <w:rPr>
          <w:rFonts w:ascii="Arial" w:hAnsi="Arial"/>
        </w:rPr>
        <w:t>14. API and Integration Design</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1080"/>
            <w:shd w:fill="D9EAF7"/>
            <w:vAlign w:val="top"/>
          </w:tcPr>
          <w:p>
            <w:pPr>
              <w:spacing w:after="0"/>
            </w:pPr>
            <w:r>
              <w:rPr>
                <w:sz w:val="15"/>
              </w:rPr>
            </w:r>
            <w:r>
              <w:rPr>
                <w:b/>
                <w:color w:val="1C4967"/>
                <w:sz w:val="15"/>
              </w:rPr>
              <w:t>Method</w:t>
            </w:r>
          </w:p>
        </w:tc>
        <w:tc>
          <w:tcPr>
            <w:tcW w:type="dxa" w:w="3311"/>
            <w:shd w:fill="D9EAF7"/>
            <w:vAlign w:val="top"/>
          </w:tcPr>
          <w:p>
            <w:pPr>
              <w:spacing w:after="0"/>
            </w:pPr>
            <w:r>
              <w:rPr>
                <w:sz w:val="15"/>
              </w:rPr>
            </w:r>
            <w:r>
              <w:rPr>
                <w:b/>
                <w:color w:val="1C4967"/>
                <w:sz w:val="15"/>
              </w:rPr>
              <w:t>Endpoint</w:t>
            </w:r>
          </w:p>
        </w:tc>
        <w:tc>
          <w:tcPr>
            <w:tcW w:type="dxa" w:w="5112"/>
            <w:shd w:fill="D9EAF7"/>
            <w:vAlign w:val="top"/>
          </w:tcPr>
          <w:p>
            <w:pPr>
              <w:spacing w:after="0"/>
            </w:pPr>
            <w:r>
              <w:rPr>
                <w:sz w:val="15"/>
              </w:rPr>
            </w:r>
            <w:r>
              <w:rPr>
                <w:b/>
                <w:color w:val="1C4967"/>
                <w:sz w:val="15"/>
              </w:rPr>
              <w:t>Purpose</w:t>
            </w:r>
          </w:p>
        </w:tc>
      </w:tr>
      <w:tr>
        <w:tc>
          <w:tcPr>
            <w:tcW w:type="dxa" w:w="1080"/>
            <w:vAlign w:val="top"/>
          </w:tcPr>
          <w:p>
            <w:pPr>
              <w:spacing w:after="0"/>
            </w:pPr>
            <w:r>
              <w:rPr>
                <w:sz w:val="15"/>
              </w:rPr>
            </w:r>
            <w:r>
              <w:rPr>
                <w:b w:val="0"/>
                <w:sz w:val="15"/>
              </w:rPr>
              <w:t>POST</w:t>
            </w:r>
          </w:p>
        </w:tc>
        <w:tc>
          <w:tcPr>
            <w:tcW w:type="dxa" w:w="3311"/>
            <w:vAlign w:val="top"/>
          </w:tcPr>
          <w:p>
            <w:pPr>
              <w:spacing w:after="0"/>
            </w:pPr>
            <w:r>
              <w:rPr>
                <w:sz w:val="15"/>
              </w:rPr>
            </w:r>
            <w:r>
              <w:rPr>
                <w:b w:val="0"/>
                <w:sz w:val="15"/>
              </w:rPr>
              <w:t>/api/auth/register</w:t>
            </w:r>
          </w:p>
        </w:tc>
        <w:tc>
          <w:tcPr>
            <w:tcW w:type="dxa" w:w="5112"/>
            <w:vAlign w:val="top"/>
          </w:tcPr>
          <w:p>
            <w:pPr>
              <w:spacing w:after="0"/>
            </w:pPr>
            <w:r>
              <w:rPr>
                <w:sz w:val="15"/>
              </w:rPr>
            </w:r>
            <w:r>
              <w:rPr>
                <w:b w:val="0"/>
                <w:sz w:val="15"/>
              </w:rPr>
              <w:t>Create user account.</w:t>
            </w:r>
          </w:p>
        </w:tc>
      </w:tr>
      <w:tr>
        <w:tc>
          <w:tcPr>
            <w:tcW w:type="dxa" w:w="1080"/>
            <w:vAlign w:val="top"/>
          </w:tcPr>
          <w:p>
            <w:pPr>
              <w:spacing w:after="0"/>
            </w:pPr>
            <w:r>
              <w:rPr>
                <w:sz w:val="15"/>
              </w:rPr>
            </w:r>
            <w:r>
              <w:rPr>
                <w:b w:val="0"/>
                <w:sz w:val="15"/>
              </w:rPr>
              <w:t>POST</w:t>
            </w:r>
          </w:p>
        </w:tc>
        <w:tc>
          <w:tcPr>
            <w:tcW w:type="dxa" w:w="3311"/>
            <w:vAlign w:val="top"/>
          </w:tcPr>
          <w:p>
            <w:pPr>
              <w:spacing w:after="0"/>
            </w:pPr>
            <w:r>
              <w:rPr>
                <w:sz w:val="15"/>
              </w:rPr>
            </w:r>
            <w:r>
              <w:rPr>
                <w:b w:val="0"/>
                <w:sz w:val="15"/>
              </w:rPr>
              <w:t>/api/auth/login</w:t>
            </w:r>
          </w:p>
        </w:tc>
        <w:tc>
          <w:tcPr>
            <w:tcW w:type="dxa" w:w="5112"/>
            <w:vAlign w:val="top"/>
          </w:tcPr>
          <w:p>
            <w:pPr>
              <w:spacing w:after="0"/>
            </w:pPr>
            <w:r>
              <w:rPr>
                <w:sz w:val="15"/>
              </w:rPr>
            </w:r>
            <w:r>
              <w:rPr>
                <w:b w:val="0"/>
                <w:sz w:val="15"/>
              </w:rPr>
              <w:t>Authenticate user.</w:t>
            </w:r>
          </w:p>
        </w:tc>
      </w:tr>
      <w:tr>
        <w:tc>
          <w:tcPr>
            <w:tcW w:type="dxa" w:w="1080"/>
            <w:vAlign w:val="top"/>
          </w:tcPr>
          <w:p>
            <w:pPr>
              <w:spacing w:after="0"/>
            </w:pPr>
            <w:r>
              <w:rPr>
                <w:sz w:val="15"/>
              </w:rPr>
            </w:r>
            <w:r>
              <w:rPr>
                <w:b w:val="0"/>
                <w:sz w:val="15"/>
              </w:rPr>
              <w:t>GET</w:t>
            </w:r>
          </w:p>
        </w:tc>
        <w:tc>
          <w:tcPr>
            <w:tcW w:type="dxa" w:w="3311"/>
            <w:vAlign w:val="top"/>
          </w:tcPr>
          <w:p>
            <w:pPr>
              <w:spacing w:after="0"/>
            </w:pPr>
            <w:r>
              <w:rPr>
                <w:sz w:val="15"/>
              </w:rPr>
            </w:r>
            <w:r>
              <w:rPr>
                <w:b w:val="0"/>
                <w:sz w:val="15"/>
              </w:rPr>
              <w:t>/api/me</w:t>
            </w:r>
          </w:p>
        </w:tc>
        <w:tc>
          <w:tcPr>
            <w:tcW w:type="dxa" w:w="5112"/>
            <w:vAlign w:val="top"/>
          </w:tcPr>
          <w:p>
            <w:pPr>
              <w:spacing w:after="0"/>
            </w:pPr>
            <w:r>
              <w:rPr>
                <w:sz w:val="15"/>
              </w:rPr>
            </w:r>
            <w:r>
              <w:rPr>
                <w:b w:val="0"/>
                <w:sz w:val="15"/>
              </w:rPr>
              <w:t>Current user and permissions.</w:t>
            </w:r>
          </w:p>
        </w:tc>
      </w:tr>
      <w:tr>
        <w:tc>
          <w:tcPr>
            <w:tcW w:type="dxa" w:w="1080"/>
            <w:vAlign w:val="top"/>
          </w:tcPr>
          <w:p>
            <w:pPr>
              <w:spacing w:after="0"/>
            </w:pPr>
            <w:r>
              <w:rPr>
                <w:sz w:val="15"/>
              </w:rPr>
            </w:r>
            <w:r>
              <w:rPr>
                <w:b w:val="0"/>
                <w:sz w:val="15"/>
              </w:rPr>
              <w:t>POST</w:t>
            </w:r>
          </w:p>
        </w:tc>
        <w:tc>
          <w:tcPr>
            <w:tcW w:type="dxa" w:w="3311"/>
            <w:vAlign w:val="top"/>
          </w:tcPr>
          <w:p>
            <w:pPr>
              <w:spacing w:after="0"/>
            </w:pPr>
            <w:r>
              <w:rPr>
                <w:sz w:val="15"/>
              </w:rPr>
            </w:r>
            <w:r>
              <w:rPr>
                <w:b w:val="0"/>
                <w:sz w:val="15"/>
              </w:rPr>
              <w:t>/api/organizations</w:t>
            </w:r>
          </w:p>
        </w:tc>
        <w:tc>
          <w:tcPr>
            <w:tcW w:type="dxa" w:w="5112"/>
            <w:vAlign w:val="top"/>
          </w:tcPr>
          <w:p>
            <w:pPr>
              <w:spacing w:after="0"/>
            </w:pPr>
            <w:r>
              <w:rPr>
                <w:sz w:val="15"/>
              </w:rPr>
            </w:r>
            <w:r>
              <w:rPr>
                <w:b w:val="0"/>
                <w:sz w:val="15"/>
              </w:rPr>
              <w:t>Create organization.</w:t>
            </w:r>
          </w:p>
        </w:tc>
      </w:tr>
      <w:tr>
        <w:tc>
          <w:tcPr>
            <w:tcW w:type="dxa" w:w="1080"/>
            <w:vAlign w:val="top"/>
          </w:tcPr>
          <w:p>
            <w:pPr>
              <w:spacing w:after="0"/>
            </w:pPr>
            <w:r>
              <w:rPr>
                <w:sz w:val="15"/>
              </w:rPr>
            </w:r>
            <w:r>
              <w:rPr>
                <w:b w:val="0"/>
                <w:sz w:val="15"/>
              </w:rPr>
              <w:t>PATCH</w:t>
            </w:r>
          </w:p>
        </w:tc>
        <w:tc>
          <w:tcPr>
            <w:tcW w:type="dxa" w:w="3311"/>
            <w:vAlign w:val="top"/>
          </w:tcPr>
          <w:p>
            <w:pPr>
              <w:spacing w:after="0"/>
            </w:pPr>
            <w:r>
              <w:rPr>
                <w:sz w:val="15"/>
              </w:rPr>
            </w:r>
            <w:r>
              <w:rPr>
                <w:b w:val="0"/>
                <w:sz w:val="15"/>
              </w:rPr>
              <w:t>/api/organizations/:id</w:t>
            </w:r>
          </w:p>
        </w:tc>
        <w:tc>
          <w:tcPr>
            <w:tcW w:type="dxa" w:w="5112"/>
            <w:vAlign w:val="top"/>
          </w:tcPr>
          <w:p>
            <w:pPr>
              <w:spacing w:after="0"/>
            </w:pPr>
            <w:r>
              <w:rPr>
                <w:sz w:val="15"/>
              </w:rPr>
            </w:r>
            <w:r>
              <w:rPr>
                <w:b w:val="0"/>
                <w:sz w:val="15"/>
              </w:rPr>
              <w:t>Update organization.</w:t>
            </w:r>
          </w:p>
        </w:tc>
      </w:tr>
      <w:tr>
        <w:tc>
          <w:tcPr>
            <w:tcW w:type="dxa" w:w="1080"/>
            <w:vAlign w:val="top"/>
          </w:tcPr>
          <w:p>
            <w:pPr>
              <w:spacing w:after="0"/>
            </w:pPr>
            <w:r>
              <w:rPr>
                <w:sz w:val="15"/>
              </w:rPr>
            </w:r>
            <w:r>
              <w:rPr>
                <w:b w:val="0"/>
                <w:sz w:val="15"/>
              </w:rPr>
              <w:t>POST</w:t>
            </w:r>
          </w:p>
        </w:tc>
        <w:tc>
          <w:tcPr>
            <w:tcW w:type="dxa" w:w="3311"/>
            <w:vAlign w:val="top"/>
          </w:tcPr>
          <w:p>
            <w:pPr>
              <w:spacing w:after="0"/>
            </w:pPr>
            <w:r>
              <w:rPr>
                <w:sz w:val="15"/>
              </w:rPr>
            </w:r>
            <w:r>
              <w:rPr>
                <w:b w:val="0"/>
                <w:sz w:val="15"/>
              </w:rPr>
              <w:t>/api/grant-profiles</w:t>
            </w:r>
          </w:p>
        </w:tc>
        <w:tc>
          <w:tcPr>
            <w:tcW w:type="dxa" w:w="5112"/>
            <w:vAlign w:val="top"/>
          </w:tcPr>
          <w:p>
            <w:pPr>
              <w:spacing w:after="0"/>
            </w:pPr>
            <w:r>
              <w:rPr>
                <w:sz w:val="15"/>
              </w:rPr>
            </w:r>
            <w:r>
              <w:rPr>
                <w:b w:val="0"/>
                <w:sz w:val="15"/>
              </w:rPr>
              <w:t>Create grant profile.</w:t>
            </w:r>
          </w:p>
        </w:tc>
      </w:tr>
      <w:tr>
        <w:tc>
          <w:tcPr>
            <w:tcW w:type="dxa" w:w="1080"/>
            <w:vAlign w:val="top"/>
          </w:tcPr>
          <w:p>
            <w:pPr>
              <w:spacing w:after="0"/>
            </w:pPr>
            <w:r>
              <w:rPr>
                <w:sz w:val="15"/>
              </w:rPr>
            </w:r>
            <w:r>
              <w:rPr>
                <w:b w:val="0"/>
                <w:sz w:val="15"/>
              </w:rPr>
              <w:t>GET</w:t>
            </w:r>
          </w:p>
        </w:tc>
        <w:tc>
          <w:tcPr>
            <w:tcW w:type="dxa" w:w="3311"/>
            <w:vAlign w:val="top"/>
          </w:tcPr>
          <w:p>
            <w:pPr>
              <w:spacing w:after="0"/>
            </w:pPr>
            <w:r>
              <w:rPr>
                <w:sz w:val="15"/>
              </w:rPr>
            </w:r>
            <w:r>
              <w:rPr>
                <w:b w:val="0"/>
                <w:sz w:val="15"/>
              </w:rPr>
              <w:t>/api/grant-profiles</w:t>
            </w:r>
          </w:p>
        </w:tc>
        <w:tc>
          <w:tcPr>
            <w:tcW w:type="dxa" w:w="5112"/>
            <w:vAlign w:val="top"/>
          </w:tcPr>
          <w:p>
            <w:pPr>
              <w:spacing w:after="0"/>
            </w:pPr>
            <w:r>
              <w:rPr>
                <w:sz w:val="15"/>
              </w:rPr>
            </w:r>
            <w:r>
              <w:rPr>
                <w:b w:val="0"/>
                <w:sz w:val="15"/>
              </w:rPr>
              <w:t>List user profiles.</w:t>
            </w:r>
          </w:p>
        </w:tc>
      </w:tr>
      <w:tr>
        <w:tc>
          <w:tcPr>
            <w:tcW w:type="dxa" w:w="1080"/>
            <w:vAlign w:val="top"/>
          </w:tcPr>
          <w:p>
            <w:pPr>
              <w:spacing w:after="0"/>
            </w:pPr>
            <w:r>
              <w:rPr>
                <w:sz w:val="15"/>
              </w:rPr>
            </w:r>
            <w:r>
              <w:rPr>
                <w:b w:val="0"/>
                <w:sz w:val="15"/>
              </w:rPr>
              <w:t>GET</w:t>
            </w:r>
          </w:p>
        </w:tc>
        <w:tc>
          <w:tcPr>
            <w:tcW w:type="dxa" w:w="3311"/>
            <w:vAlign w:val="top"/>
          </w:tcPr>
          <w:p>
            <w:pPr>
              <w:spacing w:after="0"/>
            </w:pPr>
            <w:r>
              <w:rPr>
                <w:sz w:val="15"/>
              </w:rPr>
            </w:r>
            <w:r>
              <w:rPr>
                <w:b w:val="0"/>
                <w:sz w:val="15"/>
              </w:rPr>
              <w:t>/api/grants</w:t>
            </w:r>
          </w:p>
        </w:tc>
        <w:tc>
          <w:tcPr>
            <w:tcW w:type="dxa" w:w="5112"/>
            <w:vAlign w:val="top"/>
          </w:tcPr>
          <w:p>
            <w:pPr>
              <w:spacing w:after="0"/>
            </w:pPr>
            <w:r>
              <w:rPr>
                <w:sz w:val="15"/>
              </w:rPr>
            </w:r>
            <w:r>
              <w:rPr>
                <w:b w:val="0"/>
                <w:sz w:val="15"/>
              </w:rPr>
              <w:t>Search grants with filters.</w:t>
            </w:r>
          </w:p>
        </w:tc>
      </w:tr>
      <w:tr>
        <w:tc>
          <w:tcPr>
            <w:tcW w:type="dxa" w:w="1080"/>
            <w:vAlign w:val="top"/>
          </w:tcPr>
          <w:p>
            <w:pPr>
              <w:spacing w:after="0"/>
            </w:pPr>
            <w:r>
              <w:rPr>
                <w:sz w:val="15"/>
              </w:rPr>
            </w:r>
            <w:r>
              <w:rPr>
                <w:b w:val="0"/>
                <w:sz w:val="15"/>
              </w:rPr>
              <w:t>GET</w:t>
            </w:r>
          </w:p>
        </w:tc>
        <w:tc>
          <w:tcPr>
            <w:tcW w:type="dxa" w:w="3311"/>
            <w:vAlign w:val="top"/>
          </w:tcPr>
          <w:p>
            <w:pPr>
              <w:spacing w:after="0"/>
            </w:pPr>
            <w:r>
              <w:rPr>
                <w:sz w:val="15"/>
              </w:rPr>
            </w:r>
            <w:r>
              <w:rPr>
                <w:b w:val="0"/>
                <w:sz w:val="15"/>
              </w:rPr>
              <w:t>/api/grants/:id</w:t>
            </w:r>
          </w:p>
        </w:tc>
        <w:tc>
          <w:tcPr>
            <w:tcW w:type="dxa" w:w="5112"/>
            <w:vAlign w:val="top"/>
          </w:tcPr>
          <w:p>
            <w:pPr>
              <w:spacing w:after="0"/>
            </w:pPr>
            <w:r>
              <w:rPr>
                <w:sz w:val="15"/>
              </w:rPr>
            </w:r>
            <w:r>
              <w:rPr>
                <w:b w:val="0"/>
                <w:sz w:val="15"/>
              </w:rPr>
              <w:t>Grant detail page.</w:t>
            </w:r>
          </w:p>
        </w:tc>
      </w:tr>
      <w:tr>
        <w:tc>
          <w:tcPr>
            <w:tcW w:type="dxa" w:w="1080"/>
            <w:vAlign w:val="top"/>
          </w:tcPr>
          <w:p>
            <w:pPr>
              <w:spacing w:after="0"/>
            </w:pPr>
            <w:r>
              <w:rPr>
                <w:sz w:val="15"/>
              </w:rPr>
            </w:r>
            <w:r>
              <w:rPr>
                <w:b w:val="0"/>
                <w:sz w:val="15"/>
              </w:rPr>
              <w:t>GET</w:t>
            </w:r>
          </w:p>
        </w:tc>
        <w:tc>
          <w:tcPr>
            <w:tcW w:type="dxa" w:w="3311"/>
            <w:vAlign w:val="top"/>
          </w:tcPr>
          <w:p>
            <w:pPr>
              <w:spacing w:after="0"/>
            </w:pPr>
            <w:r>
              <w:rPr>
                <w:sz w:val="15"/>
              </w:rPr>
            </w:r>
            <w:r>
              <w:rPr>
                <w:b w:val="0"/>
                <w:sz w:val="15"/>
              </w:rPr>
              <w:t>/api/grants/:id/source-evidence</w:t>
            </w:r>
          </w:p>
        </w:tc>
        <w:tc>
          <w:tcPr>
            <w:tcW w:type="dxa" w:w="5112"/>
            <w:vAlign w:val="top"/>
          </w:tcPr>
          <w:p>
            <w:pPr>
              <w:spacing w:after="0"/>
            </w:pPr>
            <w:r>
              <w:rPr>
                <w:sz w:val="15"/>
              </w:rPr>
            </w:r>
            <w:r>
              <w:rPr>
                <w:b w:val="0"/>
                <w:sz w:val="15"/>
              </w:rPr>
              <w:t>Raw source/evidence metadata.</w:t>
            </w:r>
          </w:p>
        </w:tc>
      </w:tr>
      <w:tr>
        <w:tc>
          <w:tcPr>
            <w:tcW w:type="dxa" w:w="1080"/>
            <w:vAlign w:val="top"/>
          </w:tcPr>
          <w:p>
            <w:pPr>
              <w:spacing w:after="0"/>
            </w:pPr>
            <w:r>
              <w:rPr>
                <w:sz w:val="15"/>
              </w:rPr>
            </w:r>
            <w:r>
              <w:rPr>
                <w:b w:val="0"/>
                <w:sz w:val="15"/>
              </w:rPr>
              <w:t>POST</w:t>
            </w:r>
          </w:p>
        </w:tc>
        <w:tc>
          <w:tcPr>
            <w:tcW w:type="dxa" w:w="3311"/>
            <w:vAlign w:val="top"/>
          </w:tcPr>
          <w:p>
            <w:pPr>
              <w:spacing w:after="0"/>
            </w:pPr>
            <w:r>
              <w:rPr>
                <w:sz w:val="15"/>
              </w:rPr>
            </w:r>
            <w:r>
              <w:rPr>
                <w:b w:val="0"/>
                <w:sz w:val="15"/>
              </w:rPr>
              <w:t>/api/pulls</w:t>
            </w:r>
          </w:p>
        </w:tc>
        <w:tc>
          <w:tcPr>
            <w:tcW w:type="dxa" w:w="5112"/>
            <w:vAlign w:val="top"/>
          </w:tcPr>
          <w:p>
            <w:pPr>
              <w:spacing w:after="0"/>
            </w:pPr>
            <w:r>
              <w:rPr>
                <w:sz w:val="15"/>
              </w:rPr>
            </w:r>
            <w:r>
              <w:rPr>
                <w:b w:val="0"/>
                <w:sz w:val="15"/>
              </w:rPr>
              <w:t>Request scheduled-style or targeted pull.</w:t>
            </w:r>
          </w:p>
        </w:tc>
      </w:tr>
      <w:tr>
        <w:tc>
          <w:tcPr>
            <w:tcW w:type="dxa" w:w="1080"/>
            <w:vAlign w:val="top"/>
          </w:tcPr>
          <w:p>
            <w:pPr>
              <w:spacing w:after="0"/>
            </w:pPr>
            <w:r>
              <w:rPr>
                <w:sz w:val="15"/>
              </w:rPr>
            </w:r>
            <w:r>
              <w:rPr>
                <w:b w:val="0"/>
                <w:sz w:val="15"/>
              </w:rPr>
              <w:t>GET</w:t>
            </w:r>
          </w:p>
        </w:tc>
        <w:tc>
          <w:tcPr>
            <w:tcW w:type="dxa" w:w="3311"/>
            <w:vAlign w:val="top"/>
          </w:tcPr>
          <w:p>
            <w:pPr>
              <w:spacing w:after="0"/>
            </w:pPr>
            <w:r>
              <w:rPr>
                <w:sz w:val="15"/>
              </w:rPr>
            </w:r>
            <w:r>
              <w:rPr>
                <w:b w:val="0"/>
                <w:sz w:val="15"/>
              </w:rPr>
              <w:t>/api/pulls/:id</w:t>
            </w:r>
          </w:p>
        </w:tc>
        <w:tc>
          <w:tcPr>
            <w:tcW w:type="dxa" w:w="5112"/>
            <w:vAlign w:val="top"/>
          </w:tcPr>
          <w:p>
            <w:pPr>
              <w:spacing w:after="0"/>
            </w:pPr>
            <w:r>
              <w:rPr>
                <w:sz w:val="15"/>
              </w:rPr>
            </w:r>
            <w:r>
              <w:rPr>
                <w:b w:val="0"/>
                <w:sz w:val="15"/>
              </w:rPr>
              <w:t>Pull status and summary.</w:t>
            </w:r>
          </w:p>
        </w:tc>
      </w:tr>
      <w:tr>
        <w:tc>
          <w:tcPr>
            <w:tcW w:type="dxa" w:w="1080"/>
            <w:vAlign w:val="top"/>
          </w:tcPr>
          <w:p>
            <w:pPr>
              <w:spacing w:after="0"/>
            </w:pPr>
            <w:r>
              <w:rPr>
                <w:sz w:val="15"/>
              </w:rPr>
            </w:r>
            <w:r>
              <w:rPr>
                <w:b w:val="0"/>
                <w:sz w:val="15"/>
              </w:rPr>
              <w:t>POST</w:t>
            </w:r>
          </w:p>
        </w:tc>
        <w:tc>
          <w:tcPr>
            <w:tcW w:type="dxa" w:w="3311"/>
            <w:vAlign w:val="top"/>
          </w:tcPr>
          <w:p>
            <w:pPr>
              <w:spacing w:after="0"/>
            </w:pPr>
            <w:r>
              <w:rPr>
                <w:sz w:val="15"/>
              </w:rPr>
            </w:r>
            <w:r>
              <w:rPr>
                <w:b w:val="0"/>
                <w:sz w:val="15"/>
              </w:rPr>
              <w:t>/api/private-grants/pull</w:t>
            </w:r>
          </w:p>
        </w:tc>
        <w:tc>
          <w:tcPr>
            <w:tcW w:type="dxa" w:w="5112"/>
            <w:vAlign w:val="top"/>
          </w:tcPr>
          <w:p>
            <w:pPr>
              <w:spacing w:after="0"/>
            </w:pPr>
            <w:r>
              <w:rPr>
                <w:sz w:val="15"/>
              </w:rPr>
            </w:r>
            <w:r>
              <w:rPr>
                <w:b w:val="0"/>
                <w:sz w:val="15"/>
              </w:rPr>
              <w:t>Targeted private AI/tech/social/media pull.</w:t>
            </w:r>
          </w:p>
        </w:tc>
      </w:tr>
      <w:tr>
        <w:tc>
          <w:tcPr>
            <w:tcW w:type="dxa" w:w="1080"/>
            <w:vAlign w:val="top"/>
          </w:tcPr>
          <w:p>
            <w:pPr>
              <w:spacing w:after="0"/>
            </w:pPr>
            <w:r>
              <w:rPr>
                <w:sz w:val="15"/>
              </w:rPr>
            </w:r>
            <w:r>
              <w:rPr>
                <w:b w:val="0"/>
                <w:sz w:val="15"/>
              </w:rPr>
              <w:t>GET</w:t>
            </w:r>
          </w:p>
        </w:tc>
        <w:tc>
          <w:tcPr>
            <w:tcW w:type="dxa" w:w="3311"/>
            <w:vAlign w:val="top"/>
          </w:tcPr>
          <w:p>
            <w:pPr>
              <w:spacing w:after="0"/>
            </w:pPr>
            <w:r>
              <w:rPr>
                <w:sz w:val="15"/>
              </w:rPr>
            </w:r>
            <w:r>
              <w:rPr>
                <w:b w:val="0"/>
                <w:sz w:val="15"/>
              </w:rPr>
              <w:t>/api/matches/profile/:profileId</w:t>
            </w:r>
          </w:p>
        </w:tc>
        <w:tc>
          <w:tcPr>
            <w:tcW w:type="dxa" w:w="5112"/>
            <w:vAlign w:val="top"/>
          </w:tcPr>
          <w:p>
            <w:pPr>
              <w:spacing w:after="0"/>
            </w:pPr>
            <w:r>
              <w:rPr>
                <w:sz w:val="15"/>
              </w:rPr>
            </w:r>
            <w:r>
              <w:rPr>
                <w:b w:val="0"/>
                <w:sz w:val="15"/>
              </w:rPr>
              <w:t>Ranked grant matches for a profile.</w:t>
            </w:r>
          </w:p>
        </w:tc>
      </w:tr>
      <w:tr>
        <w:tc>
          <w:tcPr>
            <w:tcW w:type="dxa" w:w="1080"/>
            <w:vAlign w:val="top"/>
          </w:tcPr>
          <w:p>
            <w:pPr>
              <w:spacing w:after="0"/>
            </w:pPr>
            <w:r>
              <w:rPr>
                <w:sz w:val="15"/>
              </w:rPr>
            </w:r>
            <w:r>
              <w:rPr>
                <w:b w:val="0"/>
                <w:sz w:val="15"/>
              </w:rPr>
              <w:t>POST</w:t>
            </w:r>
          </w:p>
        </w:tc>
        <w:tc>
          <w:tcPr>
            <w:tcW w:type="dxa" w:w="3311"/>
            <w:vAlign w:val="top"/>
          </w:tcPr>
          <w:p>
            <w:pPr>
              <w:spacing w:after="0"/>
            </w:pPr>
            <w:r>
              <w:rPr>
                <w:sz w:val="15"/>
              </w:rPr>
            </w:r>
            <w:r>
              <w:rPr>
                <w:b w:val="0"/>
                <w:sz w:val="15"/>
              </w:rPr>
              <w:t>/api/saved-grants</w:t>
            </w:r>
          </w:p>
        </w:tc>
        <w:tc>
          <w:tcPr>
            <w:tcW w:type="dxa" w:w="5112"/>
            <w:vAlign w:val="top"/>
          </w:tcPr>
          <w:p>
            <w:pPr>
              <w:spacing w:after="0"/>
            </w:pPr>
            <w:r>
              <w:rPr>
                <w:sz w:val="15"/>
              </w:rPr>
            </w:r>
            <w:r>
              <w:rPr>
                <w:b w:val="0"/>
                <w:sz w:val="15"/>
              </w:rPr>
              <w:t>Save a grant.</w:t>
            </w:r>
          </w:p>
        </w:tc>
      </w:tr>
      <w:tr>
        <w:tc>
          <w:tcPr>
            <w:tcW w:type="dxa" w:w="1080"/>
            <w:vAlign w:val="top"/>
          </w:tcPr>
          <w:p>
            <w:pPr>
              <w:spacing w:after="0"/>
            </w:pPr>
            <w:r>
              <w:rPr>
                <w:sz w:val="15"/>
              </w:rPr>
            </w:r>
            <w:r>
              <w:rPr>
                <w:b w:val="0"/>
                <w:sz w:val="15"/>
              </w:rPr>
              <w:t>PATCH</w:t>
            </w:r>
          </w:p>
        </w:tc>
        <w:tc>
          <w:tcPr>
            <w:tcW w:type="dxa" w:w="3311"/>
            <w:vAlign w:val="top"/>
          </w:tcPr>
          <w:p>
            <w:pPr>
              <w:spacing w:after="0"/>
            </w:pPr>
            <w:r>
              <w:rPr>
                <w:sz w:val="15"/>
              </w:rPr>
            </w:r>
            <w:r>
              <w:rPr>
                <w:b w:val="0"/>
                <w:sz w:val="15"/>
              </w:rPr>
              <w:t>/api/saved-grants/:id</w:t>
            </w:r>
          </w:p>
        </w:tc>
        <w:tc>
          <w:tcPr>
            <w:tcW w:type="dxa" w:w="5112"/>
            <w:vAlign w:val="top"/>
          </w:tcPr>
          <w:p>
            <w:pPr>
              <w:spacing w:after="0"/>
            </w:pPr>
            <w:r>
              <w:rPr>
                <w:sz w:val="15"/>
              </w:rPr>
            </w:r>
            <w:r>
              <w:rPr>
                <w:b w:val="0"/>
                <w:sz w:val="15"/>
              </w:rPr>
              <w:t>Update saved grant notes/status.</w:t>
            </w:r>
          </w:p>
        </w:tc>
      </w:tr>
      <w:tr>
        <w:tc>
          <w:tcPr>
            <w:tcW w:type="dxa" w:w="1080"/>
            <w:vAlign w:val="top"/>
          </w:tcPr>
          <w:p>
            <w:pPr>
              <w:spacing w:after="0"/>
            </w:pPr>
            <w:r>
              <w:rPr>
                <w:sz w:val="15"/>
              </w:rPr>
            </w:r>
            <w:r>
              <w:rPr>
                <w:b w:val="0"/>
                <w:sz w:val="15"/>
              </w:rPr>
              <w:t>POST</w:t>
            </w:r>
          </w:p>
        </w:tc>
        <w:tc>
          <w:tcPr>
            <w:tcW w:type="dxa" w:w="3311"/>
            <w:vAlign w:val="top"/>
          </w:tcPr>
          <w:p>
            <w:pPr>
              <w:spacing w:after="0"/>
            </w:pPr>
            <w:r>
              <w:rPr>
                <w:sz w:val="15"/>
              </w:rPr>
            </w:r>
            <w:r>
              <w:rPr>
                <w:b w:val="0"/>
                <w:sz w:val="15"/>
              </w:rPr>
              <w:t>/api/applications</w:t>
            </w:r>
          </w:p>
        </w:tc>
        <w:tc>
          <w:tcPr>
            <w:tcW w:type="dxa" w:w="5112"/>
            <w:vAlign w:val="top"/>
          </w:tcPr>
          <w:p>
            <w:pPr>
              <w:spacing w:after="0"/>
            </w:pPr>
            <w:r>
              <w:rPr>
                <w:sz w:val="15"/>
              </w:rPr>
            </w:r>
            <w:r>
              <w:rPr>
                <w:b w:val="0"/>
                <w:sz w:val="15"/>
              </w:rPr>
              <w:t>Create application tracker item.</w:t>
            </w:r>
          </w:p>
        </w:tc>
      </w:tr>
      <w:tr>
        <w:tc>
          <w:tcPr>
            <w:tcW w:type="dxa" w:w="1080"/>
            <w:vAlign w:val="top"/>
          </w:tcPr>
          <w:p>
            <w:pPr>
              <w:spacing w:after="0"/>
            </w:pPr>
            <w:r>
              <w:rPr>
                <w:sz w:val="15"/>
              </w:rPr>
            </w:r>
            <w:r>
              <w:rPr>
                <w:b w:val="0"/>
                <w:sz w:val="15"/>
              </w:rPr>
              <w:t>PATCH</w:t>
            </w:r>
          </w:p>
        </w:tc>
        <w:tc>
          <w:tcPr>
            <w:tcW w:type="dxa" w:w="3311"/>
            <w:vAlign w:val="top"/>
          </w:tcPr>
          <w:p>
            <w:pPr>
              <w:spacing w:after="0"/>
            </w:pPr>
            <w:r>
              <w:rPr>
                <w:sz w:val="15"/>
              </w:rPr>
            </w:r>
            <w:r>
              <w:rPr>
                <w:b w:val="0"/>
                <w:sz w:val="15"/>
              </w:rPr>
              <w:t>/api/applications/:id</w:t>
            </w:r>
          </w:p>
        </w:tc>
        <w:tc>
          <w:tcPr>
            <w:tcW w:type="dxa" w:w="5112"/>
            <w:vAlign w:val="top"/>
          </w:tcPr>
          <w:p>
            <w:pPr>
              <w:spacing w:after="0"/>
            </w:pPr>
            <w:r>
              <w:rPr>
                <w:sz w:val="15"/>
              </w:rPr>
            </w:r>
            <w:r>
              <w:rPr>
                <w:b w:val="0"/>
                <w:sz w:val="15"/>
              </w:rPr>
              <w:t>Update application status.</w:t>
            </w:r>
          </w:p>
        </w:tc>
      </w:tr>
      <w:tr>
        <w:tc>
          <w:tcPr>
            <w:tcW w:type="dxa" w:w="1080"/>
            <w:vAlign w:val="top"/>
          </w:tcPr>
          <w:p>
            <w:pPr>
              <w:spacing w:after="0"/>
            </w:pPr>
            <w:r>
              <w:rPr>
                <w:sz w:val="15"/>
              </w:rPr>
            </w:r>
            <w:r>
              <w:rPr>
                <w:b w:val="0"/>
                <w:sz w:val="15"/>
              </w:rPr>
              <w:t>GET</w:t>
            </w:r>
          </w:p>
        </w:tc>
        <w:tc>
          <w:tcPr>
            <w:tcW w:type="dxa" w:w="3311"/>
            <w:vAlign w:val="top"/>
          </w:tcPr>
          <w:p>
            <w:pPr>
              <w:spacing w:after="0"/>
            </w:pPr>
            <w:r>
              <w:rPr>
                <w:sz w:val="15"/>
              </w:rPr>
            </w:r>
            <w:r>
              <w:rPr>
                <w:b w:val="0"/>
                <w:sz w:val="15"/>
              </w:rPr>
              <w:t>/api/alerts</w:t>
            </w:r>
          </w:p>
        </w:tc>
        <w:tc>
          <w:tcPr>
            <w:tcW w:type="dxa" w:w="5112"/>
            <w:vAlign w:val="top"/>
          </w:tcPr>
          <w:p>
            <w:pPr>
              <w:spacing w:after="0"/>
            </w:pPr>
            <w:r>
              <w:rPr>
                <w:sz w:val="15"/>
              </w:rPr>
            </w:r>
            <w:r>
              <w:rPr>
                <w:b w:val="0"/>
                <w:sz w:val="15"/>
              </w:rPr>
              <w:t>List notifications/alerts.</w:t>
            </w:r>
          </w:p>
        </w:tc>
      </w:tr>
      <w:tr>
        <w:tc>
          <w:tcPr>
            <w:tcW w:type="dxa" w:w="1080"/>
            <w:vAlign w:val="top"/>
          </w:tcPr>
          <w:p>
            <w:pPr>
              <w:spacing w:after="0"/>
            </w:pPr>
            <w:r>
              <w:rPr>
                <w:sz w:val="15"/>
              </w:rPr>
            </w:r>
            <w:r>
              <w:rPr>
                <w:b w:val="0"/>
                <w:sz w:val="15"/>
              </w:rPr>
              <w:t>PATCH</w:t>
            </w:r>
          </w:p>
        </w:tc>
        <w:tc>
          <w:tcPr>
            <w:tcW w:type="dxa" w:w="3311"/>
            <w:vAlign w:val="top"/>
          </w:tcPr>
          <w:p>
            <w:pPr>
              <w:spacing w:after="0"/>
            </w:pPr>
            <w:r>
              <w:rPr>
                <w:sz w:val="15"/>
              </w:rPr>
            </w:r>
            <w:r>
              <w:rPr>
                <w:b w:val="0"/>
                <w:sz w:val="15"/>
              </w:rPr>
              <w:t>/api/alerts/:id</w:t>
            </w:r>
          </w:p>
        </w:tc>
        <w:tc>
          <w:tcPr>
            <w:tcW w:type="dxa" w:w="5112"/>
            <w:vAlign w:val="top"/>
          </w:tcPr>
          <w:p>
            <w:pPr>
              <w:spacing w:after="0"/>
            </w:pPr>
            <w:r>
              <w:rPr>
                <w:sz w:val="15"/>
              </w:rPr>
            </w:r>
            <w:r>
              <w:rPr>
                <w:b w:val="0"/>
                <w:sz w:val="15"/>
              </w:rPr>
              <w:t>Mark alert read/update preference.</w:t>
            </w:r>
          </w:p>
        </w:tc>
      </w:tr>
      <w:tr>
        <w:tc>
          <w:tcPr>
            <w:tcW w:type="dxa" w:w="1080"/>
            <w:vAlign w:val="top"/>
          </w:tcPr>
          <w:p>
            <w:pPr>
              <w:spacing w:after="0"/>
            </w:pPr>
            <w:r>
              <w:rPr>
                <w:sz w:val="15"/>
              </w:rPr>
            </w:r>
            <w:r>
              <w:rPr>
                <w:b w:val="0"/>
                <w:sz w:val="15"/>
              </w:rPr>
              <w:t>GET</w:t>
            </w:r>
          </w:p>
        </w:tc>
        <w:tc>
          <w:tcPr>
            <w:tcW w:type="dxa" w:w="3311"/>
            <w:vAlign w:val="top"/>
          </w:tcPr>
          <w:p>
            <w:pPr>
              <w:spacing w:after="0"/>
            </w:pPr>
            <w:r>
              <w:rPr>
                <w:sz w:val="15"/>
              </w:rPr>
            </w:r>
            <w:r>
              <w:rPr>
                <w:b w:val="0"/>
                <w:sz w:val="15"/>
              </w:rPr>
              <w:t>/api/admin/sources</w:t>
            </w:r>
          </w:p>
        </w:tc>
        <w:tc>
          <w:tcPr>
            <w:tcW w:type="dxa" w:w="5112"/>
            <w:vAlign w:val="top"/>
          </w:tcPr>
          <w:p>
            <w:pPr>
              <w:spacing w:after="0"/>
            </w:pPr>
            <w:r>
              <w:rPr>
                <w:sz w:val="15"/>
              </w:rPr>
            </w:r>
            <w:r>
              <w:rPr>
                <w:b w:val="0"/>
                <w:sz w:val="15"/>
              </w:rPr>
              <w:t>Admin source registry.</w:t>
            </w:r>
          </w:p>
        </w:tc>
      </w:tr>
      <w:tr>
        <w:tc>
          <w:tcPr>
            <w:tcW w:type="dxa" w:w="1080"/>
            <w:vAlign w:val="top"/>
          </w:tcPr>
          <w:p>
            <w:pPr>
              <w:spacing w:after="0"/>
            </w:pPr>
            <w:r>
              <w:rPr>
                <w:sz w:val="15"/>
              </w:rPr>
            </w:r>
            <w:r>
              <w:rPr>
                <w:b w:val="0"/>
                <w:sz w:val="15"/>
              </w:rPr>
              <w:t>POST</w:t>
            </w:r>
          </w:p>
        </w:tc>
        <w:tc>
          <w:tcPr>
            <w:tcW w:type="dxa" w:w="3311"/>
            <w:vAlign w:val="top"/>
          </w:tcPr>
          <w:p>
            <w:pPr>
              <w:spacing w:after="0"/>
            </w:pPr>
            <w:r>
              <w:rPr>
                <w:sz w:val="15"/>
              </w:rPr>
            </w:r>
            <w:r>
              <w:rPr>
                <w:b w:val="0"/>
                <w:sz w:val="15"/>
              </w:rPr>
              <w:t>/api/admin/sources/:id/test</w:t>
            </w:r>
          </w:p>
        </w:tc>
        <w:tc>
          <w:tcPr>
            <w:tcW w:type="dxa" w:w="5112"/>
            <w:vAlign w:val="top"/>
          </w:tcPr>
          <w:p>
            <w:pPr>
              <w:spacing w:after="0"/>
            </w:pPr>
            <w:r>
              <w:rPr>
                <w:sz w:val="15"/>
              </w:rPr>
            </w:r>
            <w:r>
              <w:rPr>
                <w:b w:val="0"/>
                <w:sz w:val="15"/>
              </w:rPr>
              <w:t>Test source connector.</w:t>
            </w:r>
          </w:p>
        </w:tc>
      </w:tr>
      <w:tr>
        <w:tc>
          <w:tcPr>
            <w:tcW w:type="dxa" w:w="1080"/>
            <w:vAlign w:val="top"/>
          </w:tcPr>
          <w:p>
            <w:pPr>
              <w:spacing w:after="0"/>
            </w:pPr>
            <w:r>
              <w:rPr>
                <w:sz w:val="15"/>
              </w:rPr>
            </w:r>
            <w:r>
              <w:rPr>
                <w:b w:val="0"/>
                <w:sz w:val="15"/>
              </w:rPr>
              <w:t>POST</w:t>
            </w:r>
          </w:p>
        </w:tc>
        <w:tc>
          <w:tcPr>
            <w:tcW w:type="dxa" w:w="3311"/>
            <w:vAlign w:val="top"/>
          </w:tcPr>
          <w:p>
            <w:pPr>
              <w:spacing w:after="0"/>
            </w:pPr>
            <w:r>
              <w:rPr>
                <w:sz w:val="15"/>
              </w:rPr>
            </w:r>
            <w:r>
              <w:rPr>
                <w:b w:val="0"/>
                <w:sz w:val="15"/>
              </w:rPr>
              <w:t>/api/admin/sources/:id/run</w:t>
            </w:r>
          </w:p>
        </w:tc>
        <w:tc>
          <w:tcPr>
            <w:tcW w:type="dxa" w:w="5112"/>
            <w:vAlign w:val="top"/>
          </w:tcPr>
          <w:p>
            <w:pPr>
              <w:spacing w:after="0"/>
            </w:pPr>
            <w:r>
              <w:rPr>
                <w:sz w:val="15"/>
              </w:rPr>
            </w:r>
            <w:r>
              <w:rPr>
                <w:b w:val="0"/>
                <w:sz w:val="15"/>
              </w:rPr>
              <w:t>Admin-triggered source run.</w:t>
            </w:r>
          </w:p>
        </w:tc>
      </w:tr>
      <w:tr>
        <w:tc>
          <w:tcPr>
            <w:tcW w:type="dxa" w:w="1080"/>
            <w:vAlign w:val="top"/>
          </w:tcPr>
          <w:p>
            <w:pPr>
              <w:spacing w:after="0"/>
            </w:pPr>
            <w:r>
              <w:rPr>
                <w:sz w:val="15"/>
              </w:rPr>
            </w:r>
            <w:r>
              <w:rPr>
                <w:b w:val="0"/>
                <w:sz w:val="15"/>
              </w:rPr>
              <w:t>GET</w:t>
            </w:r>
          </w:p>
        </w:tc>
        <w:tc>
          <w:tcPr>
            <w:tcW w:type="dxa" w:w="3311"/>
            <w:vAlign w:val="top"/>
          </w:tcPr>
          <w:p>
            <w:pPr>
              <w:spacing w:after="0"/>
            </w:pPr>
            <w:r>
              <w:rPr>
                <w:sz w:val="15"/>
              </w:rPr>
            </w:r>
            <w:r>
              <w:rPr>
                <w:b w:val="0"/>
                <w:sz w:val="15"/>
              </w:rPr>
              <w:t>/api/admin/review-queue</w:t>
            </w:r>
          </w:p>
        </w:tc>
        <w:tc>
          <w:tcPr>
            <w:tcW w:type="dxa" w:w="5112"/>
            <w:vAlign w:val="top"/>
          </w:tcPr>
          <w:p>
            <w:pPr>
              <w:spacing w:after="0"/>
            </w:pPr>
            <w:r>
              <w:rPr>
                <w:sz w:val="15"/>
              </w:rPr>
            </w:r>
            <w:r>
              <w:rPr>
                <w:b w:val="0"/>
                <w:sz w:val="15"/>
              </w:rPr>
              <w:t>Low-confidence candidates and issues.</w:t>
            </w:r>
          </w:p>
        </w:tc>
      </w:tr>
      <w:tr>
        <w:tc>
          <w:tcPr>
            <w:tcW w:type="dxa" w:w="1080"/>
            <w:vAlign w:val="top"/>
          </w:tcPr>
          <w:p>
            <w:pPr>
              <w:spacing w:after="0"/>
            </w:pPr>
            <w:r>
              <w:rPr>
                <w:sz w:val="15"/>
              </w:rPr>
            </w:r>
            <w:r>
              <w:rPr>
                <w:b w:val="0"/>
                <w:sz w:val="15"/>
              </w:rPr>
              <w:t>PATCH</w:t>
            </w:r>
          </w:p>
        </w:tc>
        <w:tc>
          <w:tcPr>
            <w:tcW w:type="dxa" w:w="3311"/>
            <w:vAlign w:val="top"/>
          </w:tcPr>
          <w:p>
            <w:pPr>
              <w:spacing w:after="0"/>
            </w:pPr>
            <w:r>
              <w:rPr>
                <w:sz w:val="15"/>
              </w:rPr>
            </w:r>
            <w:r>
              <w:rPr>
                <w:b w:val="0"/>
                <w:sz w:val="15"/>
              </w:rPr>
              <w:t>/api/admin/review-queue/:id</w:t>
            </w:r>
          </w:p>
        </w:tc>
        <w:tc>
          <w:tcPr>
            <w:tcW w:type="dxa" w:w="5112"/>
            <w:vAlign w:val="top"/>
          </w:tcPr>
          <w:p>
            <w:pPr>
              <w:spacing w:after="0"/>
            </w:pPr>
            <w:r>
              <w:rPr>
                <w:sz w:val="15"/>
              </w:rPr>
            </w:r>
            <w:r>
              <w:rPr>
                <w:b w:val="0"/>
                <w:sz w:val="15"/>
              </w:rPr>
              <w:t>Approve, reject, edit, or merge candidate.</w:t>
            </w:r>
          </w:p>
        </w:tc>
      </w:tr>
      <w:tr>
        <w:tc>
          <w:tcPr>
            <w:tcW w:type="dxa" w:w="1080"/>
            <w:vAlign w:val="top"/>
          </w:tcPr>
          <w:p>
            <w:pPr>
              <w:spacing w:after="0"/>
            </w:pPr>
            <w:r>
              <w:rPr>
                <w:sz w:val="15"/>
              </w:rPr>
            </w:r>
            <w:r>
              <w:rPr>
                <w:b w:val="0"/>
                <w:sz w:val="15"/>
              </w:rPr>
              <w:t>GET</w:t>
            </w:r>
          </w:p>
        </w:tc>
        <w:tc>
          <w:tcPr>
            <w:tcW w:type="dxa" w:w="3311"/>
            <w:vAlign w:val="top"/>
          </w:tcPr>
          <w:p>
            <w:pPr>
              <w:spacing w:after="0"/>
            </w:pPr>
            <w:r>
              <w:rPr>
                <w:sz w:val="15"/>
              </w:rPr>
            </w:r>
            <w:r>
              <w:rPr>
                <w:b w:val="0"/>
                <w:sz w:val="15"/>
              </w:rPr>
              <w:t>/api/admin/pull-runs</w:t>
            </w:r>
          </w:p>
        </w:tc>
        <w:tc>
          <w:tcPr>
            <w:tcW w:type="dxa" w:w="5112"/>
            <w:vAlign w:val="top"/>
          </w:tcPr>
          <w:p>
            <w:pPr>
              <w:spacing w:after="0"/>
            </w:pPr>
            <w:r>
              <w:rPr>
                <w:sz w:val="15"/>
              </w:rPr>
            </w:r>
            <w:r>
              <w:rPr>
                <w:b w:val="0"/>
                <w:sz w:val="15"/>
              </w:rPr>
              <w:t>Pull monitor.</w:t>
            </w:r>
          </w:p>
        </w:tc>
      </w:tr>
      <w:tr>
        <w:tc>
          <w:tcPr>
            <w:tcW w:type="dxa" w:w="1080"/>
            <w:vAlign w:val="top"/>
          </w:tcPr>
          <w:p>
            <w:pPr>
              <w:spacing w:after="0"/>
            </w:pPr>
            <w:r>
              <w:rPr>
                <w:sz w:val="15"/>
              </w:rPr>
            </w:r>
            <w:r>
              <w:rPr>
                <w:b w:val="0"/>
                <w:sz w:val="15"/>
              </w:rPr>
              <w:t>GET</w:t>
            </w:r>
          </w:p>
        </w:tc>
        <w:tc>
          <w:tcPr>
            <w:tcW w:type="dxa" w:w="3311"/>
            <w:vAlign w:val="top"/>
          </w:tcPr>
          <w:p>
            <w:pPr>
              <w:spacing w:after="0"/>
            </w:pPr>
            <w:r>
              <w:rPr>
                <w:sz w:val="15"/>
              </w:rPr>
            </w:r>
            <w:r>
              <w:rPr>
                <w:b w:val="0"/>
                <w:sz w:val="15"/>
              </w:rPr>
              <w:t>/api/admin/duplicates</w:t>
            </w:r>
          </w:p>
        </w:tc>
        <w:tc>
          <w:tcPr>
            <w:tcW w:type="dxa" w:w="5112"/>
            <w:vAlign w:val="top"/>
          </w:tcPr>
          <w:p>
            <w:pPr>
              <w:spacing w:after="0"/>
            </w:pPr>
            <w:r>
              <w:rPr>
                <w:sz w:val="15"/>
              </w:rPr>
            </w:r>
            <w:r>
              <w:rPr>
                <w:b w:val="0"/>
                <w:sz w:val="15"/>
              </w:rPr>
              <w:t>Duplicate review queue.</w:t>
            </w:r>
          </w:p>
        </w:tc>
      </w:tr>
    </w:tbl>
    <w:p/>
    <w:p>
      <w:pPr>
        <w:pStyle w:val="Heading2"/>
      </w:pPr>
      <w:r>
        <w:rPr>
          <w:rFonts w:ascii="Arial" w:hAnsi="Arial"/>
        </w:rPr>
        <w:t>On-demand pull request example</w:t>
      </w:r>
    </w:p>
    <w:p>
      <w:pPr>
        <w:pStyle w:val="CodeBlock"/>
      </w:pPr>
      <w:r>
        <w:t>POST /api/private-grants/pull</w:t>
      </w:r>
    </w:p>
    <w:p>
      <w:pPr>
        <w:pStyle w:val="CodeBlock"/>
      </w:pPr>
      <w:r>
        <w:t>{</w:t>
      </w:r>
    </w:p>
    <w:p>
      <w:pPr>
        <w:pStyle w:val="CodeBlock"/>
      </w:pPr>
      <w:r>
        <w:t xml:space="preserve">  "profileId": "profile_123",</w:t>
      </w:r>
    </w:p>
    <w:p>
      <w:pPr>
        <w:pStyle w:val="CodeBlock"/>
      </w:pPr>
      <w:r>
        <w:t xml:space="preserve">  "topics": ["AI", "technology", "social_media", "journalism"],</w:t>
      </w:r>
    </w:p>
    <w:p>
      <w:pPr>
        <w:pStyle w:val="CodeBlock"/>
      </w:pPr>
      <w:r>
        <w:t xml:space="preserve">  "funderTypes": ["private_foundation", "corporate_foundation", "corporate_philanthropy"],</w:t>
      </w:r>
    </w:p>
    <w:p>
      <w:pPr>
        <w:pStyle w:val="CodeBlock"/>
      </w:pPr>
      <w:r>
        <w:t xml:space="preserve">  "mode": "targeted",</w:t>
      </w:r>
    </w:p>
    <w:p>
      <w:pPr>
        <w:pStyle w:val="CodeBlock"/>
      </w:pPr>
      <w:r>
        <w:t xml:space="preserve">  "forceRefresh": false</w:t>
      </w:r>
    </w:p>
    <w:p>
      <w:pPr>
        <w:pStyle w:val="CodeBlock"/>
      </w:pPr>
      <w:r>
        <w:t>}</w:t>
      </w:r>
    </w:p>
    <w:p>
      <w:pPr>
        <w:pStyle w:val="CodeBlock"/>
      </w:pPr>
      <w:r>
        <w:t xml:space="preserve"> </w:t>
      </w:r>
    </w:p>
    <w:p>
      <w:pPr>
        <w:pStyle w:val="CodeBlock"/>
      </w:pPr>
      <w:r>
        <w:t>Response:</w:t>
      </w:r>
    </w:p>
    <w:p>
      <w:pPr>
        <w:pStyle w:val="CodeBlock"/>
      </w:pPr>
      <w:r>
        <w:t>{</w:t>
      </w:r>
    </w:p>
    <w:p>
      <w:pPr>
        <w:pStyle w:val="CodeBlock"/>
      </w:pPr>
      <w:r>
        <w:t xml:space="preserve">  "pullRunId": "pull_private_456",</w:t>
      </w:r>
    </w:p>
    <w:p>
      <w:pPr>
        <w:pStyle w:val="CodeBlock"/>
      </w:pPr>
      <w:r>
        <w:t xml:space="preserve">  "status": "queued",</w:t>
      </w:r>
    </w:p>
    <w:p>
      <w:pPr>
        <w:pStyle w:val="CodeBlock"/>
      </w:pPr>
      <w:r>
        <w:t xml:space="preserve">  "sourcesQueued": 42,</w:t>
      </w:r>
    </w:p>
    <w:p>
      <w:pPr>
        <w:pStyle w:val="CodeBlock"/>
      </w:pPr>
      <w:r>
        <w:t xml:space="preserve">  "cachedResultsAvailable": true,</w:t>
      </w:r>
    </w:p>
    <w:p>
      <w:pPr>
        <w:pStyle w:val="CodeBlock"/>
      </w:pPr>
      <w:r>
        <w:t xml:space="preserve">  "message": "Cached matches are available while stale private sources refresh."</w:t>
      </w:r>
    </w:p>
    <w:p>
      <w:pPr>
        <w:pStyle w:val="CodeBlock"/>
      </w:pPr>
      <w:r>
        <w:t>}</w:t>
      </w:r>
    </w:p>
    <w:p>
      <w:pPr>
        <w:pStyle w:val="Heading1"/>
      </w:pPr>
      <w:r>
        <w:rPr>
          <w:rFonts w:ascii="Arial" w:hAnsi="Arial"/>
        </w:rPr>
        <w:t>15. Frontend Experience and Design Requirements</w:t>
      </w:r>
    </w:p>
    <w:p>
      <w:r>
        <w:rPr>
          <w:rFonts w:ascii="Arial" w:hAnsi="Arial"/>
        </w:rPr>
        <w:t>The design should make a complex data product feel simple. Users should always understand what to do next: complete profile, review matches, save grants, refresh sources, or start an application. Each screen should communicate freshness, trust, and fit.</w:t>
      </w:r>
    </w:p>
    <w:p>
      <w:pPr>
        <w:pStyle w:val="Heading2"/>
      </w:pPr>
      <w:r>
        <w:rPr>
          <w:rFonts w:ascii="Arial" w:hAnsi="Arial"/>
        </w:rPr>
        <w:t>Global UX principles</w:t>
      </w:r>
    </w:p>
    <w:p>
      <w:pPr>
        <w:pStyle w:val="ListBullet"/>
      </w:pPr>
      <w:r>
        <w:rPr>
          <w:rFonts w:ascii="Arial" w:hAnsi="Arial"/>
        </w:rPr>
        <w:t>Search and matches should be accessible from the main navigation at all times.</w:t>
      </w:r>
    </w:p>
    <w:p>
      <w:pPr>
        <w:pStyle w:val="ListBullet"/>
      </w:pPr>
      <w:r>
        <w:rPr>
          <w:rFonts w:ascii="Arial" w:hAnsi="Arial"/>
        </w:rPr>
        <w:t>Every grant card should show match score, deadline, funder, amount if known, opportunity type, source, and last fetched timestamp.</w:t>
      </w:r>
    </w:p>
    <w:p>
      <w:pPr>
        <w:pStyle w:val="ListBullet"/>
      </w:pPr>
      <w:r>
        <w:rPr>
          <w:rFonts w:ascii="Arial" w:hAnsi="Arial"/>
        </w:rPr>
        <w:t>Every grant detail page should show official source link and extraction confidence.</w:t>
      </w:r>
    </w:p>
    <w:p>
      <w:pPr>
        <w:pStyle w:val="ListBullet"/>
      </w:pPr>
      <w:r>
        <w:rPr>
          <w:rFonts w:ascii="Arial" w:hAnsi="Arial"/>
        </w:rPr>
        <w:t>Private grant results should clearly distinguish active opportunities from funder prospects.</w:t>
      </w:r>
    </w:p>
    <w:p>
      <w:pPr>
        <w:pStyle w:val="ListBullet"/>
      </w:pPr>
      <w:r>
        <w:rPr>
          <w:rFonts w:ascii="Arial" w:hAnsi="Arial"/>
        </w:rPr>
        <w:t>Users should see immediate cached results while on-demand pulls run in the background queue.</w:t>
      </w:r>
    </w:p>
    <w:p>
      <w:pPr>
        <w:pStyle w:val="ListBullet"/>
      </w:pPr>
      <w:r>
        <w:rPr>
          <w:rFonts w:ascii="Arial" w:hAnsi="Arial"/>
        </w:rPr>
        <w:t>The platform should explain why a grant is recommended and what might disqualify the user.</w:t>
      </w:r>
    </w:p>
    <w:p>
      <w:pPr>
        <w:pStyle w:val="ListBullet"/>
      </w:pPr>
      <w:r>
        <w:rPr>
          <w:rFonts w:ascii="Arial" w:hAnsi="Arial"/>
        </w:rPr>
        <w:t>Empty states should be useful: suggest improving profile, broadening filters, or running a targeted pull.</w:t>
      </w:r>
    </w:p>
    <w:p>
      <w:pPr>
        <w:pStyle w:val="Heading2"/>
      </w:pPr>
      <w:r>
        <w:rPr>
          <w:rFonts w:ascii="Arial" w:hAnsi="Arial"/>
        </w:rPr>
        <w:t>Primary navigation</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520"/>
            <w:shd w:fill="D9EAF7"/>
            <w:vAlign w:val="top"/>
          </w:tcPr>
          <w:p>
            <w:pPr>
              <w:spacing w:after="0"/>
            </w:pPr>
            <w:r>
              <w:rPr>
                <w:sz w:val="17"/>
              </w:rPr>
            </w:r>
            <w:r>
              <w:rPr>
                <w:b/>
                <w:color w:val="1C4967"/>
                <w:sz w:val="17"/>
              </w:rPr>
              <w:t>Area</w:t>
            </w:r>
          </w:p>
        </w:tc>
        <w:tc>
          <w:tcPr>
            <w:tcW w:type="dxa" w:w="6983"/>
            <w:shd w:fill="D9EAF7"/>
            <w:vAlign w:val="top"/>
          </w:tcPr>
          <w:p>
            <w:pPr>
              <w:spacing w:after="0"/>
            </w:pPr>
            <w:r>
              <w:rPr>
                <w:sz w:val="17"/>
              </w:rPr>
            </w:r>
            <w:r>
              <w:rPr>
                <w:b/>
                <w:color w:val="1C4967"/>
                <w:sz w:val="17"/>
              </w:rPr>
              <w:t>Purpose</w:t>
            </w:r>
          </w:p>
        </w:tc>
      </w:tr>
      <w:tr>
        <w:tc>
          <w:tcPr>
            <w:tcW w:type="dxa" w:w="2520"/>
            <w:vAlign w:val="top"/>
          </w:tcPr>
          <w:p>
            <w:pPr>
              <w:spacing w:after="0"/>
            </w:pPr>
            <w:r>
              <w:rPr>
                <w:sz w:val="17"/>
              </w:rPr>
            </w:r>
            <w:r>
              <w:rPr>
                <w:b w:val="0"/>
                <w:sz w:val="17"/>
              </w:rPr>
              <w:t>Dashboard</w:t>
            </w:r>
          </w:p>
        </w:tc>
        <w:tc>
          <w:tcPr>
            <w:tcW w:type="dxa" w:w="6983"/>
            <w:vAlign w:val="top"/>
          </w:tcPr>
          <w:p>
            <w:pPr>
              <w:spacing w:after="0"/>
            </w:pPr>
            <w:r>
              <w:rPr>
                <w:sz w:val="17"/>
              </w:rPr>
            </w:r>
            <w:r>
              <w:rPr>
                <w:b w:val="0"/>
                <w:sz w:val="17"/>
              </w:rPr>
              <w:t>Overview of new matches, saved grants, upcoming deadlines, and pull status.</w:t>
            </w:r>
          </w:p>
        </w:tc>
      </w:tr>
      <w:tr>
        <w:tc>
          <w:tcPr>
            <w:tcW w:type="dxa" w:w="2520"/>
            <w:vAlign w:val="top"/>
          </w:tcPr>
          <w:p>
            <w:pPr>
              <w:spacing w:after="0"/>
            </w:pPr>
            <w:r>
              <w:rPr>
                <w:sz w:val="17"/>
              </w:rPr>
            </w:r>
            <w:r>
              <w:rPr>
                <w:b w:val="0"/>
                <w:sz w:val="17"/>
              </w:rPr>
              <w:t>Find Grants</w:t>
            </w:r>
          </w:p>
        </w:tc>
        <w:tc>
          <w:tcPr>
            <w:tcW w:type="dxa" w:w="6983"/>
            <w:vAlign w:val="top"/>
          </w:tcPr>
          <w:p>
            <w:pPr>
              <w:spacing w:after="0"/>
            </w:pPr>
            <w:r>
              <w:rPr>
                <w:sz w:val="17"/>
              </w:rPr>
            </w:r>
            <w:r>
              <w:rPr>
                <w:b w:val="0"/>
                <w:sz w:val="17"/>
              </w:rPr>
              <w:t>Main search across all public and private opportunities.</w:t>
            </w:r>
          </w:p>
        </w:tc>
      </w:tr>
      <w:tr>
        <w:tc>
          <w:tcPr>
            <w:tcW w:type="dxa" w:w="2520"/>
            <w:vAlign w:val="top"/>
          </w:tcPr>
          <w:p>
            <w:pPr>
              <w:spacing w:after="0"/>
            </w:pPr>
            <w:r>
              <w:rPr>
                <w:sz w:val="17"/>
              </w:rPr>
            </w:r>
            <w:r>
              <w:rPr>
                <w:b w:val="0"/>
                <w:sz w:val="17"/>
              </w:rPr>
              <w:t>Private Funding Finder</w:t>
            </w:r>
          </w:p>
        </w:tc>
        <w:tc>
          <w:tcPr>
            <w:tcW w:type="dxa" w:w="6983"/>
            <w:vAlign w:val="top"/>
          </w:tcPr>
          <w:p>
            <w:pPr>
              <w:spacing w:after="0"/>
            </w:pPr>
            <w:r>
              <w:rPr>
                <w:sz w:val="17"/>
              </w:rPr>
            </w:r>
            <w:r>
              <w:rPr>
                <w:b w:val="0"/>
                <w:sz w:val="17"/>
              </w:rPr>
              <w:t>Dedicated AI, technology, social media, journalism, cybersecurity, and private foundation experience.</w:t>
            </w:r>
          </w:p>
        </w:tc>
      </w:tr>
      <w:tr>
        <w:tc>
          <w:tcPr>
            <w:tcW w:type="dxa" w:w="2520"/>
            <w:vAlign w:val="top"/>
          </w:tcPr>
          <w:p>
            <w:pPr>
              <w:spacing w:after="0"/>
            </w:pPr>
            <w:r>
              <w:rPr>
                <w:sz w:val="17"/>
              </w:rPr>
            </w:r>
            <w:r>
              <w:rPr>
                <w:b w:val="0"/>
                <w:sz w:val="17"/>
              </w:rPr>
              <w:t>Profiles</w:t>
            </w:r>
          </w:p>
        </w:tc>
        <w:tc>
          <w:tcPr>
            <w:tcW w:type="dxa" w:w="6983"/>
            <w:vAlign w:val="top"/>
          </w:tcPr>
          <w:p>
            <w:pPr>
              <w:spacing w:after="0"/>
            </w:pPr>
            <w:r>
              <w:rPr>
                <w:sz w:val="17"/>
              </w:rPr>
            </w:r>
            <w:r>
              <w:rPr>
                <w:b w:val="0"/>
                <w:sz w:val="17"/>
              </w:rPr>
              <w:t>User and organization eligibility/matching setup.</w:t>
            </w:r>
          </w:p>
        </w:tc>
      </w:tr>
      <w:tr>
        <w:tc>
          <w:tcPr>
            <w:tcW w:type="dxa" w:w="2520"/>
            <w:vAlign w:val="top"/>
          </w:tcPr>
          <w:p>
            <w:pPr>
              <w:spacing w:after="0"/>
            </w:pPr>
            <w:r>
              <w:rPr>
                <w:sz w:val="17"/>
              </w:rPr>
            </w:r>
            <w:r>
              <w:rPr>
                <w:b w:val="0"/>
                <w:sz w:val="17"/>
              </w:rPr>
              <w:t>Saved Grants</w:t>
            </w:r>
          </w:p>
        </w:tc>
        <w:tc>
          <w:tcPr>
            <w:tcW w:type="dxa" w:w="6983"/>
            <w:vAlign w:val="top"/>
          </w:tcPr>
          <w:p>
            <w:pPr>
              <w:spacing w:after="0"/>
            </w:pPr>
            <w:r>
              <w:rPr>
                <w:sz w:val="17"/>
              </w:rPr>
            </w:r>
            <w:r>
              <w:rPr>
                <w:b w:val="0"/>
                <w:sz w:val="17"/>
              </w:rPr>
              <w:t>Shortlist of grants and funder prospects.</w:t>
            </w:r>
          </w:p>
        </w:tc>
      </w:tr>
      <w:tr>
        <w:tc>
          <w:tcPr>
            <w:tcW w:type="dxa" w:w="2520"/>
            <w:vAlign w:val="top"/>
          </w:tcPr>
          <w:p>
            <w:pPr>
              <w:spacing w:after="0"/>
            </w:pPr>
            <w:r>
              <w:rPr>
                <w:sz w:val="17"/>
              </w:rPr>
            </w:r>
            <w:r>
              <w:rPr>
                <w:b w:val="0"/>
                <w:sz w:val="17"/>
              </w:rPr>
              <w:t>Applications</w:t>
            </w:r>
          </w:p>
        </w:tc>
        <w:tc>
          <w:tcPr>
            <w:tcW w:type="dxa" w:w="6983"/>
            <w:vAlign w:val="top"/>
          </w:tcPr>
          <w:p>
            <w:pPr>
              <w:spacing w:after="0"/>
            </w:pPr>
            <w:r>
              <w:rPr>
                <w:sz w:val="17"/>
              </w:rPr>
            </w:r>
            <w:r>
              <w:rPr>
                <w:b w:val="0"/>
                <w:sz w:val="17"/>
              </w:rPr>
              <w:t>Pipeline tracker for grants being reviewed, drafted, submitted, awarded, rejected, or closed.</w:t>
            </w:r>
          </w:p>
        </w:tc>
      </w:tr>
      <w:tr>
        <w:tc>
          <w:tcPr>
            <w:tcW w:type="dxa" w:w="2520"/>
            <w:vAlign w:val="top"/>
          </w:tcPr>
          <w:p>
            <w:pPr>
              <w:spacing w:after="0"/>
            </w:pPr>
            <w:r>
              <w:rPr>
                <w:sz w:val="17"/>
              </w:rPr>
            </w:r>
            <w:r>
              <w:rPr>
                <w:b w:val="0"/>
                <w:sz w:val="17"/>
              </w:rPr>
              <w:t>Alerts</w:t>
            </w:r>
          </w:p>
        </w:tc>
        <w:tc>
          <w:tcPr>
            <w:tcW w:type="dxa" w:w="6983"/>
            <w:vAlign w:val="top"/>
          </w:tcPr>
          <w:p>
            <w:pPr>
              <w:spacing w:after="0"/>
            </w:pPr>
            <w:r>
              <w:rPr>
                <w:sz w:val="17"/>
              </w:rPr>
            </w:r>
            <w:r>
              <w:rPr>
                <w:b w:val="0"/>
                <w:sz w:val="17"/>
              </w:rPr>
              <w:t>Notification center and settings.</w:t>
            </w:r>
          </w:p>
        </w:tc>
      </w:tr>
      <w:tr>
        <w:tc>
          <w:tcPr>
            <w:tcW w:type="dxa" w:w="2520"/>
            <w:vAlign w:val="top"/>
          </w:tcPr>
          <w:p>
            <w:pPr>
              <w:spacing w:after="0"/>
            </w:pPr>
            <w:r>
              <w:rPr>
                <w:sz w:val="17"/>
              </w:rPr>
            </w:r>
            <w:r>
              <w:rPr>
                <w:b w:val="0"/>
                <w:sz w:val="17"/>
              </w:rPr>
              <w:t>Admin</w:t>
            </w:r>
          </w:p>
        </w:tc>
        <w:tc>
          <w:tcPr>
            <w:tcW w:type="dxa" w:w="6983"/>
            <w:vAlign w:val="top"/>
          </w:tcPr>
          <w:p>
            <w:pPr>
              <w:spacing w:after="0"/>
            </w:pPr>
            <w:r>
              <w:rPr>
                <w:sz w:val="17"/>
              </w:rPr>
            </w:r>
            <w:r>
              <w:rPr>
                <w:b w:val="0"/>
                <w:sz w:val="17"/>
              </w:rPr>
              <w:t>Source registry, pull monitor, review queue, compliance, and data health. Admin only.</w:t>
            </w:r>
          </w:p>
        </w:tc>
      </w:tr>
    </w:tbl>
    <w:p/>
    <w:p>
      <w:pPr>
        <w:pStyle w:val="Heading2"/>
      </w:pPr>
      <w:r>
        <w:rPr>
          <w:rFonts w:ascii="Arial" w:hAnsi="Arial"/>
        </w:rPr>
        <w:t>Screen specifications</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088"/>
            <w:shd w:fill="D9EAF7"/>
            <w:vAlign w:val="top"/>
          </w:tcPr>
          <w:p>
            <w:pPr>
              <w:spacing w:after="0"/>
            </w:pPr>
            <w:r>
              <w:rPr>
                <w:sz w:val="15"/>
              </w:rPr>
            </w:r>
            <w:r>
              <w:rPr>
                <w:b/>
                <w:color w:val="1C4967"/>
                <w:sz w:val="15"/>
              </w:rPr>
              <w:t>Screen</w:t>
            </w:r>
          </w:p>
        </w:tc>
        <w:tc>
          <w:tcPr>
            <w:tcW w:type="dxa" w:w="3240"/>
            <w:shd w:fill="D9EAF7"/>
            <w:vAlign w:val="top"/>
          </w:tcPr>
          <w:p>
            <w:pPr>
              <w:spacing w:after="0"/>
            </w:pPr>
            <w:r>
              <w:rPr>
                <w:sz w:val="15"/>
              </w:rPr>
            </w:r>
            <w:r>
              <w:rPr>
                <w:b/>
                <w:color w:val="1C4967"/>
                <w:sz w:val="15"/>
              </w:rPr>
              <w:t>Purpose</w:t>
            </w:r>
          </w:p>
        </w:tc>
        <w:tc>
          <w:tcPr>
            <w:tcW w:type="dxa" w:w="4176"/>
            <w:shd w:fill="D9EAF7"/>
            <w:vAlign w:val="top"/>
          </w:tcPr>
          <w:p>
            <w:pPr>
              <w:spacing w:after="0"/>
            </w:pPr>
            <w:r>
              <w:rPr>
                <w:sz w:val="15"/>
              </w:rPr>
            </w:r>
            <w:r>
              <w:rPr>
                <w:b/>
                <w:color w:val="1C4967"/>
                <w:sz w:val="15"/>
              </w:rPr>
              <w:t>Required components</w:t>
            </w:r>
          </w:p>
        </w:tc>
      </w:tr>
      <w:tr>
        <w:tc>
          <w:tcPr>
            <w:tcW w:type="dxa" w:w="2088"/>
            <w:vAlign w:val="top"/>
          </w:tcPr>
          <w:p>
            <w:pPr>
              <w:spacing w:after="0"/>
            </w:pPr>
            <w:r>
              <w:rPr>
                <w:sz w:val="15"/>
              </w:rPr>
            </w:r>
            <w:r>
              <w:rPr>
                <w:b w:val="0"/>
                <w:sz w:val="15"/>
              </w:rPr>
              <w:t>Sign-up / onboarding</w:t>
            </w:r>
          </w:p>
        </w:tc>
        <w:tc>
          <w:tcPr>
            <w:tcW w:type="dxa" w:w="3240"/>
            <w:vAlign w:val="top"/>
          </w:tcPr>
          <w:p>
            <w:pPr>
              <w:spacing w:after="0"/>
            </w:pPr>
            <w:r>
              <w:rPr>
                <w:sz w:val="15"/>
              </w:rPr>
            </w:r>
            <w:r>
              <w:rPr>
                <w:b w:val="0"/>
                <w:sz w:val="15"/>
              </w:rPr>
              <w:t>Create account, choose user type, create organization/profile, answer eligibility questions, pick focus areas.</w:t>
            </w:r>
          </w:p>
        </w:tc>
        <w:tc>
          <w:tcPr>
            <w:tcW w:type="dxa" w:w="4176"/>
            <w:vAlign w:val="top"/>
          </w:tcPr>
          <w:p>
            <w:pPr>
              <w:spacing w:after="0"/>
            </w:pPr>
            <w:r>
              <w:rPr>
                <w:sz w:val="15"/>
              </w:rPr>
            </w:r>
            <w:r>
              <w:rPr>
                <w:b w:val="0"/>
                <w:sz w:val="15"/>
              </w:rPr>
              <w:t>Profile completion meter, guided questions, saved progress, sample focus tags.</w:t>
            </w:r>
          </w:p>
        </w:tc>
      </w:tr>
      <w:tr>
        <w:tc>
          <w:tcPr>
            <w:tcW w:type="dxa" w:w="2088"/>
            <w:vAlign w:val="top"/>
          </w:tcPr>
          <w:p>
            <w:pPr>
              <w:spacing w:after="0"/>
            </w:pPr>
            <w:r>
              <w:rPr>
                <w:sz w:val="15"/>
              </w:rPr>
            </w:r>
            <w:r>
              <w:rPr>
                <w:b w:val="0"/>
                <w:sz w:val="15"/>
              </w:rPr>
              <w:t>Dashboard</w:t>
            </w:r>
          </w:p>
        </w:tc>
        <w:tc>
          <w:tcPr>
            <w:tcW w:type="dxa" w:w="3240"/>
            <w:vAlign w:val="top"/>
          </w:tcPr>
          <w:p>
            <w:pPr>
              <w:spacing w:after="0"/>
            </w:pPr>
            <w:r>
              <w:rPr>
                <w:sz w:val="15"/>
              </w:rPr>
            </w:r>
            <w:r>
              <w:rPr>
                <w:b w:val="0"/>
                <w:sz w:val="15"/>
              </w:rPr>
              <w:t>Show new matches, private funding highlights, deadlines, saved grants, pull status, and suggested actions.</w:t>
            </w:r>
          </w:p>
        </w:tc>
        <w:tc>
          <w:tcPr>
            <w:tcW w:type="dxa" w:w="4176"/>
            <w:vAlign w:val="top"/>
          </w:tcPr>
          <w:p>
            <w:pPr>
              <w:spacing w:after="0"/>
            </w:pPr>
            <w:r>
              <w:rPr>
                <w:sz w:val="15"/>
              </w:rPr>
            </w:r>
            <w:r>
              <w:rPr>
                <w:b w:val="0"/>
                <w:sz w:val="15"/>
              </w:rPr>
              <w:t>Match cards, deadline timeline, refresh button, alerts panel, profile health card.</w:t>
            </w:r>
          </w:p>
        </w:tc>
      </w:tr>
      <w:tr>
        <w:tc>
          <w:tcPr>
            <w:tcW w:type="dxa" w:w="2088"/>
            <w:vAlign w:val="top"/>
          </w:tcPr>
          <w:p>
            <w:pPr>
              <w:spacing w:after="0"/>
            </w:pPr>
            <w:r>
              <w:rPr>
                <w:sz w:val="15"/>
              </w:rPr>
            </w:r>
            <w:r>
              <w:rPr>
                <w:b w:val="0"/>
                <w:sz w:val="15"/>
              </w:rPr>
              <w:t>Find Grants</w:t>
            </w:r>
          </w:p>
        </w:tc>
        <w:tc>
          <w:tcPr>
            <w:tcW w:type="dxa" w:w="3240"/>
            <w:vAlign w:val="top"/>
          </w:tcPr>
          <w:p>
            <w:pPr>
              <w:spacing w:after="0"/>
            </w:pPr>
            <w:r>
              <w:rPr>
                <w:sz w:val="15"/>
              </w:rPr>
            </w:r>
            <w:r>
              <w:rPr>
                <w:b w:val="0"/>
                <w:sz w:val="15"/>
              </w:rPr>
              <w:t>Search all grants with filters and sort by match score, deadline, amount, source, or freshness.</w:t>
            </w:r>
          </w:p>
        </w:tc>
        <w:tc>
          <w:tcPr>
            <w:tcW w:type="dxa" w:w="4176"/>
            <w:vAlign w:val="top"/>
          </w:tcPr>
          <w:p>
            <w:pPr>
              <w:spacing w:after="0"/>
            </w:pPr>
            <w:r>
              <w:rPr>
                <w:sz w:val="15"/>
              </w:rPr>
            </w:r>
            <w:r>
              <w:rPr>
                <w:b w:val="0"/>
                <w:sz w:val="15"/>
              </w:rPr>
              <w:t>Filter drawer, search bar, result count, grant cards, saved toggle, confidence badge.</w:t>
            </w:r>
          </w:p>
        </w:tc>
      </w:tr>
      <w:tr>
        <w:tc>
          <w:tcPr>
            <w:tcW w:type="dxa" w:w="2088"/>
            <w:vAlign w:val="top"/>
          </w:tcPr>
          <w:p>
            <w:pPr>
              <w:spacing w:after="0"/>
            </w:pPr>
            <w:r>
              <w:rPr>
                <w:sz w:val="15"/>
              </w:rPr>
            </w:r>
            <w:r>
              <w:rPr>
                <w:b w:val="0"/>
                <w:sz w:val="15"/>
              </w:rPr>
              <w:t>Private Funding Finder</w:t>
            </w:r>
          </w:p>
        </w:tc>
        <w:tc>
          <w:tcPr>
            <w:tcW w:type="dxa" w:w="3240"/>
            <w:vAlign w:val="top"/>
          </w:tcPr>
          <w:p>
            <w:pPr>
              <w:spacing w:after="0"/>
            </w:pPr>
            <w:r>
              <w:rPr>
                <w:sz w:val="15"/>
              </w:rPr>
            </w:r>
            <w:r>
              <w:rPr>
                <w:b w:val="0"/>
                <w:sz w:val="15"/>
              </w:rPr>
              <w:t>Focused interface for AI, tech, social media, journalism/media, cybersecurity, digital rights, and private funder prospects.</w:t>
            </w:r>
          </w:p>
        </w:tc>
        <w:tc>
          <w:tcPr>
            <w:tcW w:type="dxa" w:w="4176"/>
            <w:vAlign w:val="top"/>
          </w:tcPr>
          <w:p>
            <w:pPr>
              <w:spacing w:after="0"/>
            </w:pPr>
            <w:r>
              <w:rPr>
                <w:sz w:val="15"/>
              </w:rPr>
            </w:r>
            <w:r>
              <w:rPr>
                <w:b w:val="0"/>
                <w:sz w:val="15"/>
              </w:rPr>
              <w:t>Topic tabs, active vs recurring vs prospect sections, funder cards, portal type badges.</w:t>
            </w:r>
          </w:p>
        </w:tc>
      </w:tr>
      <w:tr>
        <w:tc>
          <w:tcPr>
            <w:tcW w:type="dxa" w:w="2088"/>
            <w:vAlign w:val="top"/>
          </w:tcPr>
          <w:p>
            <w:pPr>
              <w:spacing w:after="0"/>
            </w:pPr>
            <w:r>
              <w:rPr>
                <w:sz w:val="15"/>
              </w:rPr>
            </w:r>
            <w:r>
              <w:rPr>
                <w:b w:val="0"/>
                <w:sz w:val="15"/>
              </w:rPr>
              <w:t>Grant Detail</w:t>
            </w:r>
          </w:p>
        </w:tc>
        <w:tc>
          <w:tcPr>
            <w:tcW w:type="dxa" w:w="3240"/>
            <w:vAlign w:val="top"/>
          </w:tcPr>
          <w:p>
            <w:pPr>
              <w:spacing w:after="0"/>
            </w:pPr>
            <w:r>
              <w:rPr>
                <w:sz w:val="15"/>
              </w:rPr>
            </w:r>
            <w:r>
              <w:rPr>
                <w:b w:val="0"/>
                <w:sz w:val="15"/>
              </w:rPr>
              <w:t>Explain the opportunity and allow the user to decide whether to pursue it.</w:t>
            </w:r>
          </w:p>
        </w:tc>
        <w:tc>
          <w:tcPr>
            <w:tcW w:type="dxa" w:w="4176"/>
            <w:vAlign w:val="top"/>
          </w:tcPr>
          <w:p>
            <w:pPr>
              <w:spacing w:after="0"/>
            </w:pPr>
            <w:r>
              <w:rPr>
                <w:sz w:val="15"/>
              </w:rPr>
            </w:r>
            <w:r>
              <w:rPr>
                <w:b w:val="0"/>
                <w:sz w:val="15"/>
              </w:rPr>
              <w:t>Source evidence, eligibility, amount, deadline, required docs, warnings, match reasons, save/apply actions.</w:t>
            </w:r>
          </w:p>
        </w:tc>
      </w:tr>
      <w:tr>
        <w:tc>
          <w:tcPr>
            <w:tcW w:type="dxa" w:w="2088"/>
            <w:vAlign w:val="top"/>
          </w:tcPr>
          <w:p>
            <w:pPr>
              <w:spacing w:after="0"/>
            </w:pPr>
            <w:r>
              <w:rPr>
                <w:sz w:val="15"/>
              </w:rPr>
            </w:r>
            <w:r>
              <w:rPr>
                <w:b w:val="0"/>
                <w:sz w:val="15"/>
              </w:rPr>
              <w:t>Profile Builder</w:t>
            </w:r>
          </w:p>
        </w:tc>
        <w:tc>
          <w:tcPr>
            <w:tcW w:type="dxa" w:w="3240"/>
            <w:vAlign w:val="top"/>
          </w:tcPr>
          <w:p>
            <w:pPr>
              <w:spacing w:after="0"/>
            </w:pPr>
            <w:r>
              <w:rPr>
                <w:sz w:val="15"/>
              </w:rPr>
            </w:r>
            <w:r>
              <w:rPr>
                <w:b w:val="0"/>
                <w:sz w:val="15"/>
              </w:rPr>
              <w:t>Collect structured matching data.</w:t>
            </w:r>
          </w:p>
        </w:tc>
        <w:tc>
          <w:tcPr>
            <w:tcW w:type="dxa" w:w="4176"/>
            <w:vAlign w:val="top"/>
          </w:tcPr>
          <w:p>
            <w:pPr>
              <w:spacing w:after="0"/>
            </w:pPr>
            <w:r>
              <w:rPr>
                <w:sz w:val="15"/>
              </w:rPr>
            </w:r>
            <w:r>
              <w:rPr>
                <w:b w:val="0"/>
                <w:sz w:val="15"/>
              </w:rPr>
              <w:t>Applicant type, location/service area, mission, keywords, excluded keywords, budget, SAM/UEI/501c3 readiness.</w:t>
            </w:r>
          </w:p>
        </w:tc>
      </w:tr>
      <w:tr>
        <w:tc>
          <w:tcPr>
            <w:tcW w:type="dxa" w:w="2088"/>
            <w:vAlign w:val="top"/>
          </w:tcPr>
          <w:p>
            <w:pPr>
              <w:spacing w:after="0"/>
            </w:pPr>
            <w:r>
              <w:rPr>
                <w:sz w:val="15"/>
              </w:rPr>
            </w:r>
            <w:r>
              <w:rPr>
                <w:b w:val="0"/>
                <w:sz w:val="15"/>
              </w:rPr>
              <w:t>Application Tracker</w:t>
            </w:r>
          </w:p>
        </w:tc>
        <w:tc>
          <w:tcPr>
            <w:tcW w:type="dxa" w:w="3240"/>
            <w:vAlign w:val="top"/>
          </w:tcPr>
          <w:p>
            <w:pPr>
              <w:spacing w:after="0"/>
            </w:pPr>
            <w:r>
              <w:rPr>
                <w:sz w:val="15"/>
              </w:rPr>
            </w:r>
            <w:r>
              <w:rPr>
                <w:b w:val="0"/>
                <w:sz w:val="15"/>
              </w:rPr>
              <w:t>Manage grant pipeline.</w:t>
            </w:r>
          </w:p>
        </w:tc>
        <w:tc>
          <w:tcPr>
            <w:tcW w:type="dxa" w:w="4176"/>
            <w:vAlign w:val="top"/>
          </w:tcPr>
          <w:p>
            <w:pPr>
              <w:spacing w:after="0"/>
            </w:pPr>
            <w:r>
              <w:rPr>
                <w:sz w:val="15"/>
              </w:rPr>
            </w:r>
            <w:r>
              <w:rPr>
                <w:b w:val="0"/>
                <w:sz w:val="15"/>
              </w:rPr>
              <w:t>Kanban/table toggle, status stepper, due dates, notes, tasks, export.</w:t>
            </w:r>
          </w:p>
        </w:tc>
      </w:tr>
      <w:tr>
        <w:tc>
          <w:tcPr>
            <w:tcW w:type="dxa" w:w="2088"/>
            <w:vAlign w:val="top"/>
          </w:tcPr>
          <w:p>
            <w:pPr>
              <w:spacing w:after="0"/>
            </w:pPr>
            <w:r>
              <w:rPr>
                <w:sz w:val="15"/>
              </w:rPr>
            </w:r>
            <w:r>
              <w:rPr>
                <w:b w:val="0"/>
                <w:sz w:val="15"/>
              </w:rPr>
              <w:t>Alerts</w:t>
            </w:r>
          </w:p>
        </w:tc>
        <w:tc>
          <w:tcPr>
            <w:tcW w:type="dxa" w:w="3240"/>
            <w:vAlign w:val="top"/>
          </w:tcPr>
          <w:p>
            <w:pPr>
              <w:spacing w:after="0"/>
            </w:pPr>
            <w:r>
              <w:rPr>
                <w:sz w:val="15"/>
              </w:rPr>
            </w:r>
            <w:r>
              <w:rPr>
                <w:b w:val="0"/>
                <w:sz w:val="15"/>
              </w:rPr>
              <w:t>Control notifications.</w:t>
            </w:r>
          </w:p>
        </w:tc>
        <w:tc>
          <w:tcPr>
            <w:tcW w:type="dxa" w:w="4176"/>
            <w:vAlign w:val="top"/>
          </w:tcPr>
          <w:p>
            <w:pPr>
              <w:spacing w:after="0"/>
            </w:pPr>
            <w:r>
              <w:rPr>
                <w:sz w:val="15"/>
              </w:rPr>
            </w:r>
            <w:r>
              <w:rPr>
                <w:b w:val="0"/>
                <w:sz w:val="15"/>
              </w:rPr>
              <w:t>New match alerts, deadline reminder schedule, saved-search alerts, digest frequency.</w:t>
            </w:r>
          </w:p>
        </w:tc>
      </w:tr>
      <w:tr>
        <w:tc>
          <w:tcPr>
            <w:tcW w:type="dxa" w:w="2088"/>
            <w:vAlign w:val="top"/>
          </w:tcPr>
          <w:p>
            <w:pPr>
              <w:spacing w:after="0"/>
            </w:pPr>
            <w:r>
              <w:rPr>
                <w:sz w:val="15"/>
              </w:rPr>
            </w:r>
            <w:r>
              <w:rPr>
                <w:b w:val="0"/>
                <w:sz w:val="15"/>
              </w:rPr>
              <w:t>Admin Source Registry</w:t>
            </w:r>
          </w:p>
        </w:tc>
        <w:tc>
          <w:tcPr>
            <w:tcW w:type="dxa" w:w="3240"/>
            <w:vAlign w:val="top"/>
          </w:tcPr>
          <w:p>
            <w:pPr>
              <w:spacing w:after="0"/>
            </w:pPr>
            <w:r>
              <w:rPr>
                <w:sz w:val="15"/>
              </w:rPr>
            </w:r>
            <w:r>
              <w:rPr>
                <w:b w:val="0"/>
                <w:sz w:val="15"/>
              </w:rPr>
              <w:t>Manage sources.</w:t>
            </w:r>
          </w:p>
        </w:tc>
        <w:tc>
          <w:tcPr>
            <w:tcW w:type="dxa" w:w="4176"/>
            <w:vAlign w:val="top"/>
          </w:tcPr>
          <w:p>
            <w:pPr>
              <w:spacing w:after="0"/>
            </w:pPr>
            <w:r>
              <w:rPr>
                <w:sz w:val="15"/>
              </w:rPr>
            </w:r>
            <w:r>
              <w:rPr>
                <w:b w:val="0"/>
                <w:sz w:val="15"/>
              </w:rPr>
              <w:t>Source cards/table, connector health, schedule, compliance status, rate limits, test/run buttons.</w:t>
            </w:r>
          </w:p>
        </w:tc>
      </w:tr>
      <w:tr>
        <w:tc>
          <w:tcPr>
            <w:tcW w:type="dxa" w:w="2088"/>
            <w:vAlign w:val="top"/>
          </w:tcPr>
          <w:p>
            <w:pPr>
              <w:spacing w:after="0"/>
            </w:pPr>
            <w:r>
              <w:rPr>
                <w:sz w:val="15"/>
              </w:rPr>
            </w:r>
            <w:r>
              <w:rPr>
                <w:b w:val="0"/>
                <w:sz w:val="15"/>
              </w:rPr>
              <w:t>Admin Review Queue</w:t>
            </w:r>
          </w:p>
        </w:tc>
        <w:tc>
          <w:tcPr>
            <w:tcW w:type="dxa" w:w="3240"/>
            <w:vAlign w:val="top"/>
          </w:tcPr>
          <w:p>
            <w:pPr>
              <w:spacing w:after="0"/>
            </w:pPr>
            <w:r>
              <w:rPr>
                <w:sz w:val="15"/>
              </w:rPr>
            </w:r>
            <w:r>
              <w:rPr>
                <w:b w:val="0"/>
                <w:sz w:val="15"/>
              </w:rPr>
              <w:t>Review low-confidence private candidates and duplicates.</w:t>
            </w:r>
          </w:p>
        </w:tc>
        <w:tc>
          <w:tcPr>
            <w:tcW w:type="dxa" w:w="4176"/>
            <w:vAlign w:val="top"/>
          </w:tcPr>
          <w:p>
            <w:pPr>
              <w:spacing w:after="0"/>
            </w:pPr>
            <w:r>
              <w:rPr>
                <w:sz w:val="15"/>
              </w:rPr>
            </w:r>
            <w:r>
              <w:rPr>
                <w:b w:val="0"/>
                <w:sz w:val="15"/>
              </w:rPr>
              <w:t>Candidate preview, extracted fields, source link, approve/reject/edit/merge actions.</w:t>
            </w:r>
          </w:p>
        </w:tc>
      </w:tr>
      <w:tr>
        <w:tc>
          <w:tcPr>
            <w:tcW w:type="dxa" w:w="2088"/>
            <w:vAlign w:val="top"/>
          </w:tcPr>
          <w:p>
            <w:pPr>
              <w:spacing w:after="0"/>
            </w:pPr>
            <w:r>
              <w:rPr>
                <w:sz w:val="15"/>
              </w:rPr>
            </w:r>
            <w:r>
              <w:rPr>
                <w:b w:val="0"/>
                <w:sz w:val="15"/>
              </w:rPr>
              <w:t>Pull Monitor</w:t>
            </w:r>
          </w:p>
        </w:tc>
        <w:tc>
          <w:tcPr>
            <w:tcW w:type="dxa" w:w="3240"/>
            <w:vAlign w:val="top"/>
          </w:tcPr>
          <w:p>
            <w:pPr>
              <w:spacing w:after="0"/>
            </w:pPr>
            <w:r>
              <w:rPr>
                <w:sz w:val="15"/>
              </w:rPr>
            </w:r>
            <w:r>
              <w:rPr>
                <w:b w:val="0"/>
                <w:sz w:val="15"/>
              </w:rPr>
              <w:t>See ingestion health.</w:t>
            </w:r>
          </w:p>
        </w:tc>
        <w:tc>
          <w:tcPr>
            <w:tcW w:type="dxa" w:w="4176"/>
            <w:vAlign w:val="top"/>
          </w:tcPr>
          <w:p>
            <w:pPr>
              <w:spacing w:after="0"/>
            </w:pPr>
            <w:r>
              <w:rPr>
                <w:sz w:val="15"/>
              </w:rPr>
            </w:r>
            <w:r>
              <w:rPr>
                <w:b w:val="0"/>
                <w:sz w:val="15"/>
              </w:rPr>
              <w:t>Run status, source counts, failures, retries, records new/updated, logs.</w:t>
            </w:r>
          </w:p>
        </w:tc>
      </w:tr>
    </w:tbl>
    <w:p/>
    <w:p>
      <w:pPr>
        <w:pStyle w:val="Heading2"/>
      </w:pPr>
      <w:r>
        <w:rPr>
          <w:rFonts w:ascii="Arial" w:hAnsi="Arial"/>
        </w:rPr>
        <w:t>Core UI components</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376"/>
            <w:shd w:fill="D9EAF7"/>
            <w:vAlign w:val="top"/>
          </w:tcPr>
          <w:p>
            <w:pPr>
              <w:spacing w:after="0"/>
            </w:pPr>
            <w:r>
              <w:rPr>
                <w:sz w:val="16"/>
              </w:rPr>
            </w:r>
            <w:r>
              <w:rPr>
                <w:b/>
                <w:color w:val="1C4967"/>
                <w:sz w:val="16"/>
              </w:rPr>
              <w:t>Component</w:t>
            </w:r>
          </w:p>
        </w:tc>
        <w:tc>
          <w:tcPr>
            <w:tcW w:type="dxa" w:w="7128"/>
            <w:shd w:fill="D9EAF7"/>
            <w:vAlign w:val="top"/>
          </w:tcPr>
          <w:p>
            <w:pPr>
              <w:spacing w:after="0"/>
            </w:pPr>
            <w:r>
              <w:rPr>
                <w:sz w:val="16"/>
              </w:rPr>
            </w:r>
            <w:r>
              <w:rPr>
                <w:b/>
                <w:color w:val="1C4967"/>
                <w:sz w:val="16"/>
              </w:rPr>
              <w:t>Fields / behaviors</w:t>
            </w:r>
          </w:p>
        </w:tc>
      </w:tr>
      <w:tr>
        <w:tc>
          <w:tcPr>
            <w:tcW w:type="dxa" w:w="2376"/>
            <w:vAlign w:val="top"/>
          </w:tcPr>
          <w:p>
            <w:pPr>
              <w:spacing w:after="0"/>
            </w:pPr>
            <w:r>
              <w:rPr>
                <w:sz w:val="16"/>
              </w:rPr>
            </w:r>
            <w:r>
              <w:rPr>
                <w:b w:val="0"/>
                <w:sz w:val="16"/>
              </w:rPr>
              <w:t>Grant card</w:t>
            </w:r>
          </w:p>
        </w:tc>
        <w:tc>
          <w:tcPr>
            <w:tcW w:type="dxa" w:w="7128"/>
            <w:vAlign w:val="top"/>
          </w:tcPr>
          <w:p>
            <w:pPr>
              <w:spacing w:after="0"/>
            </w:pPr>
            <w:r>
              <w:rPr>
                <w:sz w:val="16"/>
              </w:rPr>
            </w:r>
            <w:r>
              <w:rPr>
                <w:b w:val="0"/>
                <w:sz w:val="16"/>
              </w:rPr>
              <w:t>Title, funder, source, opportunity type, amount, deadline, match score, topic tags, last fetched, save button, apply button.</w:t>
            </w:r>
          </w:p>
        </w:tc>
      </w:tr>
      <w:tr>
        <w:tc>
          <w:tcPr>
            <w:tcW w:type="dxa" w:w="2376"/>
            <w:vAlign w:val="top"/>
          </w:tcPr>
          <w:p>
            <w:pPr>
              <w:spacing w:after="0"/>
            </w:pPr>
            <w:r>
              <w:rPr>
                <w:sz w:val="16"/>
              </w:rPr>
            </w:r>
            <w:r>
              <w:rPr>
                <w:b w:val="0"/>
                <w:sz w:val="16"/>
              </w:rPr>
              <w:t>Funder prospect card</w:t>
            </w:r>
          </w:p>
        </w:tc>
        <w:tc>
          <w:tcPr>
            <w:tcW w:type="dxa" w:w="7128"/>
            <w:vAlign w:val="top"/>
          </w:tcPr>
          <w:p>
            <w:pPr>
              <w:spacing w:after="0"/>
            </w:pPr>
            <w:r>
              <w:rPr>
                <w:sz w:val="16"/>
              </w:rPr>
            </w:r>
            <w:r>
              <w:rPr>
                <w:b w:val="0"/>
                <w:sz w:val="16"/>
              </w:rPr>
              <w:t>Funder name, focus areas, past funding evidence, open/closed/rolling status, accepts unsolicited applications, monitor/save action.</w:t>
            </w:r>
          </w:p>
        </w:tc>
      </w:tr>
      <w:tr>
        <w:tc>
          <w:tcPr>
            <w:tcW w:type="dxa" w:w="2376"/>
            <w:vAlign w:val="top"/>
          </w:tcPr>
          <w:p>
            <w:pPr>
              <w:spacing w:after="0"/>
            </w:pPr>
            <w:r>
              <w:rPr>
                <w:sz w:val="16"/>
              </w:rPr>
            </w:r>
            <w:r>
              <w:rPr>
                <w:b w:val="0"/>
                <w:sz w:val="16"/>
              </w:rPr>
              <w:t>Match score badge</w:t>
            </w:r>
          </w:p>
        </w:tc>
        <w:tc>
          <w:tcPr>
            <w:tcW w:type="dxa" w:w="7128"/>
            <w:vAlign w:val="top"/>
          </w:tcPr>
          <w:p>
            <w:pPr>
              <w:spacing w:after="0"/>
            </w:pPr>
            <w:r>
              <w:rPr>
                <w:sz w:val="16"/>
              </w:rPr>
            </w:r>
            <w:r>
              <w:rPr>
                <w:b w:val="0"/>
                <w:sz w:val="16"/>
              </w:rPr>
              <w:t>Numeric score, label such as Strong/Possible/Weak, tooltip with scoring factors.</w:t>
            </w:r>
          </w:p>
        </w:tc>
      </w:tr>
      <w:tr>
        <w:tc>
          <w:tcPr>
            <w:tcW w:type="dxa" w:w="2376"/>
            <w:vAlign w:val="top"/>
          </w:tcPr>
          <w:p>
            <w:pPr>
              <w:spacing w:after="0"/>
            </w:pPr>
            <w:r>
              <w:rPr>
                <w:sz w:val="16"/>
              </w:rPr>
            </w:r>
            <w:r>
              <w:rPr>
                <w:b w:val="0"/>
                <w:sz w:val="16"/>
              </w:rPr>
              <w:t>Source evidence panel</w:t>
            </w:r>
          </w:p>
        </w:tc>
        <w:tc>
          <w:tcPr>
            <w:tcW w:type="dxa" w:w="7128"/>
            <w:vAlign w:val="top"/>
          </w:tcPr>
          <w:p>
            <w:pPr>
              <w:spacing w:after="0"/>
            </w:pPr>
            <w:r>
              <w:rPr>
                <w:sz w:val="16"/>
              </w:rPr>
            </w:r>
            <w:r>
              <w:rPr>
                <w:b w:val="0"/>
                <w:sz w:val="16"/>
              </w:rPr>
              <w:t>Official URL, source tier, raw record ID, last fetched, extraction confidence, field evidence snippets.</w:t>
            </w:r>
          </w:p>
        </w:tc>
      </w:tr>
      <w:tr>
        <w:tc>
          <w:tcPr>
            <w:tcW w:type="dxa" w:w="2376"/>
            <w:vAlign w:val="top"/>
          </w:tcPr>
          <w:p>
            <w:pPr>
              <w:spacing w:after="0"/>
            </w:pPr>
            <w:r>
              <w:rPr>
                <w:sz w:val="16"/>
              </w:rPr>
            </w:r>
            <w:r>
              <w:rPr>
                <w:b w:val="0"/>
                <w:sz w:val="16"/>
              </w:rPr>
              <w:t>Pull status indicator</w:t>
            </w:r>
          </w:p>
        </w:tc>
        <w:tc>
          <w:tcPr>
            <w:tcW w:type="dxa" w:w="7128"/>
            <w:vAlign w:val="top"/>
          </w:tcPr>
          <w:p>
            <w:pPr>
              <w:spacing w:after="0"/>
            </w:pPr>
            <w:r>
              <w:rPr>
                <w:sz w:val="16"/>
              </w:rPr>
            </w:r>
            <w:r>
              <w:rPr>
                <w:b w:val="0"/>
                <w:sz w:val="16"/>
              </w:rPr>
              <w:t>Queued/running/complete/partial/failed, source count, last refresh, cached-results note.</w:t>
            </w:r>
          </w:p>
        </w:tc>
      </w:tr>
      <w:tr>
        <w:tc>
          <w:tcPr>
            <w:tcW w:type="dxa" w:w="2376"/>
            <w:vAlign w:val="top"/>
          </w:tcPr>
          <w:p>
            <w:pPr>
              <w:spacing w:after="0"/>
            </w:pPr>
            <w:r>
              <w:rPr>
                <w:sz w:val="16"/>
              </w:rPr>
            </w:r>
            <w:r>
              <w:rPr>
                <w:b w:val="0"/>
                <w:sz w:val="16"/>
              </w:rPr>
              <w:t>Deadline indicator</w:t>
            </w:r>
          </w:p>
        </w:tc>
        <w:tc>
          <w:tcPr>
            <w:tcW w:type="dxa" w:w="7128"/>
            <w:vAlign w:val="top"/>
          </w:tcPr>
          <w:p>
            <w:pPr>
              <w:spacing w:after="0"/>
            </w:pPr>
            <w:r>
              <w:rPr>
                <w:sz w:val="16"/>
              </w:rPr>
            </w:r>
            <w:r>
              <w:rPr>
                <w:b w:val="0"/>
                <w:sz w:val="16"/>
              </w:rPr>
              <w:t>Days remaining, deadline date/time zone, risk color state, closed/rolling/recurring label.</w:t>
            </w:r>
          </w:p>
        </w:tc>
      </w:tr>
      <w:tr>
        <w:tc>
          <w:tcPr>
            <w:tcW w:type="dxa" w:w="2376"/>
            <w:vAlign w:val="top"/>
          </w:tcPr>
          <w:p>
            <w:pPr>
              <w:spacing w:after="0"/>
            </w:pPr>
            <w:r>
              <w:rPr>
                <w:sz w:val="16"/>
              </w:rPr>
            </w:r>
            <w:r>
              <w:rPr>
                <w:b w:val="0"/>
                <w:sz w:val="16"/>
              </w:rPr>
              <w:t>Filter drawer</w:t>
            </w:r>
          </w:p>
        </w:tc>
        <w:tc>
          <w:tcPr>
            <w:tcW w:type="dxa" w:w="7128"/>
            <w:vAlign w:val="top"/>
          </w:tcPr>
          <w:p>
            <w:pPr>
              <w:spacing w:after="0"/>
            </w:pPr>
            <w:r>
              <w:rPr>
                <w:sz w:val="16"/>
              </w:rPr>
            </w:r>
            <w:r>
              <w:rPr>
                <w:b w:val="0"/>
                <w:sz w:val="16"/>
              </w:rPr>
              <w:t>Keyword, source, funder type, topic, location, applicant type, amount, deadline, opportunity type, application access.</w:t>
            </w:r>
          </w:p>
        </w:tc>
      </w:tr>
      <w:tr>
        <w:tc>
          <w:tcPr>
            <w:tcW w:type="dxa" w:w="2376"/>
            <w:vAlign w:val="top"/>
          </w:tcPr>
          <w:p>
            <w:pPr>
              <w:spacing w:after="0"/>
            </w:pPr>
            <w:r>
              <w:rPr>
                <w:sz w:val="16"/>
              </w:rPr>
            </w:r>
            <w:r>
              <w:rPr>
                <w:b w:val="0"/>
                <w:sz w:val="16"/>
              </w:rPr>
              <w:t>Application status stepper</w:t>
            </w:r>
          </w:p>
        </w:tc>
        <w:tc>
          <w:tcPr>
            <w:tcW w:type="dxa" w:w="7128"/>
            <w:vAlign w:val="top"/>
          </w:tcPr>
          <w:p>
            <w:pPr>
              <w:spacing w:after="0"/>
            </w:pPr>
            <w:r>
              <w:rPr>
                <w:sz w:val="16"/>
              </w:rPr>
            </w:r>
            <w:r>
              <w:rPr>
                <w:b w:val="0"/>
                <w:sz w:val="16"/>
              </w:rPr>
              <w:t>Saved, reviewing, eligible, drafting, submitted, awarded, rejected, closed.</w:t>
            </w:r>
          </w:p>
        </w:tc>
      </w:tr>
      <w:tr>
        <w:tc>
          <w:tcPr>
            <w:tcW w:type="dxa" w:w="2376"/>
            <w:vAlign w:val="top"/>
          </w:tcPr>
          <w:p>
            <w:pPr>
              <w:spacing w:after="0"/>
            </w:pPr>
            <w:r>
              <w:rPr>
                <w:sz w:val="16"/>
              </w:rPr>
            </w:r>
            <w:r>
              <w:rPr>
                <w:b w:val="0"/>
                <w:sz w:val="16"/>
              </w:rPr>
              <w:t>Confidence badge</w:t>
            </w:r>
          </w:p>
        </w:tc>
        <w:tc>
          <w:tcPr>
            <w:tcW w:type="dxa" w:w="7128"/>
            <w:vAlign w:val="top"/>
          </w:tcPr>
          <w:p>
            <w:pPr>
              <w:spacing w:after="0"/>
            </w:pPr>
            <w:r>
              <w:rPr>
                <w:sz w:val="16"/>
              </w:rPr>
            </w:r>
            <w:r>
              <w:rPr>
                <w:b w:val="0"/>
                <w:sz w:val="16"/>
              </w:rPr>
              <w:t>High/medium/low extraction confidence and reason for review if low.</w:t>
            </w:r>
          </w:p>
        </w:tc>
      </w:tr>
      <w:tr>
        <w:tc>
          <w:tcPr>
            <w:tcW w:type="dxa" w:w="2376"/>
            <w:vAlign w:val="top"/>
          </w:tcPr>
          <w:p>
            <w:pPr>
              <w:spacing w:after="0"/>
            </w:pPr>
            <w:r>
              <w:rPr>
                <w:sz w:val="16"/>
              </w:rPr>
            </w:r>
            <w:r>
              <w:rPr>
                <w:b w:val="0"/>
                <w:sz w:val="16"/>
              </w:rPr>
              <w:t>Empty state</w:t>
            </w:r>
          </w:p>
        </w:tc>
        <w:tc>
          <w:tcPr>
            <w:tcW w:type="dxa" w:w="7128"/>
            <w:vAlign w:val="top"/>
          </w:tcPr>
          <w:p>
            <w:pPr>
              <w:spacing w:after="0"/>
            </w:pPr>
            <w:r>
              <w:rPr>
                <w:sz w:val="16"/>
              </w:rPr>
            </w:r>
            <w:r>
              <w:rPr>
                <w:b w:val="0"/>
                <w:sz w:val="16"/>
              </w:rPr>
              <w:t>Explains why no results appear and suggests profile updates, broader filters, or targeted pull.</w:t>
            </w:r>
          </w:p>
        </w:tc>
      </w:tr>
    </w:tbl>
    <w:p/>
    <w:p>
      <w:pPr>
        <w:pStyle w:val="Heading2"/>
      </w:pPr>
      <w:r>
        <w:rPr>
          <w:rFonts w:ascii="Arial" w:hAnsi="Arial"/>
        </w:rPr>
        <w:t>Suggested visual direction</w:t>
      </w:r>
    </w:p>
    <w:p>
      <w:pPr>
        <w:pStyle w:val="ListBullet"/>
      </w:pPr>
      <w:r>
        <w:rPr>
          <w:rFonts w:ascii="Arial" w:hAnsi="Arial"/>
        </w:rPr>
        <w:t>Use a clean civic-tech/research-product visual style: strong typography, generous spacing, high contrast, and structured cards.</w:t>
      </w:r>
    </w:p>
    <w:p>
      <w:pPr>
        <w:pStyle w:val="ListBullet"/>
      </w:pPr>
      <w:r>
        <w:rPr>
          <w:rFonts w:ascii="Arial" w:hAnsi="Arial"/>
        </w:rPr>
        <w:t>Use color sparingly for status and urgency: deadline risk, match quality, source confidence, and review state.</w:t>
      </w:r>
    </w:p>
    <w:p>
      <w:pPr>
        <w:pStyle w:val="ListBullet"/>
      </w:pPr>
      <w:r>
        <w:rPr>
          <w:rFonts w:ascii="Arial" w:hAnsi="Arial"/>
        </w:rPr>
        <w:t>Make source trust visible but not overwhelming. Use badges and expandable evidence panels.</w:t>
      </w:r>
    </w:p>
    <w:p>
      <w:pPr>
        <w:pStyle w:val="ListBullet"/>
      </w:pPr>
      <w:r>
        <w:rPr>
          <w:rFonts w:ascii="Arial" w:hAnsi="Arial"/>
        </w:rPr>
        <w:t>Desktop-first for search/admin workflows, but fully responsive for user dashboard, alerts, and grant detail pages.</w:t>
      </w:r>
    </w:p>
    <w:p>
      <w:pPr>
        <w:pStyle w:val="ListBullet"/>
      </w:pPr>
      <w:r>
        <w:rPr>
          <w:rFonts w:ascii="Arial" w:hAnsi="Arial"/>
        </w:rPr>
        <w:t>Use progressive disclosure: show key facts on cards, then deeper eligibility and source evidence on detail pages.</w:t>
      </w:r>
    </w:p>
    <w:p>
      <w:pPr>
        <w:pStyle w:val="Heading1"/>
      </w:pPr>
      <w:r>
        <w:rPr>
          <w:rFonts w:ascii="Arial" w:hAnsi="Arial"/>
        </w:rPr>
        <w:t>16. Admin Console Requirements</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592"/>
            <w:shd w:fill="D9EAF7"/>
            <w:vAlign w:val="top"/>
          </w:tcPr>
          <w:p>
            <w:pPr>
              <w:spacing w:after="0"/>
            </w:pPr>
            <w:r>
              <w:rPr>
                <w:sz w:val="16"/>
              </w:rPr>
            </w:r>
            <w:r>
              <w:rPr>
                <w:b/>
                <w:color w:val="1C4967"/>
                <w:sz w:val="16"/>
              </w:rPr>
              <w:t>Admin module</w:t>
            </w:r>
          </w:p>
        </w:tc>
        <w:tc>
          <w:tcPr>
            <w:tcW w:type="dxa" w:w="6912"/>
            <w:shd w:fill="D9EAF7"/>
            <w:vAlign w:val="top"/>
          </w:tcPr>
          <w:p>
            <w:pPr>
              <w:spacing w:after="0"/>
            </w:pPr>
            <w:r>
              <w:rPr>
                <w:sz w:val="16"/>
              </w:rPr>
            </w:r>
            <w:r>
              <w:rPr>
                <w:b/>
                <w:color w:val="1C4967"/>
                <w:sz w:val="16"/>
              </w:rPr>
              <w:t>Capabilities</w:t>
            </w:r>
          </w:p>
        </w:tc>
      </w:tr>
      <w:tr>
        <w:tc>
          <w:tcPr>
            <w:tcW w:type="dxa" w:w="2592"/>
            <w:vAlign w:val="top"/>
          </w:tcPr>
          <w:p>
            <w:pPr>
              <w:spacing w:after="0"/>
            </w:pPr>
            <w:r>
              <w:rPr>
                <w:sz w:val="16"/>
              </w:rPr>
            </w:r>
            <w:r>
              <w:rPr>
                <w:b w:val="0"/>
                <w:sz w:val="16"/>
              </w:rPr>
              <w:t>Source registry</w:t>
            </w:r>
          </w:p>
        </w:tc>
        <w:tc>
          <w:tcPr>
            <w:tcW w:type="dxa" w:w="6912"/>
            <w:vAlign w:val="top"/>
          </w:tcPr>
          <w:p>
            <w:pPr>
              <w:spacing w:after="0"/>
            </w:pPr>
            <w:r>
              <w:rPr>
                <w:sz w:val="16"/>
              </w:rPr>
            </w:r>
            <w:r>
              <w:rPr>
                <w:b w:val="0"/>
                <w:sz w:val="16"/>
              </w:rPr>
              <w:t>Add/edit/test sources; set type, URL, credentials, schedule, limits, compliance status, enabled flag.</w:t>
            </w:r>
          </w:p>
        </w:tc>
      </w:tr>
      <w:tr>
        <w:tc>
          <w:tcPr>
            <w:tcW w:type="dxa" w:w="2592"/>
            <w:vAlign w:val="top"/>
          </w:tcPr>
          <w:p>
            <w:pPr>
              <w:spacing w:after="0"/>
            </w:pPr>
            <w:r>
              <w:rPr>
                <w:sz w:val="16"/>
              </w:rPr>
            </w:r>
            <w:r>
              <w:rPr>
                <w:b w:val="0"/>
                <w:sz w:val="16"/>
              </w:rPr>
              <w:t>Pull monitor</w:t>
            </w:r>
          </w:p>
        </w:tc>
        <w:tc>
          <w:tcPr>
            <w:tcW w:type="dxa" w:w="6912"/>
            <w:vAlign w:val="top"/>
          </w:tcPr>
          <w:p>
            <w:pPr>
              <w:spacing w:after="0"/>
            </w:pPr>
            <w:r>
              <w:rPr>
                <w:sz w:val="16"/>
              </w:rPr>
            </w:r>
            <w:r>
              <w:rPr>
                <w:b w:val="0"/>
                <w:sz w:val="16"/>
              </w:rPr>
              <w:t>View scheduled/on-demand/backfill/repair runs, source health, new/updated/failed counts, retries, logs.</w:t>
            </w:r>
          </w:p>
        </w:tc>
      </w:tr>
      <w:tr>
        <w:tc>
          <w:tcPr>
            <w:tcW w:type="dxa" w:w="2592"/>
            <w:vAlign w:val="top"/>
          </w:tcPr>
          <w:p>
            <w:pPr>
              <w:spacing w:after="0"/>
            </w:pPr>
            <w:r>
              <w:rPr>
                <w:sz w:val="16"/>
              </w:rPr>
            </w:r>
            <w:r>
              <w:rPr>
                <w:b w:val="0"/>
                <w:sz w:val="16"/>
              </w:rPr>
              <w:t>Private candidate review</w:t>
            </w:r>
          </w:p>
        </w:tc>
        <w:tc>
          <w:tcPr>
            <w:tcW w:type="dxa" w:w="6912"/>
            <w:vAlign w:val="top"/>
          </w:tcPr>
          <w:p>
            <w:pPr>
              <w:spacing w:after="0"/>
            </w:pPr>
            <w:r>
              <w:rPr>
                <w:sz w:val="16"/>
              </w:rPr>
            </w:r>
            <w:r>
              <w:rPr>
                <w:b w:val="0"/>
                <w:sz w:val="16"/>
              </w:rPr>
              <w:t>Review private opportunities before promotion; edit fields; approve/reject; mark as prospect/active/recurring.</w:t>
            </w:r>
          </w:p>
        </w:tc>
      </w:tr>
      <w:tr>
        <w:tc>
          <w:tcPr>
            <w:tcW w:type="dxa" w:w="2592"/>
            <w:vAlign w:val="top"/>
          </w:tcPr>
          <w:p>
            <w:pPr>
              <w:spacing w:after="0"/>
            </w:pPr>
            <w:r>
              <w:rPr>
                <w:sz w:val="16"/>
              </w:rPr>
            </w:r>
            <w:r>
              <w:rPr>
                <w:b w:val="0"/>
                <w:sz w:val="16"/>
              </w:rPr>
              <w:t>Duplicate review</w:t>
            </w:r>
          </w:p>
        </w:tc>
        <w:tc>
          <w:tcPr>
            <w:tcW w:type="dxa" w:w="6912"/>
            <w:vAlign w:val="top"/>
          </w:tcPr>
          <w:p>
            <w:pPr>
              <w:spacing w:after="0"/>
            </w:pPr>
            <w:r>
              <w:rPr>
                <w:sz w:val="16"/>
              </w:rPr>
            </w:r>
            <w:r>
              <w:rPr>
                <w:b w:val="0"/>
                <w:sz w:val="16"/>
              </w:rPr>
              <w:t>Review fuzzy duplicates, merge records, preserve source links, choose authoritative fields.</w:t>
            </w:r>
          </w:p>
        </w:tc>
      </w:tr>
      <w:tr>
        <w:tc>
          <w:tcPr>
            <w:tcW w:type="dxa" w:w="2592"/>
            <w:vAlign w:val="top"/>
          </w:tcPr>
          <w:p>
            <w:pPr>
              <w:spacing w:after="0"/>
            </w:pPr>
            <w:r>
              <w:rPr>
                <w:sz w:val="16"/>
              </w:rPr>
            </w:r>
            <w:r>
              <w:rPr>
                <w:b w:val="0"/>
                <w:sz w:val="16"/>
              </w:rPr>
              <w:t>Compliance audit</w:t>
            </w:r>
          </w:p>
        </w:tc>
        <w:tc>
          <w:tcPr>
            <w:tcW w:type="dxa" w:w="6912"/>
            <w:vAlign w:val="top"/>
          </w:tcPr>
          <w:p>
            <w:pPr>
              <w:spacing w:after="0"/>
            </w:pPr>
            <w:r>
              <w:rPr>
                <w:sz w:val="16"/>
              </w:rPr>
            </w:r>
            <w:r>
              <w:rPr>
                <w:b w:val="0"/>
                <w:sz w:val="16"/>
              </w:rPr>
              <w:t>Track robots.txt, terms review, license requirements, display permissions, next review date.</w:t>
            </w:r>
          </w:p>
        </w:tc>
      </w:tr>
      <w:tr>
        <w:tc>
          <w:tcPr>
            <w:tcW w:type="dxa" w:w="2592"/>
            <w:vAlign w:val="top"/>
          </w:tcPr>
          <w:p>
            <w:pPr>
              <w:spacing w:after="0"/>
            </w:pPr>
            <w:r>
              <w:rPr>
                <w:sz w:val="16"/>
              </w:rPr>
            </w:r>
            <w:r>
              <w:rPr>
                <w:b w:val="0"/>
                <w:sz w:val="16"/>
              </w:rPr>
              <w:t>Classifier management</w:t>
            </w:r>
          </w:p>
        </w:tc>
        <w:tc>
          <w:tcPr>
            <w:tcW w:type="dxa" w:w="6912"/>
            <w:vAlign w:val="top"/>
          </w:tcPr>
          <w:p>
            <w:pPr>
              <w:spacing w:after="0"/>
            </w:pPr>
            <w:r>
              <w:rPr>
                <w:sz w:val="16"/>
              </w:rPr>
            </w:r>
            <w:r>
              <w:rPr>
                <w:b w:val="0"/>
                <w:sz w:val="16"/>
              </w:rPr>
              <w:t>View topic scores, threshold settings, false positive/false negative feedback.</w:t>
            </w:r>
          </w:p>
        </w:tc>
      </w:tr>
      <w:tr>
        <w:tc>
          <w:tcPr>
            <w:tcW w:type="dxa" w:w="2592"/>
            <w:vAlign w:val="top"/>
          </w:tcPr>
          <w:p>
            <w:pPr>
              <w:spacing w:after="0"/>
            </w:pPr>
            <w:r>
              <w:rPr>
                <w:sz w:val="16"/>
              </w:rPr>
            </w:r>
            <w:r>
              <w:rPr>
                <w:b w:val="0"/>
                <w:sz w:val="16"/>
              </w:rPr>
              <w:t>User support</w:t>
            </w:r>
          </w:p>
        </w:tc>
        <w:tc>
          <w:tcPr>
            <w:tcW w:type="dxa" w:w="6912"/>
            <w:vAlign w:val="top"/>
          </w:tcPr>
          <w:p>
            <w:pPr>
              <w:spacing w:after="0"/>
            </w:pPr>
            <w:r>
              <w:rPr>
                <w:sz w:val="16"/>
              </w:rPr>
            </w:r>
            <w:r>
              <w:rPr>
                <w:b w:val="0"/>
                <w:sz w:val="16"/>
              </w:rPr>
              <w:t>View account/profile status, troubleshoot alerts, resend onboarding, impersonation optional with audit.</w:t>
            </w:r>
          </w:p>
        </w:tc>
      </w:tr>
      <w:tr>
        <w:tc>
          <w:tcPr>
            <w:tcW w:type="dxa" w:w="2592"/>
            <w:vAlign w:val="top"/>
          </w:tcPr>
          <w:p>
            <w:pPr>
              <w:spacing w:after="0"/>
            </w:pPr>
            <w:r>
              <w:rPr>
                <w:sz w:val="16"/>
              </w:rPr>
            </w:r>
            <w:r>
              <w:rPr>
                <w:b w:val="0"/>
                <w:sz w:val="16"/>
              </w:rPr>
              <w:t>Data quality dashboard</w:t>
            </w:r>
          </w:p>
        </w:tc>
        <w:tc>
          <w:tcPr>
            <w:tcW w:type="dxa" w:w="6912"/>
            <w:vAlign w:val="top"/>
          </w:tcPr>
          <w:p>
            <w:pPr>
              <w:spacing w:after="0"/>
            </w:pPr>
            <w:r>
              <w:rPr>
                <w:sz w:val="16"/>
              </w:rPr>
            </w:r>
            <w:r>
              <w:rPr>
                <w:b w:val="0"/>
                <w:sz w:val="16"/>
              </w:rPr>
              <w:t>Completeness by source, missing deadlines, stale records, expired grants, source confidence trends.</w:t>
            </w:r>
          </w:p>
        </w:tc>
      </w:tr>
    </w:tbl>
    <w:p/>
    <w:p>
      <w:pPr>
        <w:pStyle w:val="Heading1"/>
      </w:pPr>
      <w:r>
        <w:rPr>
          <w:rFonts w:ascii="Arial" w:hAnsi="Arial"/>
        </w:rPr>
        <w:t>17. Notifications and User Communication</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160"/>
            <w:shd w:fill="D9EAF7"/>
            <w:vAlign w:val="top"/>
          </w:tcPr>
          <w:p>
            <w:pPr>
              <w:spacing w:after="0"/>
            </w:pPr>
            <w:r>
              <w:rPr>
                <w:sz w:val="16"/>
              </w:rPr>
            </w:r>
            <w:r>
              <w:rPr>
                <w:b/>
                <w:color w:val="1C4967"/>
                <w:sz w:val="16"/>
              </w:rPr>
              <w:t>Notification type</w:t>
            </w:r>
          </w:p>
        </w:tc>
        <w:tc>
          <w:tcPr>
            <w:tcW w:type="dxa" w:w="4464"/>
            <w:shd w:fill="D9EAF7"/>
            <w:vAlign w:val="top"/>
          </w:tcPr>
          <w:p>
            <w:pPr>
              <w:spacing w:after="0"/>
            </w:pPr>
            <w:r>
              <w:rPr>
                <w:sz w:val="16"/>
              </w:rPr>
            </w:r>
            <w:r>
              <w:rPr>
                <w:b/>
                <w:color w:val="1C4967"/>
                <w:sz w:val="16"/>
              </w:rPr>
              <w:t>Trigger</w:t>
            </w:r>
          </w:p>
        </w:tc>
        <w:tc>
          <w:tcPr>
            <w:tcW w:type="dxa" w:w="2880"/>
            <w:shd w:fill="D9EAF7"/>
            <w:vAlign w:val="top"/>
          </w:tcPr>
          <w:p>
            <w:pPr>
              <w:spacing w:after="0"/>
            </w:pPr>
            <w:r>
              <w:rPr>
                <w:sz w:val="16"/>
              </w:rPr>
            </w:r>
            <w:r>
              <w:rPr>
                <w:b/>
                <w:color w:val="1C4967"/>
                <w:sz w:val="16"/>
              </w:rPr>
              <w:t>Default timing</w:t>
            </w:r>
          </w:p>
        </w:tc>
      </w:tr>
      <w:tr>
        <w:tc>
          <w:tcPr>
            <w:tcW w:type="dxa" w:w="2160"/>
            <w:vAlign w:val="top"/>
          </w:tcPr>
          <w:p>
            <w:pPr>
              <w:spacing w:after="0"/>
            </w:pPr>
            <w:r>
              <w:rPr>
                <w:sz w:val="16"/>
              </w:rPr>
            </w:r>
            <w:r>
              <w:rPr>
                <w:b w:val="0"/>
                <w:sz w:val="16"/>
              </w:rPr>
              <w:t>New strong match</w:t>
            </w:r>
          </w:p>
        </w:tc>
        <w:tc>
          <w:tcPr>
            <w:tcW w:type="dxa" w:w="4464"/>
            <w:vAlign w:val="top"/>
          </w:tcPr>
          <w:p>
            <w:pPr>
              <w:spacing w:after="0"/>
            </w:pPr>
            <w:r>
              <w:rPr>
                <w:sz w:val="16"/>
              </w:rPr>
            </w:r>
            <w:r>
              <w:rPr>
                <w:b w:val="0"/>
                <w:sz w:val="16"/>
              </w:rPr>
              <w:t>New grant or private opportunity meets user threshold.</w:t>
            </w:r>
          </w:p>
        </w:tc>
        <w:tc>
          <w:tcPr>
            <w:tcW w:type="dxa" w:w="2880"/>
            <w:vAlign w:val="top"/>
          </w:tcPr>
          <w:p>
            <w:pPr>
              <w:spacing w:after="0"/>
            </w:pPr>
            <w:r>
              <w:rPr>
                <w:sz w:val="16"/>
              </w:rPr>
            </w:r>
            <w:r>
              <w:rPr>
                <w:b w:val="0"/>
                <w:sz w:val="16"/>
              </w:rPr>
              <w:t>Immediate or daily digest based on preference.</w:t>
            </w:r>
          </w:p>
        </w:tc>
      </w:tr>
      <w:tr>
        <w:tc>
          <w:tcPr>
            <w:tcW w:type="dxa" w:w="2160"/>
            <w:vAlign w:val="top"/>
          </w:tcPr>
          <w:p>
            <w:pPr>
              <w:spacing w:after="0"/>
            </w:pPr>
            <w:r>
              <w:rPr>
                <w:sz w:val="16"/>
              </w:rPr>
            </w:r>
            <w:r>
              <w:rPr>
                <w:b w:val="0"/>
                <w:sz w:val="16"/>
              </w:rPr>
              <w:t>New possible match</w:t>
            </w:r>
          </w:p>
        </w:tc>
        <w:tc>
          <w:tcPr>
            <w:tcW w:type="dxa" w:w="4464"/>
            <w:vAlign w:val="top"/>
          </w:tcPr>
          <w:p>
            <w:pPr>
              <w:spacing w:after="0"/>
            </w:pPr>
            <w:r>
              <w:rPr>
                <w:sz w:val="16"/>
              </w:rPr>
            </w:r>
            <w:r>
              <w:rPr>
                <w:b w:val="0"/>
                <w:sz w:val="16"/>
              </w:rPr>
              <w:t>Match score falls into possible range.</w:t>
            </w:r>
          </w:p>
        </w:tc>
        <w:tc>
          <w:tcPr>
            <w:tcW w:type="dxa" w:w="2880"/>
            <w:vAlign w:val="top"/>
          </w:tcPr>
          <w:p>
            <w:pPr>
              <w:spacing w:after="0"/>
            </w:pPr>
            <w:r>
              <w:rPr>
                <w:sz w:val="16"/>
              </w:rPr>
            </w:r>
            <w:r>
              <w:rPr>
                <w:b w:val="0"/>
                <w:sz w:val="16"/>
              </w:rPr>
              <w:t>Daily or weekly digest.</w:t>
            </w:r>
          </w:p>
        </w:tc>
      </w:tr>
      <w:tr>
        <w:tc>
          <w:tcPr>
            <w:tcW w:type="dxa" w:w="2160"/>
            <w:vAlign w:val="top"/>
          </w:tcPr>
          <w:p>
            <w:pPr>
              <w:spacing w:after="0"/>
            </w:pPr>
            <w:r>
              <w:rPr>
                <w:sz w:val="16"/>
              </w:rPr>
            </w:r>
            <w:r>
              <w:rPr>
                <w:b w:val="0"/>
                <w:sz w:val="16"/>
              </w:rPr>
              <w:t>Deadline reminder</w:t>
            </w:r>
          </w:p>
        </w:tc>
        <w:tc>
          <w:tcPr>
            <w:tcW w:type="dxa" w:w="4464"/>
            <w:vAlign w:val="top"/>
          </w:tcPr>
          <w:p>
            <w:pPr>
              <w:spacing w:after="0"/>
            </w:pPr>
            <w:r>
              <w:rPr>
                <w:sz w:val="16"/>
              </w:rPr>
            </w:r>
            <w:r>
              <w:rPr>
                <w:b w:val="0"/>
                <w:sz w:val="16"/>
              </w:rPr>
              <w:t>Saved or tracked grant deadline approaches.</w:t>
            </w:r>
          </w:p>
        </w:tc>
        <w:tc>
          <w:tcPr>
            <w:tcW w:type="dxa" w:w="2880"/>
            <w:vAlign w:val="top"/>
          </w:tcPr>
          <w:p>
            <w:pPr>
              <w:spacing w:after="0"/>
            </w:pPr>
            <w:r>
              <w:rPr>
                <w:sz w:val="16"/>
              </w:rPr>
            </w:r>
            <w:r>
              <w:rPr>
                <w:b w:val="0"/>
                <w:sz w:val="16"/>
              </w:rPr>
              <w:t>30, 14, 7, 3, and 1 day before deadline.</w:t>
            </w:r>
          </w:p>
        </w:tc>
      </w:tr>
      <w:tr>
        <w:tc>
          <w:tcPr>
            <w:tcW w:type="dxa" w:w="2160"/>
            <w:vAlign w:val="top"/>
          </w:tcPr>
          <w:p>
            <w:pPr>
              <w:spacing w:after="0"/>
            </w:pPr>
            <w:r>
              <w:rPr>
                <w:sz w:val="16"/>
              </w:rPr>
            </w:r>
            <w:r>
              <w:rPr>
                <w:b w:val="0"/>
                <w:sz w:val="16"/>
              </w:rPr>
              <w:t>Grant updated</w:t>
            </w:r>
          </w:p>
        </w:tc>
        <w:tc>
          <w:tcPr>
            <w:tcW w:type="dxa" w:w="4464"/>
            <w:vAlign w:val="top"/>
          </w:tcPr>
          <w:p>
            <w:pPr>
              <w:spacing w:after="0"/>
            </w:pPr>
            <w:r>
              <w:rPr>
                <w:sz w:val="16"/>
              </w:rPr>
            </w:r>
            <w:r>
              <w:rPr>
                <w:b w:val="0"/>
                <w:sz w:val="16"/>
              </w:rPr>
              <w:t>Saved grant has deadline, amount, status, eligibility, or apply URL change.</w:t>
            </w:r>
          </w:p>
        </w:tc>
        <w:tc>
          <w:tcPr>
            <w:tcW w:type="dxa" w:w="2880"/>
            <w:vAlign w:val="top"/>
          </w:tcPr>
          <w:p>
            <w:pPr>
              <w:spacing w:after="0"/>
            </w:pPr>
            <w:r>
              <w:rPr>
                <w:sz w:val="16"/>
              </w:rPr>
            </w:r>
            <w:r>
              <w:rPr>
                <w:b w:val="0"/>
                <w:sz w:val="16"/>
              </w:rPr>
              <w:t>Immediate for important fields.</w:t>
            </w:r>
          </w:p>
        </w:tc>
      </w:tr>
      <w:tr>
        <w:tc>
          <w:tcPr>
            <w:tcW w:type="dxa" w:w="2160"/>
            <w:vAlign w:val="top"/>
          </w:tcPr>
          <w:p>
            <w:pPr>
              <w:spacing w:after="0"/>
            </w:pPr>
            <w:r>
              <w:rPr>
                <w:sz w:val="16"/>
              </w:rPr>
            </w:r>
            <w:r>
              <w:rPr>
                <w:b w:val="0"/>
                <w:sz w:val="16"/>
              </w:rPr>
              <w:t>Private source changed</w:t>
            </w:r>
          </w:p>
        </w:tc>
        <w:tc>
          <w:tcPr>
            <w:tcW w:type="dxa" w:w="4464"/>
            <w:vAlign w:val="top"/>
          </w:tcPr>
          <w:p>
            <w:pPr>
              <w:spacing w:after="0"/>
            </w:pPr>
            <w:r>
              <w:rPr>
                <w:sz w:val="16"/>
              </w:rPr>
            </w:r>
            <w:r>
              <w:rPr>
                <w:b w:val="0"/>
                <w:sz w:val="16"/>
              </w:rPr>
              <w:t>Monitored funder page changed and candidate detected.</w:t>
            </w:r>
          </w:p>
        </w:tc>
        <w:tc>
          <w:tcPr>
            <w:tcW w:type="dxa" w:w="2880"/>
            <w:vAlign w:val="top"/>
          </w:tcPr>
          <w:p>
            <w:pPr>
              <w:spacing w:after="0"/>
            </w:pPr>
            <w:r>
              <w:rPr>
                <w:sz w:val="16"/>
              </w:rPr>
            </w:r>
            <w:r>
              <w:rPr>
                <w:b w:val="0"/>
                <w:sz w:val="16"/>
              </w:rPr>
              <w:t>Admin review first if low confidence; user alert if approved.</w:t>
            </w:r>
          </w:p>
        </w:tc>
      </w:tr>
      <w:tr>
        <w:tc>
          <w:tcPr>
            <w:tcW w:type="dxa" w:w="2160"/>
            <w:vAlign w:val="top"/>
          </w:tcPr>
          <w:p>
            <w:pPr>
              <w:spacing w:after="0"/>
            </w:pPr>
            <w:r>
              <w:rPr>
                <w:sz w:val="16"/>
              </w:rPr>
            </w:r>
            <w:r>
              <w:rPr>
                <w:b w:val="0"/>
                <w:sz w:val="16"/>
              </w:rPr>
              <w:t>Pull complete</w:t>
            </w:r>
          </w:p>
        </w:tc>
        <w:tc>
          <w:tcPr>
            <w:tcW w:type="dxa" w:w="4464"/>
            <w:vAlign w:val="top"/>
          </w:tcPr>
          <w:p>
            <w:pPr>
              <w:spacing w:after="0"/>
            </w:pPr>
            <w:r>
              <w:rPr>
                <w:sz w:val="16"/>
              </w:rPr>
            </w:r>
            <w:r>
              <w:rPr>
                <w:b w:val="0"/>
                <w:sz w:val="16"/>
              </w:rPr>
              <w:t>User requested pull finishes.</w:t>
            </w:r>
          </w:p>
        </w:tc>
        <w:tc>
          <w:tcPr>
            <w:tcW w:type="dxa" w:w="2880"/>
            <w:vAlign w:val="top"/>
          </w:tcPr>
          <w:p>
            <w:pPr>
              <w:spacing w:after="0"/>
            </w:pPr>
            <w:r>
              <w:rPr>
                <w:sz w:val="16"/>
              </w:rPr>
            </w:r>
            <w:r>
              <w:rPr>
                <w:b w:val="0"/>
                <w:sz w:val="16"/>
              </w:rPr>
              <w:t>In-app toast and optional email if new matches found.</w:t>
            </w:r>
          </w:p>
        </w:tc>
      </w:tr>
      <w:tr>
        <w:tc>
          <w:tcPr>
            <w:tcW w:type="dxa" w:w="2160"/>
            <w:vAlign w:val="top"/>
          </w:tcPr>
          <w:p>
            <w:pPr>
              <w:spacing w:after="0"/>
            </w:pPr>
            <w:r>
              <w:rPr>
                <w:sz w:val="16"/>
              </w:rPr>
            </w:r>
            <w:r>
              <w:rPr>
                <w:b w:val="0"/>
                <w:sz w:val="16"/>
              </w:rPr>
              <w:t>Weekly digest</w:t>
            </w:r>
          </w:p>
        </w:tc>
        <w:tc>
          <w:tcPr>
            <w:tcW w:type="dxa" w:w="4464"/>
            <w:vAlign w:val="top"/>
          </w:tcPr>
          <w:p>
            <w:pPr>
              <w:spacing w:after="0"/>
            </w:pPr>
            <w:r>
              <w:rPr>
                <w:sz w:val="16"/>
              </w:rPr>
            </w:r>
            <w:r>
              <w:rPr>
                <w:b w:val="0"/>
                <w:sz w:val="16"/>
              </w:rPr>
              <w:t>Summary of new matches, upcoming deadlines, and private prospects.</w:t>
            </w:r>
          </w:p>
        </w:tc>
        <w:tc>
          <w:tcPr>
            <w:tcW w:type="dxa" w:w="2880"/>
            <w:vAlign w:val="top"/>
          </w:tcPr>
          <w:p>
            <w:pPr>
              <w:spacing w:after="0"/>
            </w:pPr>
            <w:r>
              <w:rPr>
                <w:sz w:val="16"/>
              </w:rPr>
            </w:r>
            <w:r>
              <w:rPr>
                <w:b w:val="0"/>
                <w:sz w:val="16"/>
              </w:rPr>
              <w:t>Monday morning by user timezone.</w:t>
            </w:r>
          </w:p>
        </w:tc>
      </w:tr>
      <w:tr>
        <w:tc>
          <w:tcPr>
            <w:tcW w:type="dxa" w:w="2160"/>
            <w:vAlign w:val="top"/>
          </w:tcPr>
          <w:p>
            <w:pPr>
              <w:spacing w:after="0"/>
            </w:pPr>
            <w:r>
              <w:rPr>
                <w:sz w:val="16"/>
              </w:rPr>
            </w:r>
            <w:r>
              <w:rPr>
                <w:b w:val="0"/>
                <w:sz w:val="16"/>
              </w:rPr>
              <w:t>Application task reminder</w:t>
            </w:r>
          </w:p>
        </w:tc>
        <w:tc>
          <w:tcPr>
            <w:tcW w:type="dxa" w:w="4464"/>
            <w:vAlign w:val="top"/>
          </w:tcPr>
          <w:p>
            <w:pPr>
              <w:spacing w:after="0"/>
            </w:pPr>
            <w:r>
              <w:rPr>
                <w:sz w:val="16"/>
              </w:rPr>
            </w:r>
            <w:r>
              <w:rPr>
                <w:b w:val="0"/>
                <w:sz w:val="16"/>
              </w:rPr>
              <w:t>Tracked application task/due date is near.</w:t>
            </w:r>
          </w:p>
        </w:tc>
        <w:tc>
          <w:tcPr>
            <w:tcW w:type="dxa" w:w="2880"/>
            <w:vAlign w:val="top"/>
          </w:tcPr>
          <w:p>
            <w:pPr>
              <w:spacing w:after="0"/>
            </w:pPr>
            <w:r>
              <w:rPr>
                <w:sz w:val="16"/>
              </w:rPr>
            </w:r>
            <w:r>
              <w:rPr>
                <w:b w:val="0"/>
                <w:sz w:val="16"/>
              </w:rPr>
              <w:t>Configurable by user.</w:t>
            </w:r>
          </w:p>
        </w:tc>
      </w:tr>
    </w:tbl>
    <w:p/>
    <w:p>
      <w:pPr>
        <w:pStyle w:val="Heading2"/>
      </w:pPr>
      <w:r>
        <w:rPr>
          <w:rFonts w:ascii="Arial" w:hAnsi="Arial"/>
        </w:rPr>
        <w:t>Notification channels</w:t>
      </w:r>
    </w:p>
    <w:p>
      <w:pPr>
        <w:pStyle w:val="ListBullet"/>
      </w:pPr>
      <w:r>
        <w:rPr>
          <w:rFonts w:ascii="Arial" w:hAnsi="Arial"/>
        </w:rPr>
        <w:t>MVP: in-app notifications and email.</w:t>
      </w:r>
    </w:p>
    <w:p>
      <w:pPr>
        <w:pStyle w:val="ListBullet"/>
      </w:pPr>
      <w:r>
        <w:rPr>
          <w:rFonts w:ascii="Arial" w:hAnsi="Arial"/>
        </w:rPr>
        <w:t>Post-MVP: SMS for premium tiers, Slack/webhook for teams, CRM integration for enterprise users.</w:t>
      </w:r>
    </w:p>
    <w:p>
      <w:pPr>
        <w:pStyle w:val="ListBullet"/>
      </w:pPr>
      <w:r>
        <w:rPr>
          <w:rFonts w:ascii="Arial" w:hAnsi="Arial"/>
        </w:rPr>
        <w:t>Users must be able to control frequency and topic thresholds.</w:t>
      </w:r>
    </w:p>
    <w:p>
      <w:pPr>
        <w:pStyle w:val="Heading1"/>
      </w:pPr>
      <w:r>
        <w:rPr>
          <w:rFonts w:ascii="Arial" w:hAnsi="Arial"/>
        </w:rPr>
        <w:t>18. Security, Privacy, Compliance, and Scraping Rules</w:t>
      </w:r>
    </w:p>
    <w:p>
      <w:pPr>
        <w:pStyle w:val="Heading2"/>
      </w:pPr>
      <w:r>
        <w:rPr>
          <w:rFonts w:ascii="Arial" w:hAnsi="Arial"/>
        </w:rPr>
        <w:t>Security controls</w:t>
      </w:r>
    </w:p>
    <w:p>
      <w:pPr>
        <w:pStyle w:val="ListBullet"/>
      </w:pPr>
      <w:r>
        <w:rPr>
          <w:rFonts w:ascii="Arial" w:hAnsi="Arial"/>
        </w:rPr>
        <w:t>Use role-based access control for user, organization admin, system admin, reviewer, and read-only support roles.</w:t>
      </w:r>
    </w:p>
    <w:p>
      <w:pPr>
        <w:pStyle w:val="ListBullet"/>
      </w:pPr>
      <w:r>
        <w:rPr>
          <w:rFonts w:ascii="Arial" w:hAnsi="Arial"/>
        </w:rPr>
        <w:t>Encrypt API keys, vendor credentials, and sensitive source configuration data.</w:t>
      </w:r>
    </w:p>
    <w:p>
      <w:pPr>
        <w:pStyle w:val="ListBullet"/>
      </w:pPr>
      <w:r>
        <w:rPr>
          <w:rFonts w:ascii="Arial" w:hAnsi="Arial"/>
        </w:rPr>
        <w:t>Encrypt database and object storage at rest; enforce HTTPS in transit.</w:t>
      </w:r>
    </w:p>
    <w:p>
      <w:pPr>
        <w:pStyle w:val="ListBullet"/>
      </w:pPr>
      <w:r>
        <w:rPr>
          <w:rFonts w:ascii="Arial" w:hAnsi="Arial"/>
        </w:rPr>
        <w:t>Use signed URLs for private documents and raw source artifacts.</w:t>
      </w:r>
    </w:p>
    <w:p>
      <w:pPr>
        <w:pStyle w:val="ListBullet"/>
      </w:pPr>
      <w:r>
        <w:rPr>
          <w:rFonts w:ascii="Arial" w:hAnsi="Arial"/>
        </w:rPr>
        <w:t>Keep audit logs for admin actions, source changes, user support actions, pull runs, and data edits.</w:t>
      </w:r>
    </w:p>
    <w:p>
      <w:pPr>
        <w:pStyle w:val="ListBullet"/>
      </w:pPr>
      <w:r>
        <w:rPr>
          <w:rFonts w:ascii="Arial" w:hAnsi="Arial"/>
        </w:rPr>
        <w:t>Validate and sanitize all user input and crawled HTML before display.</w:t>
      </w:r>
    </w:p>
    <w:p>
      <w:pPr>
        <w:pStyle w:val="ListBullet"/>
      </w:pPr>
      <w:r>
        <w:rPr>
          <w:rFonts w:ascii="Arial" w:hAnsi="Arial"/>
        </w:rPr>
        <w:t>Rate-limit API endpoints and on-demand pull requests.</w:t>
      </w:r>
    </w:p>
    <w:p>
      <w:pPr>
        <w:pStyle w:val="ListBullet"/>
      </w:pPr>
      <w:r>
        <w:rPr>
          <w:rFonts w:ascii="Arial" w:hAnsi="Arial"/>
        </w:rPr>
        <w:t>Scan uploaded documents and prevent executable uploads.</w:t>
      </w:r>
    </w:p>
    <w:p>
      <w:pPr>
        <w:pStyle w:val="Heading2"/>
      </w:pPr>
      <w:r>
        <w:rPr>
          <w:rFonts w:ascii="Arial" w:hAnsi="Arial"/>
        </w:rPr>
        <w:t>Crawler compliance rules</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304"/>
            <w:shd w:fill="D9EAF7"/>
            <w:vAlign w:val="top"/>
          </w:tcPr>
          <w:p>
            <w:pPr>
              <w:spacing w:after="0"/>
            </w:pPr>
            <w:r>
              <w:rPr>
                <w:sz w:val="16"/>
              </w:rPr>
            </w:r>
            <w:r>
              <w:rPr>
                <w:b/>
                <w:color w:val="1C4967"/>
                <w:sz w:val="16"/>
              </w:rPr>
              <w:t>Rule</w:t>
            </w:r>
          </w:p>
        </w:tc>
        <w:tc>
          <w:tcPr>
            <w:tcW w:type="dxa" w:w="7200"/>
            <w:shd w:fill="D9EAF7"/>
            <w:vAlign w:val="top"/>
          </w:tcPr>
          <w:p>
            <w:pPr>
              <w:spacing w:after="0"/>
            </w:pPr>
            <w:r>
              <w:rPr>
                <w:sz w:val="16"/>
              </w:rPr>
            </w:r>
            <w:r>
              <w:rPr>
                <w:b/>
                <w:color w:val="1C4967"/>
                <w:sz w:val="16"/>
              </w:rPr>
              <w:t>Implementation requirement</w:t>
            </w:r>
          </w:p>
        </w:tc>
      </w:tr>
      <w:tr>
        <w:tc>
          <w:tcPr>
            <w:tcW w:type="dxa" w:w="2304"/>
            <w:vAlign w:val="top"/>
          </w:tcPr>
          <w:p>
            <w:pPr>
              <w:spacing w:after="0"/>
            </w:pPr>
            <w:r>
              <w:rPr>
                <w:sz w:val="16"/>
              </w:rPr>
            </w:r>
            <w:r>
              <w:rPr>
                <w:b w:val="0"/>
                <w:sz w:val="16"/>
              </w:rPr>
              <w:t>Public or authorized data only</w:t>
            </w:r>
          </w:p>
        </w:tc>
        <w:tc>
          <w:tcPr>
            <w:tcW w:type="dxa" w:w="7200"/>
            <w:vAlign w:val="top"/>
          </w:tcPr>
          <w:p>
            <w:pPr>
              <w:spacing w:after="0"/>
            </w:pPr>
            <w:r>
              <w:rPr>
                <w:sz w:val="16"/>
              </w:rPr>
            </w:r>
            <w:r>
              <w:rPr>
                <w:b w:val="0"/>
                <w:sz w:val="16"/>
              </w:rPr>
              <w:t>Fetch only public pages, public feeds, official APIs, licensed data, or user-provided documents that the user has rights to use.</w:t>
            </w:r>
          </w:p>
        </w:tc>
      </w:tr>
      <w:tr>
        <w:tc>
          <w:tcPr>
            <w:tcW w:type="dxa" w:w="2304"/>
            <w:vAlign w:val="top"/>
          </w:tcPr>
          <w:p>
            <w:pPr>
              <w:spacing w:after="0"/>
            </w:pPr>
            <w:r>
              <w:rPr>
                <w:sz w:val="16"/>
              </w:rPr>
            </w:r>
            <w:r>
              <w:rPr>
                <w:b w:val="0"/>
                <w:sz w:val="16"/>
              </w:rPr>
              <w:t>Robots and terms</w:t>
            </w:r>
          </w:p>
        </w:tc>
        <w:tc>
          <w:tcPr>
            <w:tcW w:type="dxa" w:w="7200"/>
            <w:vAlign w:val="top"/>
          </w:tcPr>
          <w:p>
            <w:pPr>
              <w:spacing w:after="0"/>
            </w:pPr>
            <w:r>
              <w:rPr>
                <w:sz w:val="16"/>
              </w:rPr>
            </w:r>
            <w:r>
              <w:rPr>
                <w:b w:val="0"/>
                <w:sz w:val="16"/>
              </w:rPr>
              <w:t>Check robots.txt and terms before enabling a crawler source. Store the review result and next review date.</w:t>
            </w:r>
          </w:p>
        </w:tc>
      </w:tr>
      <w:tr>
        <w:tc>
          <w:tcPr>
            <w:tcW w:type="dxa" w:w="2304"/>
            <w:vAlign w:val="top"/>
          </w:tcPr>
          <w:p>
            <w:pPr>
              <w:spacing w:after="0"/>
            </w:pPr>
            <w:r>
              <w:rPr>
                <w:sz w:val="16"/>
              </w:rPr>
            </w:r>
            <w:r>
              <w:rPr>
                <w:b w:val="0"/>
                <w:sz w:val="16"/>
              </w:rPr>
              <w:t>No login bypass</w:t>
            </w:r>
          </w:p>
        </w:tc>
        <w:tc>
          <w:tcPr>
            <w:tcW w:type="dxa" w:w="7200"/>
            <w:vAlign w:val="top"/>
          </w:tcPr>
          <w:p>
            <w:pPr>
              <w:spacing w:after="0"/>
            </w:pPr>
            <w:r>
              <w:rPr>
                <w:sz w:val="16"/>
              </w:rPr>
            </w:r>
            <w:r>
              <w:rPr>
                <w:b w:val="0"/>
                <w:sz w:val="16"/>
              </w:rPr>
              <w:t>Do not scrape behind login, paywall, or access controls unless a license/contract/API explicitly permits it.</w:t>
            </w:r>
          </w:p>
        </w:tc>
      </w:tr>
      <w:tr>
        <w:tc>
          <w:tcPr>
            <w:tcW w:type="dxa" w:w="2304"/>
            <w:vAlign w:val="top"/>
          </w:tcPr>
          <w:p>
            <w:pPr>
              <w:spacing w:after="0"/>
            </w:pPr>
            <w:r>
              <w:rPr>
                <w:sz w:val="16"/>
              </w:rPr>
            </w:r>
            <w:r>
              <w:rPr>
                <w:b w:val="0"/>
                <w:sz w:val="16"/>
              </w:rPr>
              <w:t>Rate limits</w:t>
            </w:r>
          </w:p>
        </w:tc>
        <w:tc>
          <w:tcPr>
            <w:tcW w:type="dxa" w:w="7200"/>
            <w:vAlign w:val="top"/>
          </w:tcPr>
          <w:p>
            <w:pPr>
              <w:spacing w:after="0"/>
            </w:pPr>
            <w:r>
              <w:rPr>
                <w:sz w:val="16"/>
              </w:rPr>
            </w:r>
            <w:r>
              <w:rPr>
                <w:b w:val="0"/>
                <w:sz w:val="16"/>
              </w:rPr>
              <w:t>Enforce per-source rate limits, backoff, and crawl windows. Default private funder rate should be low.</w:t>
            </w:r>
          </w:p>
        </w:tc>
      </w:tr>
      <w:tr>
        <w:tc>
          <w:tcPr>
            <w:tcW w:type="dxa" w:w="2304"/>
            <w:vAlign w:val="top"/>
          </w:tcPr>
          <w:p>
            <w:pPr>
              <w:spacing w:after="0"/>
            </w:pPr>
            <w:r>
              <w:rPr>
                <w:sz w:val="16"/>
              </w:rPr>
            </w:r>
            <w:r>
              <w:rPr>
                <w:b w:val="0"/>
                <w:sz w:val="16"/>
              </w:rPr>
              <w:t>Display boundaries</w:t>
            </w:r>
          </w:p>
        </w:tc>
        <w:tc>
          <w:tcPr>
            <w:tcW w:type="dxa" w:w="7200"/>
            <w:vAlign w:val="top"/>
          </w:tcPr>
          <w:p>
            <w:pPr>
              <w:spacing w:after="0"/>
            </w:pPr>
            <w:r>
              <w:rPr>
                <w:sz w:val="16"/>
              </w:rPr>
            </w:r>
            <w:r>
              <w:rPr>
                <w:b w:val="0"/>
                <w:sz w:val="16"/>
              </w:rPr>
              <w:t>If terms allow indexing but not reproduction, display metadata/summary and link to source rather than full text.</w:t>
            </w:r>
          </w:p>
        </w:tc>
      </w:tr>
      <w:tr>
        <w:tc>
          <w:tcPr>
            <w:tcW w:type="dxa" w:w="2304"/>
            <w:vAlign w:val="top"/>
          </w:tcPr>
          <w:p>
            <w:pPr>
              <w:spacing w:after="0"/>
            </w:pPr>
            <w:r>
              <w:rPr>
                <w:sz w:val="16"/>
              </w:rPr>
            </w:r>
            <w:r>
              <w:rPr>
                <w:b w:val="0"/>
                <w:sz w:val="16"/>
              </w:rPr>
              <w:t>Attribution</w:t>
            </w:r>
          </w:p>
        </w:tc>
        <w:tc>
          <w:tcPr>
            <w:tcW w:type="dxa" w:w="7200"/>
            <w:vAlign w:val="top"/>
          </w:tcPr>
          <w:p>
            <w:pPr>
              <w:spacing w:after="0"/>
            </w:pPr>
            <w:r>
              <w:rPr>
                <w:sz w:val="16"/>
              </w:rPr>
            </w:r>
            <w:r>
              <w:rPr>
                <w:b w:val="0"/>
                <w:sz w:val="16"/>
              </w:rPr>
              <w:t>Show official source links and last fetched time on grant details.</w:t>
            </w:r>
          </w:p>
        </w:tc>
      </w:tr>
      <w:tr>
        <w:tc>
          <w:tcPr>
            <w:tcW w:type="dxa" w:w="2304"/>
            <w:vAlign w:val="top"/>
          </w:tcPr>
          <w:p>
            <w:pPr>
              <w:spacing w:after="0"/>
            </w:pPr>
            <w:r>
              <w:rPr>
                <w:sz w:val="16"/>
              </w:rPr>
            </w:r>
            <w:r>
              <w:rPr>
                <w:b w:val="0"/>
                <w:sz w:val="16"/>
              </w:rPr>
              <w:t>Removal process</w:t>
            </w:r>
          </w:p>
        </w:tc>
        <w:tc>
          <w:tcPr>
            <w:tcW w:type="dxa" w:w="7200"/>
            <w:vAlign w:val="top"/>
          </w:tcPr>
          <w:p>
            <w:pPr>
              <w:spacing w:after="0"/>
            </w:pPr>
            <w:r>
              <w:rPr>
                <w:sz w:val="16"/>
              </w:rPr>
            </w:r>
            <w:r>
              <w:rPr>
                <w:b w:val="0"/>
                <w:sz w:val="16"/>
              </w:rPr>
              <w:t>Support source disablement, data takedown, and records suppression if required.</w:t>
            </w:r>
          </w:p>
        </w:tc>
      </w:tr>
      <w:tr>
        <w:tc>
          <w:tcPr>
            <w:tcW w:type="dxa" w:w="2304"/>
            <w:vAlign w:val="top"/>
          </w:tcPr>
          <w:p>
            <w:pPr>
              <w:spacing w:after="0"/>
            </w:pPr>
            <w:r>
              <w:rPr>
                <w:sz w:val="16"/>
              </w:rPr>
            </w:r>
            <w:r>
              <w:rPr>
                <w:b w:val="0"/>
                <w:sz w:val="16"/>
              </w:rPr>
              <w:t>Review cadence</w:t>
            </w:r>
          </w:p>
        </w:tc>
        <w:tc>
          <w:tcPr>
            <w:tcW w:type="dxa" w:w="7200"/>
            <w:vAlign w:val="top"/>
          </w:tcPr>
          <w:p>
            <w:pPr>
              <w:spacing w:after="0"/>
            </w:pPr>
            <w:r>
              <w:rPr>
                <w:sz w:val="16"/>
              </w:rPr>
            </w:r>
            <w:r>
              <w:rPr>
                <w:b w:val="0"/>
                <w:sz w:val="16"/>
              </w:rPr>
              <w:t>Re-review high-value source terms at least every 90 days or when source changes are detected.</w:t>
            </w:r>
          </w:p>
        </w:tc>
      </w:tr>
    </w:tbl>
    <w:p/>
    <w:p>
      <w:pPr>
        <w:pStyle w:val="Heading1"/>
      </w:pPr>
      <w:r>
        <w:rPr>
          <w:rFonts w:ascii="Arial" w:hAnsi="Arial"/>
        </w:rPr>
        <w:t>19. Observability, Analytics, and Operations</w:t>
      </w:r>
    </w:p>
    <w:p>
      <w:pPr>
        <w:pStyle w:val="Heading2"/>
      </w:pPr>
      <w:r>
        <w:rPr>
          <w:rFonts w:ascii="Arial" w:hAnsi="Arial"/>
        </w:rPr>
        <w:t>Source and ingestion metrics</w:t>
      </w:r>
    </w:p>
    <w:p>
      <w:pPr>
        <w:pStyle w:val="ListBullet"/>
      </w:pPr>
      <w:r>
        <w:rPr>
          <w:rFonts w:ascii="Arial" w:hAnsi="Arial"/>
        </w:rPr>
        <w:t>Records found, new, updated, unchanged, failed, and skipped by source.</w:t>
      </w:r>
    </w:p>
    <w:p>
      <w:pPr>
        <w:pStyle w:val="ListBullet"/>
      </w:pPr>
      <w:r>
        <w:rPr>
          <w:rFonts w:ascii="Arial" w:hAnsi="Arial"/>
        </w:rPr>
        <w:t>Pull duration, retry count, API errors, timeout errors, parsing errors, and rate-limit events.</w:t>
      </w:r>
    </w:p>
    <w:p>
      <w:pPr>
        <w:pStyle w:val="ListBullet"/>
      </w:pPr>
      <w:r>
        <w:rPr>
          <w:rFonts w:ascii="Arial" w:hAnsi="Arial"/>
        </w:rPr>
        <w:t>Field completeness: deadline, amount, eligibility, funder, apply URL, source URL.</w:t>
      </w:r>
    </w:p>
    <w:p>
      <w:pPr>
        <w:pStyle w:val="ListBullet"/>
      </w:pPr>
      <w:r>
        <w:rPr>
          <w:rFonts w:ascii="Arial" w:hAnsi="Arial"/>
        </w:rPr>
        <w:t>Duplicate rate, merge rate, review queue volume, and false-positive private candidate rate.</w:t>
      </w:r>
    </w:p>
    <w:p>
      <w:pPr>
        <w:pStyle w:val="ListBullet"/>
      </w:pPr>
      <w:r>
        <w:rPr>
          <w:rFonts w:ascii="Arial" w:hAnsi="Arial"/>
        </w:rPr>
        <w:t>Freshness: age of last successful source pull and age of last indexed update.</w:t>
      </w:r>
    </w:p>
    <w:p>
      <w:pPr>
        <w:pStyle w:val="Heading2"/>
      </w:pPr>
      <w:r>
        <w:rPr>
          <w:rFonts w:ascii="Arial" w:hAnsi="Arial"/>
        </w:rPr>
        <w:t>Product analytics</w:t>
      </w:r>
    </w:p>
    <w:p>
      <w:pPr>
        <w:pStyle w:val="ListBullet"/>
      </w:pPr>
      <w:r>
        <w:rPr>
          <w:rFonts w:ascii="Arial" w:hAnsi="Arial"/>
        </w:rPr>
        <w:t>Activation: profile completion, first search, first saved grant, first application tracker item.</w:t>
      </w:r>
    </w:p>
    <w:p>
      <w:pPr>
        <w:pStyle w:val="ListBullet"/>
      </w:pPr>
      <w:r>
        <w:rPr>
          <w:rFonts w:ascii="Arial" w:hAnsi="Arial"/>
        </w:rPr>
        <w:t>Engagement: searches per user, saved grants, grant detail views, alerts opened, refresh requests.</w:t>
      </w:r>
    </w:p>
    <w:p>
      <w:pPr>
        <w:pStyle w:val="ListBullet"/>
      </w:pPr>
      <w:r>
        <w:rPr>
          <w:rFonts w:ascii="Arial" w:hAnsi="Arial"/>
        </w:rPr>
        <w:t>Quality: match feedback, hide/disqualify actions, saved-match conversion, application-start conversion.</w:t>
      </w:r>
    </w:p>
    <w:p>
      <w:pPr>
        <w:pStyle w:val="ListBullet"/>
      </w:pPr>
      <w:r>
        <w:rPr>
          <w:rFonts w:ascii="Arial" w:hAnsi="Arial"/>
        </w:rPr>
        <w:t>Private intelligence: active private opportunities found, prospects saved, source-change detections, review approvals.</w:t>
      </w:r>
    </w:p>
    <w:p>
      <w:pPr>
        <w:pStyle w:val="ListBullet"/>
      </w:pPr>
      <w:r>
        <w:rPr>
          <w:rFonts w:ascii="Arial" w:hAnsi="Arial"/>
        </w:rPr>
        <w:t>Retention: weekly active users, deadlines tracked, digest engagement.</w:t>
      </w:r>
    </w:p>
    <w:p>
      <w:pPr>
        <w:pStyle w:val="Heading1"/>
      </w:pPr>
      <w:r>
        <w:rPr>
          <w:rFonts w:ascii="Arial" w:hAnsi="Arial"/>
        </w:rPr>
        <w:t>20. Delivery Plan and Roadmap</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232"/>
            <w:shd w:fill="D9EAF7"/>
            <w:vAlign w:val="top"/>
          </w:tcPr>
          <w:p>
            <w:pPr>
              <w:spacing w:after="0"/>
            </w:pPr>
            <w:r>
              <w:rPr>
                <w:sz w:val="15"/>
              </w:rPr>
            </w:r>
            <w:r>
              <w:rPr>
                <w:b/>
                <w:color w:val="1C4967"/>
                <w:sz w:val="15"/>
              </w:rPr>
              <w:t>Phase</w:t>
            </w:r>
          </w:p>
        </w:tc>
        <w:tc>
          <w:tcPr>
            <w:tcW w:type="dxa" w:w="4536"/>
            <w:shd w:fill="D9EAF7"/>
            <w:vAlign w:val="top"/>
          </w:tcPr>
          <w:p>
            <w:pPr>
              <w:spacing w:after="0"/>
            </w:pPr>
            <w:r>
              <w:rPr>
                <w:sz w:val="15"/>
              </w:rPr>
            </w:r>
            <w:r>
              <w:rPr>
                <w:b/>
                <w:color w:val="1C4967"/>
                <w:sz w:val="15"/>
              </w:rPr>
              <w:t>Primary deliverables</w:t>
            </w:r>
          </w:p>
        </w:tc>
        <w:tc>
          <w:tcPr>
            <w:tcW w:type="dxa" w:w="2736"/>
            <w:shd w:fill="D9EAF7"/>
            <w:vAlign w:val="top"/>
          </w:tcPr>
          <w:p>
            <w:pPr>
              <w:spacing w:after="0"/>
            </w:pPr>
            <w:r>
              <w:rPr>
                <w:sz w:val="15"/>
              </w:rPr>
            </w:r>
            <w:r>
              <w:rPr>
                <w:b/>
                <w:color w:val="1C4967"/>
                <w:sz w:val="15"/>
              </w:rPr>
              <w:t>Exit criteria</w:t>
            </w:r>
          </w:p>
        </w:tc>
      </w:tr>
      <w:tr>
        <w:tc>
          <w:tcPr>
            <w:tcW w:type="dxa" w:w="2232"/>
            <w:vAlign w:val="top"/>
          </w:tcPr>
          <w:p>
            <w:pPr>
              <w:spacing w:after="0"/>
            </w:pPr>
            <w:r>
              <w:rPr>
                <w:sz w:val="15"/>
              </w:rPr>
            </w:r>
            <w:r>
              <w:rPr>
                <w:b w:val="0"/>
                <w:sz w:val="15"/>
              </w:rPr>
              <w:t>Phase 0: Design discovery</w:t>
            </w:r>
          </w:p>
        </w:tc>
        <w:tc>
          <w:tcPr>
            <w:tcW w:type="dxa" w:w="4536"/>
            <w:vAlign w:val="top"/>
          </w:tcPr>
          <w:p>
            <w:pPr>
              <w:spacing w:after="0"/>
            </w:pPr>
            <w:r>
              <w:rPr>
                <w:sz w:val="15"/>
              </w:rPr>
            </w:r>
            <w:r>
              <w:rPr>
                <w:b w:val="0"/>
                <w:sz w:val="15"/>
              </w:rPr>
              <w:t>User flows, wireframes, design system direction, source list, architecture validation.</w:t>
            </w:r>
          </w:p>
        </w:tc>
        <w:tc>
          <w:tcPr>
            <w:tcW w:type="dxa" w:w="2736"/>
            <w:vAlign w:val="top"/>
          </w:tcPr>
          <w:p>
            <w:pPr>
              <w:spacing w:after="0"/>
            </w:pPr>
            <w:r>
              <w:rPr>
                <w:sz w:val="15"/>
              </w:rPr>
            </w:r>
            <w:r>
              <w:rPr>
                <w:b w:val="0"/>
                <w:sz w:val="15"/>
              </w:rPr>
              <w:t>Approved clickable prototype and MVP scope.</w:t>
            </w:r>
          </w:p>
        </w:tc>
      </w:tr>
      <w:tr>
        <w:tc>
          <w:tcPr>
            <w:tcW w:type="dxa" w:w="2232"/>
            <w:vAlign w:val="top"/>
          </w:tcPr>
          <w:p>
            <w:pPr>
              <w:spacing w:after="0"/>
            </w:pPr>
            <w:r>
              <w:rPr>
                <w:sz w:val="15"/>
              </w:rPr>
            </w:r>
            <w:r>
              <w:rPr>
                <w:b w:val="0"/>
                <w:sz w:val="15"/>
              </w:rPr>
              <w:t>Phase 1: MVP public grant engine</w:t>
            </w:r>
          </w:p>
        </w:tc>
        <w:tc>
          <w:tcPr>
            <w:tcW w:type="dxa" w:w="4536"/>
            <w:vAlign w:val="top"/>
          </w:tcPr>
          <w:p>
            <w:pPr>
              <w:spacing w:after="0"/>
            </w:pPr>
            <w:r>
              <w:rPr>
                <w:sz w:val="15"/>
              </w:rPr>
            </w:r>
            <w:r>
              <w:rPr>
                <w:b w:val="0"/>
                <w:sz w:val="15"/>
              </w:rPr>
              <w:t>Auth, profiles, Grants.gov connector, scheduler, on-demand pulls, normalized grants, search, save, basic match, alerts.</w:t>
            </w:r>
          </w:p>
        </w:tc>
        <w:tc>
          <w:tcPr>
            <w:tcW w:type="dxa" w:w="2736"/>
            <w:vAlign w:val="top"/>
          </w:tcPr>
          <w:p>
            <w:pPr>
              <w:spacing w:after="0"/>
            </w:pPr>
            <w:r>
              <w:rPr>
                <w:sz w:val="15"/>
              </w:rPr>
            </w:r>
            <w:r>
              <w:rPr>
                <w:b w:val="0"/>
                <w:sz w:val="15"/>
              </w:rPr>
              <w:t>Users can sign up, create profile, find/save grants, and receive fresh pulls.</w:t>
            </w:r>
          </w:p>
        </w:tc>
      </w:tr>
      <w:tr>
        <w:tc>
          <w:tcPr>
            <w:tcW w:type="dxa" w:w="2232"/>
            <w:vAlign w:val="top"/>
          </w:tcPr>
          <w:p>
            <w:pPr>
              <w:spacing w:after="0"/>
            </w:pPr>
            <w:r>
              <w:rPr>
                <w:sz w:val="15"/>
              </w:rPr>
            </w:r>
            <w:r>
              <w:rPr>
                <w:b w:val="0"/>
                <w:sz w:val="15"/>
              </w:rPr>
              <w:t>Phase 2: Private funder intelligence MVP</w:t>
            </w:r>
          </w:p>
        </w:tc>
        <w:tc>
          <w:tcPr>
            <w:tcW w:type="dxa" w:w="4536"/>
            <w:vAlign w:val="top"/>
          </w:tcPr>
          <w:p>
            <w:pPr>
              <w:spacing w:after="0"/>
            </w:pPr>
            <w:r>
              <w:rPr>
                <w:sz w:val="15"/>
              </w:rPr>
            </w:r>
            <w:r>
              <w:rPr>
                <w:b w:val="0"/>
                <w:sz w:val="15"/>
              </w:rPr>
              <w:t>Private source registry, compliance checker, curated AI/tech/social/media/cyber source list, candidate detector, review queue, private finder UI.</w:t>
            </w:r>
          </w:p>
        </w:tc>
        <w:tc>
          <w:tcPr>
            <w:tcW w:type="dxa" w:w="2736"/>
            <w:vAlign w:val="top"/>
          </w:tcPr>
          <w:p>
            <w:pPr>
              <w:spacing w:after="0"/>
            </w:pPr>
            <w:r>
              <w:rPr>
                <w:sz w:val="15"/>
              </w:rPr>
            </w:r>
            <w:r>
              <w:rPr>
                <w:b w:val="0"/>
                <w:sz w:val="15"/>
              </w:rPr>
              <w:t>Users can discover active private opportunities and funder prospects.</w:t>
            </w:r>
          </w:p>
        </w:tc>
      </w:tr>
      <w:tr>
        <w:tc>
          <w:tcPr>
            <w:tcW w:type="dxa" w:w="2232"/>
            <w:vAlign w:val="top"/>
          </w:tcPr>
          <w:p>
            <w:pPr>
              <w:spacing w:after="0"/>
            </w:pPr>
            <w:r>
              <w:rPr>
                <w:sz w:val="15"/>
              </w:rPr>
            </w:r>
            <w:r>
              <w:rPr>
                <w:b w:val="0"/>
                <w:sz w:val="15"/>
              </w:rPr>
              <w:t>Phase 3: Enrichment and quality</w:t>
            </w:r>
          </w:p>
        </w:tc>
        <w:tc>
          <w:tcPr>
            <w:tcW w:type="dxa" w:w="4536"/>
            <w:vAlign w:val="top"/>
          </w:tcPr>
          <w:p>
            <w:pPr>
              <w:spacing w:after="0"/>
            </w:pPr>
            <w:r>
              <w:rPr>
                <w:sz w:val="15"/>
              </w:rPr>
            </w:r>
            <w:r>
              <w:rPr>
                <w:b w:val="0"/>
                <w:sz w:val="15"/>
              </w:rPr>
              <w:t>SAM.gov, USAspending, Candid/Instrumentl if licensed, document parsing, version history, dedupe review.</w:t>
            </w:r>
          </w:p>
        </w:tc>
        <w:tc>
          <w:tcPr>
            <w:tcW w:type="dxa" w:w="2736"/>
            <w:vAlign w:val="top"/>
          </w:tcPr>
          <w:p>
            <w:pPr>
              <w:spacing w:after="0"/>
            </w:pPr>
            <w:r>
              <w:rPr>
                <w:sz w:val="15"/>
              </w:rPr>
            </w:r>
            <w:r>
              <w:rPr>
                <w:b w:val="0"/>
                <w:sz w:val="15"/>
              </w:rPr>
              <w:t>Data quality dashboard shows strong coverage and manageable review workload.</w:t>
            </w:r>
          </w:p>
        </w:tc>
      </w:tr>
      <w:tr>
        <w:tc>
          <w:tcPr>
            <w:tcW w:type="dxa" w:w="2232"/>
            <w:vAlign w:val="top"/>
          </w:tcPr>
          <w:p>
            <w:pPr>
              <w:spacing w:after="0"/>
            </w:pPr>
            <w:r>
              <w:rPr>
                <w:sz w:val="15"/>
              </w:rPr>
            </w:r>
            <w:r>
              <w:rPr>
                <w:b w:val="0"/>
                <w:sz w:val="15"/>
              </w:rPr>
              <w:t>Phase 4: Advanced matching</w:t>
            </w:r>
          </w:p>
        </w:tc>
        <w:tc>
          <w:tcPr>
            <w:tcW w:type="dxa" w:w="4536"/>
            <w:vAlign w:val="top"/>
          </w:tcPr>
          <w:p>
            <w:pPr>
              <w:spacing w:after="0"/>
            </w:pPr>
            <w:r>
              <w:rPr>
                <w:sz w:val="15"/>
              </w:rPr>
            </w:r>
            <w:r>
              <w:rPr>
                <w:b w:val="0"/>
                <w:sz w:val="15"/>
              </w:rPr>
              <w:t>Semantic search, embedding-based ranking, detailed eligibility extraction, profile health recommendations.</w:t>
            </w:r>
          </w:p>
        </w:tc>
        <w:tc>
          <w:tcPr>
            <w:tcW w:type="dxa" w:w="2736"/>
            <w:vAlign w:val="top"/>
          </w:tcPr>
          <w:p>
            <w:pPr>
              <w:spacing w:after="0"/>
            </w:pPr>
            <w:r>
              <w:rPr>
                <w:sz w:val="15"/>
              </w:rPr>
            </w:r>
            <w:r>
              <w:rPr>
                <w:b w:val="0"/>
                <w:sz w:val="15"/>
              </w:rPr>
              <w:t>Match feedback improves save/application conversion.</w:t>
            </w:r>
          </w:p>
        </w:tc>
      </w:tr>
      <w:tr>
        <w:tc>
          <w:tcPr>
            <w:tcW w:type="dxa" w:w="2232"/>
            <w:vAlign w:val="top"/>
          </w:tcPr>
          <w:p>
            <w:pPr>
              <w:spacing w:after="0"/>
            </w:pPr>
            <w:r>
              <w:rPr>
                <w:sz w:val="15"/>
              </w:rPr>
            </w:r>
            <w:r>
              <w:rPr>
                <w:b w:val="0"/>
                <w:sz w:val="15"/>
              </w:rPr>
              <w:t>Phase 5: Team and enterprise</w:t>
            </w:r>
          </w:p>
        </w:tc>
        <w:tc>
          <w:tcPr>
            <w:tcW w:type="dxa" w:w="4536"/>
            <w:vAlign w:val="top"/>
          </w:tcPr>
          <w:p>
            <w:pPr>
              <w:spacing w:after="0"/>
            </w:pPr>
            <w:r>
              <w:rPr>
                <w:sz w:val="15"/>
              </w:rPr>
            </w:r>
            <w:r>
              <w:rPr>
                <w:b w:val="0"/>
                <w:sz w:val="15"/>
              </w:rPr>
              <w:t>Multi-org workspaces, consultant/client mode, exports, integrations, webhooks, Slack alerts, CRM sync.</w:t>
            </w:r>
          </w:p>
        </w:tc>
        <w:tc>
          <w:tcPr>
            <w:tcW w:type="dxa" w:w="2736"/>
            <w:vAlign w:val="top"/>
          </w:tcPr>
          <w:p>
            <w:pPr>
              <w:spacing w:after="0"/>
            </w:pPr>
            <w:r>
              <w:rPr>
                <w:sz w:val="15"/>
              </w:rPr>
            </w:r>
            <w:r>
              <w:rPr>
                <w:b w:val="0"/>
                <w:sz w:val="15"/>
              </w:rPr>
              <w:t>Team accounts can manage grant pipelines at scale.</w:t>
            </w:r>
          </w:p>
        </w:tc>
      </w:tr>
    </w:tbl>
    <w:p/>
    <w:p>
      <w:pPr>
        <w:pStyle w:val="Heading2"/>
      </w:pPr>
      <w:r>
        <w:rPr>
          <w:rFonts w:ascii="Arial" w:hAnsi="Arial"/>
        </w:rPr>
        <w:t>MVP milestone checklist</w:t>
      </w:r>
    </w:p>
    <w:p>
      <w:pPr>
        <w:pStyle w:val="ListBullet"/>
      </w:pPr>
      <w:r>
        <w:rPr>
          <w:rFonts w:ascii="Arial" w:hAnsi="Arial"/>
        </w:rPr>
        <w:t>Design prototype approved for onboarding, dashboard, search, private finder, grant detail, application tracker, and admin source monitor.</w:t>
      </w:r>
    </w:p>
    <w:p>
      <w:pPr>
        <w:pStyle w:val="ListBullet"/>
      </w:pPr>
      <w:r>
        <w:rPr>
          <w:rFonts w:ascii="Arial" w:hAnsi="Arial"/>
        </w:rPr>
        <w:t>Grants.gov connector pulls and updates live opportunities every 12 hours.</w:t>
      </w:r>
    </w:p>
    <w:p>
      <w:pPr>
        <w:pStyle w:val="ListBullet"/>
      </w:pPr>
      <w:r>
        <w:rPr>
          <w:rFonts w:ascii="Arial" w:hAnsi="Arial"/>
        </w:rPr>
        <w:t>On-demand pull endpoint returns cached results immediately and queues stale-source refreshes.</w:t>
      </w:r>
    </w:p>
    <w:p>
      <w:pPr>
        <w:pStyle w:val="ListBullet"/>
      </w:pPr>
      <w:r>
        <w:rPr>
          <w:rFonts w:ascii="Arial" w:hAnsi="Arial"/>
        </w:rPr>
        <w:t>Private funder intelligence can process a curated seed list and route low-confidence candidates to review.</w:t>
      </w:r>
    </w:p>
    <w:p>
      <w:pPr>
        <w:pStyle w:val="ListBullet"/>
      </w:pPr>
      <w:r>
        <w:rPr>
          <w:rFonts w:ascii="Arial" w:hAnsi="Arial"/>
        </w:rPr>
        <w:t>Search results show match scores, source badges, deadline, amount, and save/apply actions.</w:t>
      </w:r>
    </w:p>
    <w:p>
      <w:pPr>
        <w:pStyle w:val="ListBullet"/>
      </w:pPr>
      <w:r>
        <w:rPr>
          <w:rFonts w:ascii="Arial" w:hAnsi="Arial"/>
        </w:rPr>
        <w:t>Grant detail pages include source evidence and warnings.</w:t>
      </w:r>
    </w:p>
    <w:p>
      <w:pPr>
        <w:pStyle w:val="ListBullet"/>
      </w:pPr>
      <w:r>
        <w:rPr>
          <w:rFonts w:ascii="Arial" w:hAnsi="Arial"/>
        </w:rPr>
        <w:t>Users receive new-match and deadline reminders.</w:t>
      </w:r>
    </w:p>
    <w:p>
      <w:pPr>
        <w:pStyle w:val="ListBullet"/>
      </w:pPr>
      <w:r>
        <w:rPr>
          <w:rFonts w:ascii="Arial" w:hAnsi="Arial"/>
        </w:rPr>
        <w:t>Admin can monitor pull health and approve/reject private candidates.</w:t>
      </w:r>
    </w:p>
    <w:p>
      <w:pPr>
        <w:pStyle w:val="Heading1"/>
      </w:pPr>
      <w:r>
        <w:rPr>
          <w:rFonts w:ascii="Arial" w:hAnsi="Arial"/>
        </w:rPr>
        <w:t>21. Design Team Handoff Checklist</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520"/>
            <w:shd w:fill="D9EAF7"/>
            <w:vAlign w:val="top"/>
          </w:tcPr>
          <w:p>
            <w:pPr>
              <w:spacing w:after="0"/>
            </w:pPr>
            <w:r>
              <w:rPr>
                <w:sz w:val="16"/>
              </w:rPr>
            </w:r>
            <w:r>
              <w:rPr>
                <w:b/>
                <w:color w:val="1C4967"/>
                <w:sz w:val="16"/>
              </w:rPr>
              <w:t>Deliverable</w:t>
            </w:r>
          </w:p>
        </w:tc>
        <w:tc>
          <w:tcPr>
            <w:tcW w:type="dxa" w:w="6983"/>
            <w:shd w:fill="D9EAF7"/>
            <w:vAlign w:val="top"/>
          </w:tcPr>
          <w:p>
            <w:pPr>
              <w:spacing w:after="0"/>
            </w:pPr>
            <w:r>
              <w:rPr>
                <w:sz w:val="16"/>
              </w:rPr>
            </w:r>
            <w:r>
              <w:rPr>
                <w:b/>
                <w:color w:val="1C4967"/>
                <w:sz w:val="16"/>
              </w:rPr>
              <w:t>Notes</w:t>
            </w:r>
          </w:p>
        </w:tc>
      </w:tr>
      <w:tr>
        <w:tc>
          <w:tcPr>
            <w:tcW w:type="dxa" w:w="2520"/>
            <w:vAlign w:val="top"/>
          </w:tcPr>
          <w:p>
            <w:pPr>
              <w:spacing w:after="0"/>
            </w:pPr>
            <w:r>
              <w:rPr>
                <w:sz w:val="16"/>
              </w:rPr>
            </w:r>
            <w:r>
              <w:rPr>
                <w:b w:val="0"/>
                <w:sz w:val="16"/>
              </w:rPr>
              <w:t>User journey map</w:t>
            </w:r>
          </w:p>
        </w:tc>
        <w:tc>
          <w:tcPr>
            <w:tcW w:type="dxa" w:w="6983"/>
            <w:vAlign w:val="top"/>
          </w:tcPr>
          <w:p>
            <w:pPr>
              <w:spacing w:after="0"/>
            </w:pPr>
            <w:r>
              <w:rPr>
                <w:sz w:val="16"/>
              </w:rPr>
            </w:r>
            <w:r>
              <w:rPr>
                <w:b w:val="0"/>
                <w:sz w:val="16"/>
              </w:rPr>
              <w:t>Map first-time user from signup to profile completion to first saved grant.</w:t>
            </w:r>
          </w:p>
        </w:tc>
      </w:tr>
      <w:tr>
        <w:tc>
          <w:tcPr>
            <w:tcW w:type="dxa" w:w="2520"/>
            <w:vAlign w:val="top"/>
          </w:tcPr>
          <w:p>
            <w:pPr>
              <w:spacing w:after="0"/>
            </w:pPr>
            <w:r>
              <w:rPr>
                <w:sz w:val="16"/>
              </w:rPr>
            </w:r>
            <w:r>
              <w:rPr>
                <w:b w:val="0"/>
                <w:sz w:val="16"/>
              </w:rPr>
              <w:t>Information architecture</w:t>
            </w:r>
          </w:p>
        </w:tc>
        <w:tc>
          <w:tcPr>
            <w:tcW w:type="dxa" w:w="6983"/>
            <w:vAlign w:val="top"/>
          </w:tcPr>
          <w:p>
            <w:pPr>
              <w:spacing w:after="0"/>
            </w:pPr>
            <w:r>
              <w:rPr>
                <w:sz w:val="16"/>
              </w:rPr>
            </w:r>
            <w:r>
              <w:rPr>
                <w:b w:val="0"/>
                <w:sz w:val="16"/>
              </w:rPr>
              <w:t>Finalize navigation, screen hierarchy, and role-based admin access.</w:t>
            </w:r>
          </w:p>
        </w:tc>
      </w:tr>
      <w:tr>
        <w:tc>
          <w:tcPr>
            <w:tcW w:type="dxa" w:w="2520"/>
            <w:vAlign w:val="top"/>
          </w:tcPr>
          <w:p>
            <w:pPr>
              <w:spacing w:after="0"/>
            </w:pPr>
            <w:r>
              <w:rPr>
                <w:sz w:val="16"/>
              </w:rPr>
            </w:r>
            <w:r>
              <w:rPr>
                <w:b w:val="0"/>
                <w:sz w:val="16"/>
              </w:rPr>
              <w:t>Wireframes</w:t>
            </w:r>
          </w:p>
        </w:tc>
        <w:tc>
          <w:tcPr>
            <w:tcW w:type="dxa" w:w="6983"/>
            <w:vAlign w:val="top"/>
          </w:tcPr>
          <w:p>
            <w:pPr>
              <w:spacing w:after="0"/>
            </w:pPr>
            <w:r>
              <w:rPr>
                <w:sz w:val="16"/>
              </w:rPr>
            </w:r>
            <w:r>
              <w:rPr>
                <w:b w:val="0"/>
                <w:sz w:val="16"/>
              </w:rPr>
              <w:t>Onboarding, dashboard, Find Grants, Private Funding Finder, grant detail, saved grants, application tracker, alerts, admin source registry, review queue.</w:t>
            </w:r>
          </w:p>
        </w:tc>
      </w:tr>
      <w:tr>
        <w:tc>
          <w:tcPr>
            <w:tcW w:type="dxa" w:w="2520"/>
            <w:vAlign w:val="top"/>
          </w:tcPr>
          <w:p>
            <w:pPr>
              <w:spacing w:after="0"/>
            </w:pPr>
            <w:r>
              <w:rPr>
                <w:sz w:val="16"/>
              </w:rPr>
            </w:r>
            <w:r>
              <w:rPr>
                <w:b w:val="0"/>
                <w:sz w:val="16"/>
              </w:rPr>
              <w:t>Clickable prototype</w:t>
            </w:r>
          </w:p>
        </w:tc>
        <w:tc>
          <w:tcPr>
            <w:tcW w:type="dxa" w:w="6983"/>
            <w:vAlign w:val="top"/>
          </w:tcPr>
          <w:p>
            <w:pPr>
              <w:spacing w:after="0"/>
            </w:pPr>
            <w:r>
              <w:rPr>
                <w:sz w:val="16"/>
              </w:rPr>
            </w:r>
            <w:r>
              <w:rPr>
                <w:b w:val="0"/>
                <w:sz w:val="16"/>
              </w:rPr>
              <w:t>Prototype core flow: create profile -&gt; view matches -&gt; refresh -&gt; inspect grant -&gt; save -&gt; track application.</w:t>
            </w:r>
          </w:p>
        </w:tc>
      </w:tr>
      <w:tr>
        <w:tc>
          <w:tcPr>
            <w:tcW w:type="dxa" w:w="2520"/>
            <w:vAlign w:val="top"/>
          </w:tcPr>
          <w:p>
            <w:pPr>
              <w:spacing w:after="0"/>
            </w:pPr>
            <w:r>
              <w:rPr>
                <w:sz w:val="16"/>
              </w:rPr>
            </w:r>
            <w:r>
              <w:rPr>
                <w:b w:val="0"/>
                <w:sz w:val="16"/>
              </w:rPr>
              <w:t>Component library</w:t>
            </w:r>
          </w:p>
        </w:tc>
        <w:tc>
          <w:tcPr>
            <w:tcW w:type="dxa" w:w="6983"/>
            <w:vAlign w:val="top"/>
          </w:tcPr>
          <w:p>
            <w:pPr>
              <w:spacing w:after="0"/>
            </w:pPr>
            <w:r>
              <w:rPr>
                <w:sz w:val="16"/>
              </w:rPr>
            </w:r>
            <w:r>
              <w:rPr>
                <w:b w:val="0"/>
                <w:sz w:val="16"/>
              </w:rPr>
              <w:t>Grant card, funder prospect card, match badge, source evidence panel, deadline indicator, pull status, filter drawer, alert item, tracker row.</w:t>
            </w:r>
          </w:p>
        </w:tc>
      </w:tr>
      <w:tr>
        <w:tc>
          <w:tcPr>
            <w:tcW w:type="dxa" w:w="2520"/>
            <w:vAlign w:val="top"/>
          </w:tcPr>
          <w:p>
            <w:pPr>
              <w:spacing w:after="0"/>
            </w:pPr>
            <w:r>
              <w:rPr>
                <w:sz w:val="16"/>
              </w:rPr>
            </w:r>
            <w:r>
              <w:rPr>
                <w:b w:val="0"/>
                <w:sz w:val="16"/>
              </w:rPr>
              <w:t>Responsive layouts</w:t>
            </w:r>
          </w:p>
        </w:tc>
        <w:tc>
          <w:tcPr>
            <w:tcW w:type="dxa" w:w="6983"/>
            <w:vAlign w:val="top"/>
          </w:tcPr>
          <w:p>
            <w:pPr>
              <w:spacing w:after="0"/>
            </w:pPr>
            <w:r>
              <w:rPr>
                <w:sz w:val="16"/>
              </w:rPr>
            </w:r>
            <w:r>
              <w:rPr>
                <w:b w:val="0"/>
                <w:sz w:val="16"/>
              </w:rPr>
              <w:t>Desktop and mobile for user screens; desktop-focused admin screens.</w:t>
            </w:r>
          </w:p>
        </w:tc>
      </w:tr>
      <w:tr>
        <w:tc>
          <w:tcPr>
            <w:tcW w:type="dxa" w:w="2520"/>
            <w:vAlign w:val="top"/>
          </w:tcPr>
          <w:p>
            <w:pPr>
              <w:spacing w:after="0"/>
            </w:pPr>
            <w:r>
              <w:rPr>
                <w:sz w:val="16"/>
              </w:rPr>
            </w:r>
            <w:r>
              <w:rPr>
                <w:b w:val="0"/>
                <w:sz w:val="16"/>
              </w:rPr>
              <w:t>Empty/loading/error states</w:t>
            </w:r>
          </w:p>
        </w:tc>
        <w:tc>
          <w:tcPr>
            <w:tcW w:type="dxa" w:w="6983"/>
            <w:vAlign w:val="top"/>
          </w:tcPr>
          <w:p>
            <w:pPr>
              <w:spacing w:after="0"/>
            </w:pPr>
            <w:r>
              <w:rPr>
                <w:sz w:val="16"/>
              </w:rPr>
            </w:r>
            <w:r>
              <w:rPr>
                <w:b w:val="0"/>
                <w:sz w:val="16"/>
              </w:rPr>
              <w:t>No matches, stale source, pull failed, low confidence, no saved grants, deadline missing, private candidate pending review.</w:t>
            </w:r>
          </w:p>
        </w:tc>
      </w:tr>
      <w:tr>
        <w:tc>
          <w:tcPr>
            <w:tcW w:type="dxa" w:w="2520"/>
            <w:vAlign w:val="top"/>
          </w:tcPr>
          <w:p>
            <w:pPr>
              <w:spacing w:after="0"/>
            </w:pPr>
            <w:r>
              <w:rPr>
                <w:sz w:val="16"/>
              </w:rPr>
            </w:r>
            <w:r>
              <w:rPr>
                <w:b w:val="0"/>
                <w:sz w:val="16"/>
              </w:rPr>
              <w:t>Accessibility pass</w:t>
            </w:r>
          </w:p>
        </w:tc>
        <w:tc>
          <w:tcPr>
            <w:tcW w:type="dxa" w:w="6983"/>
            <w:vAlign w:val="top"/>
          </w:tcPr>
          <w:p>
            <w:pPr>
              <w:spacing w:after="0"/>
            </w:pPr>
            <w:r>
              <w:rPr>
                <w:sz w:val="16"/>
              </w:rPr>
            </w:r>
            <w:r>
              <w:rPr>
                <w:b w:val="0"/>
                <w:sz w:val="16"/>
              </w:rPr>
              <w:t>Keyboard navigation, form labels, contrast, focus states, screen-reader-friendly badges.</w:t>
            </w:r>
          </w:p>
        </w:tc>
      </w:tr>
      <w:tr>
        <w:tc>
          <w:tcPr>
            <w:tcW w:type="dxa" w:w="2520"/>
            <w:vAlign w:val="top"/>
          </w:tcPr>
          <w:p>
            <w:pPr>
              <w:spacing w:after="0"/>
            </w:pPr>
            <w:r>
              <w:rPr>
                <w:sz w:val="16"/>
              </w:rPr>
            </w:r>
            <w:r>
              <w:rPr>
                <w:b w:val="0"/>
                <w:sz w:val="16"/>
              </w:rPr>
              <w:t>Content style guide</w:t>
            </w:r>
          </w:p>
        </w:tc>
        <w:tc>
          <w:tcPr>
            <w:tcW w:type="dxa" w:w="6983"/>
            <w:vAlign w:val="top"/>
          </w:tcPr>
          <w:p>
            <w:pPr>
              <w:spacing w:after="0"/>
            </w:pPr>
            <w:r>
              <w:rPr>
                <w:sz w:val="16"/>
              </w:rPr>
            </w:r>
            <w:r>
              <w:rPr>
                <w:b w:val="0"/>
                <w:sz w:val="16"/>
              </w:rPr>
              <w:t>Plain-language eligibility, confidence wording, alert messages, source disclaimer, match explanations.</w:t>
            </w:r>
          </w:p>
        </w:tc>
      </w:tr>
      <w:tr>
        <w:tc>
          <w:tcPr>
            <w:tcW w:type="dxa" w:w="2520"/>
            <w:vAlign w:val="top"/>
          </w:tcPr>
          <w:p>
            <w:pPr>
              <w:spacing w:after="0"/>
            </w:pPr>
            <w:r>
              <w:rPr>
                <w:sz w:val="16"/>
              </w:rPr>
            </w:r>
            <w:r>
              <w:rPr>
                <w:b w:val="0"/>
                <w:sz w:val="16"/>
              </w:rPr>
              <w:t>Design tokens</w:t>
            </w:r>
          </w:p>
        </w:tc>
        <w:tc>
          <w:tcPr>
            <w:tcW w:type="dxa" w:w="6983"/>
            <w:vAlign w:val="top"/>
          </w:tcPr>
          <w:p>
            <w:pPr>
              <w:spacing w:after="0"/>
            </w:pPr>
            <w:r>
              <w:rPr>
                <w:sz w:val="16"/>
              </w:rPr>
            </w:r>
            <w:r>
              <w:rPr>
                <w:b w:val="0"/>
                <w:sz w:val="16"/>
              </w:rPr>
              <w:t>Typography, spacing, elevation, status colors, topic badges, urgency states.</w:t>
            </w:r>
          </w:p>
        </w:tc>
      </w:tr>
      <w:tr>
        <w:tc>
          <w:tcPr>
            <w:tcW w:type="dxa" w:w="2520"/>
            <w:vAlign w:val="top"/>
          </w:tcPr>
          <w:p>
            <w:pPr>
              <w:spacing w:after="0"/>
            </w:pPr>
            <w:r>
              <w:rPr>
                <w:sz w:val="16"/>
              </w:rPr>
            </w:r>
            <w:r>
              <w:rPr>
                <w:b w:val="0"/>
                <w:sz w:val="16"/>
              </w:rPr>
              <w:t>Developer handoff</w:t>
            </w:r>
          </w:p>
        </w:tc>
        <w:tc>
          <w:tcPr>
            <w:tcW w:type="dxa" w:w="6983"/>
            <w:vAlign w:val="top"/>
          </w:tcPr>
          <w:p>
            <w:pPr>
              <w:spacing w:after="0"/>
            </w:pPr>
            <w:r>
              <w:rPr>
                <w:sz w:val="16"/>
              </w:rPr>
            </w:r>
            <w:r>
              <w:rPr>
                <w:b w:val="0"/>
                <w:sz w:val="16"/>
              </w:rPr>
              <w:t>Figma components, interaction notes, data requirements per component, breakpoints, and acceptance notes.</w:t>
            </w:r>
          </w:p>
        </w:tc>
      </w:tr>
    </w:tbl>
    <w:p/>
    <w:p>
      <w:pPr>
        <w:pStyle w:val="Heading1"/>
      </w:pPr>
      <w:r>
        <w:rPr>
          <w:rFonts w:ascii="Arial" w:hAnsi="Arial"/>
        </w:rPr>
        <w:t>22. Acceptance Criteria</w:t>
      </w:r>
    </w:p>
    <w:p>
      <w:pPr>
        <w:pStyle w:val="Heading2"/>
      </w:pPr>
      <w:r>
        <w:rPr>
          <w:rFonts w:ascii="Arial" w:hAnsi="Arial"/>
        </w:rPr>
        <w:t>Product acceptance criteria</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1152"/>
            <w:shd w:fill="D9EAF7"/>
            <w:vAlign w:val="top"/>
          </w:tcPr>
          <w:p>
            <w:pPr>
              <w:spacing w:after="0"/>
            </w:pPr>
            <w:r>
              <w:rPr>
                <w:sz w:val="16"/>
              </w:rPr>
            </w:r>
            <w:r>
              <w:rPr>
                <w:b/>
                <w:color w:val="1C4967"/>
                <w:sz w:val="16"/>
              </w:rPr>
              <w:t>ID</w:t>
            </w:r>
          </w:p>
        </w:tc>
        <w:tc>
          <w:tcPr>
            <w:tcW w:type="dxa" w:w="8352"/>
            <w:shd w:fill="D9EAF7"/>
            <w:vAlign w:val="top"/>
          </w:tcPr>
          <w:p>
            <w:pPr>
              <w:spacing w:after="0"/>
            </w:pPr>
            <w:r>
              <w:rPr>
                <w:sz w:val="16"/>
              </w:rPr>
            </w:r>
            <w:r>
              <w:rPr>
                <w:b/>
                <w:color w:val="1C4967"/>
                <w:sz w:val="16"/>
              </w:rPr>
              <w:t>Acceptance criterion</w:t>
            </w:r>
          </w:p>
        </w:tc>
      </w:tr>
      <w:tr>
        <w:tc>
          <w:tcPr>
            <w:tcW w:type="dxa" w:w="1152"/>
            <w:vAlign w:val="top"/>
          </w:tcPr>
          <w:p>
            <w:pPr>
              <w:spacing w:after="0"/>
            </w:pPr>
            <w:r>
              <w:rPr>
                <w:sz w:val="16"/>
              </w:rPr>
            </w:r>
            <w:r>
              <w:rPr>
                <w:b w:val="0"/>
                <w:sz w:val="16"/>
              </w:rPr>
              <w:t>AC-001</w:t>
            </w:r>
          </w:p>
        </w:tc>
        <w:tc>
          <w:tcPr>
            <w:tcW w:type="dxa" w:w="8352"/>
            <w:vAlign w:val="top"/>
          </w:tcPr>
          <w:p>
            <w:pPr>
              <w:spacing w:after="0"/>
            </w:pPr>
            <w:r>
              <w:rPr>
                <w:sz w:val="16"/>
              </w:rPr>
            </w:r>
            <w:r>
              <w:rPr>
                <w:b w:val="0"/>
                <w:sz w:val="16"/>
              </w:rPr>
              <w:t>A new user can create an account, complete a profile, and see grant matches.</w:t>
            </w:r>
          </w:p>
        </w:tc>
      </w:tr>
      <w:tr>
        <w:tc>
          <w:tcPr>
            <w:tcW w:type="dxa" w:w="1152"/>
            <w:vAlign w:val="top"/>
          </w:tcPr>
          <w:p>
            <w:pPr>
              <w:spacing w:after="0"/>
            </w:pPr>
            <w:r>
              <w:rPr>
                <w:sz w:val="16"/>
              </w:rPr>
            </w:r>
            <w:r>
              <w:rPr>
                <w:b w:val="0"/>
                <w:sz w:val="16"/>
              </w:rPr>
              <w:t>AC-002</w:t>
            </w:r>
          </w:p>
        </w:tc>
        <w:tc>
          <w:tcPr>
            <w:tcW w:type="dxa" w:w="8352"/>
            <w:vAlign w:val="top"/>
          </w:tcPr>
          <w:p>
            <w:pPr>
              <w:spacing w:after="0"/>
            </w:pPr>
            <w:r>
              <w:rPr>
                <w:sz w:val="16"/>
              </w:rPr>
            </w:r>
            <w:r>
              <w:rPr>
                <w:b w:val="0"/>
                <w:sz w:val="16"/>
              </w:rPr>
              <w:t>The system runs scheduled source pulls every 12 hours and records pull outcomes.</w:t>
            </w:r>
          </w:p>
        </w:tc>
      </w:tr>
      <w:tr>
        <w:tc>
          <w:tcPr>
            <w:tcW w:type="dxa" w:w="1152"/>
            <w:vAlign w:val="top"/>
          </w:tcPr>
          <w:p>
            <w:pPr>
              <w:spacing w:after="0"/>
            </w:pPr>
            <w:r>
              <w:rPr>
                <w:sz w:val="16"/>
              </w:rPr>
            </w:r>
            <w:r>
              <w:rPr>
                <w:b w:val="0"/>
                <w:sz w:val="16"/>
              </w:rPr>
              <w:t>AC-003</w:t>
            </w:r>
          </w:p>
        </w:tc>
        <w:tc>
          <w:tcPr>
            <w:tcW w:type="dxa" w:w="8352"/>
            <w:vAlign w:val="top"/>
          </w:tcPr>
          <w:p>
            <w:pPr>
              <w:spacing w:after="0"/>
            </w:pPr>
            <w:r>
              <w:rPr>
                <w:sz w:val="16"/>
              </w:rPr>
            </w:r>
            <w:r>
              <w:rPr>
                <w:b w:val="0"/>
                <w:sz w:val="16"/>
              </w:rPr>
              <w:t>A user can request an on-demand profile or private topic pull without blocking the UI.</w:t>
            </w:r>
          </w:p>
        </w:tc>
      </w:tr>
      <w:tr>
        <w:tc>
          <w:tcPr>
            <w:tcW w:type="dxa" w:w="1152"/>
            <w:vAlign w:val="top"/>
          </w:tcPr>
          <w:p>
            <w:pPr>
              <w:spacing w:after="0"/>
            </w:pPr>
            <w:r>
              <w:rPr>
                <w:sz w:val="16"/>
              </w:rPr>
            </w:r>
            <w:r>
              <w:rPr>
                <w:b w:val="0"/>
                <w:sz w:val="16"/>
              </w:rPr>
              <w:t>AC-004</w:t>
            </w:r>
          </w:p>
        </w:tc>
        <w:tc>
          <w:tcPr>
            <w:tcW w:type="dxa" w:w="8352"/>
            <w:vAlign w:val="top"/>
          </w:tcPr>
          <w:p>
            <w:pPr>
              <w:spacing w:after="0"/>
            </w:pPr>
            <w:r>
              <w:rPr>
                <w:sz w:val="16"/>
              </w:rPr>
            </w:r>
            <w:r>
              <w:rPr>
                <w:b w:val="0"/>
                <w:sz w:val="16"/>
              </w:rPr>
              <w:t>The system stores raw source data before normalization.</w:t>
            </w:r>
          </w:p>
        </w:tc>
      </w:tr>
      <w:tr>
        <w:tc>
          <w:tcPr>
            <w:tcW w:type="dxa" w:w="1152"/>
            <w:vAlign w:val="top"/>
          </w:tcPr>
          <w:p>
            <w:pPr>
              <w:spacing w:after="0"/>
            </w:pPr>
            <w:r>
              <w:rPr>
                <w:sz w:val="16"/>
              </w:rPr>
            </w:r>
            <w:r>
              <w:rPr>
                <w:b w:val="0"/>
                <w:sz w:val="16"/>
              </w:rPr>
              <w:t>AC-005</w:t>
            </w:r>
          </w:p>
        </w:tc>
        <w:tc>
          <w:tcPr>
            <w:tcW w:type="dxa" w:w="8352"/>
            <w:vAlign w:val="top"/>
          </w:tcPr>
          <w:p>
            <w:pPr>
              <w:spacing w:after="0"/>
            </w:pPr>
            <w:r>
              <w:rPr>
                <w:sz w:val="16"/>
              </w:rPr>
            </w:r>
            <w:r>
              <w:rPr>
                <w:b w:val="0"/>
                <w:sz w:val="16"/>
              </w:rPr>
              <w:t>Search can filter by keyword, deadline, amount, applicant type, location, source, funder type, topic, opportunity type, and match score.</w:t>
            </w:r>
          </w:p>
        </w:tc>
      </w:tr>
      <w:tr>
        <w:tc>
          <w:tcPr>
            <w:tcW w:type="dxa" w:w="1152"/>
            <w:vAlign w:val="top"/>
          </w:tcPr>
          <w:p>
            <w:pPr>
              <w:spacing w:after="0"/>
            </w:pPr>
            <w:r>
              <w:rPr>
                <w:sz w:val="16"/>
              </w:rPr>
            </w:r>
            <w:r>
              <w:rPr>
                <w:b w:val="0"/>
                <w:sz w:val="16"/>
              </w:rPr>
              <w:t>AC-006</w:t>
            </w:r>
          </w:p>
        </w:tc>
        <w:tc>
          <w:tcPr>
            <w:tcW w:type="dxa" w:w="8352"/>
            <w:vAlign w:val="top"/>
          </w:tcPr>
          <w:p>
            <w:pPr>
              <w:spacing w:after="0"/>
            </w:pPr>
            <w:r>
              <w:rPr>
                <w:sz w:val="16"/>
              </w:rPr>
            </w:r>
            <w:r>
              <w:rPr>
                <w:b w:val="0"/>
                <w:sz w:val="16"/>
              </w:rPr>
              <w:t>Grant cards show title, funder, amount if known, deadline, source, status, match score, and save action.</w:t>
            </w:r>
          </w:p>
        </w:tc>
      </w:tr>
      <w:tr>
        <w:tc>
          <w:tcPr>
            <w:tcW w:type="dxa" w:w="1152"/>
            <w:vAlign w:val="top"/>
          </w:tcPr>
          <w:p>
            <w:pPr>
              <w:spacing w:after="0"/>
            </w:pPr>
            <w:r>
              <w:rPr>
                <w:sz w:val="16"/>
              </w:rPr>
            </w:r>
            <w:r>
              <w:rPr>
                <w:b w:val="0"/>
                <w:sz w:val="16"/>
              </w:rPr>
              <w:t>AC-007</w:t>
            </w:r>
          </w:p>
        </w:tc>
        <w:tc>
          <w:tcPr>
            <w:tcW w:type="dxa" w:w="8352"/>
            <w:vAlign w:val="top"/>
          </w:tcPr>
          <w:p>
            <w:pPr>
              <w:spacing w:after="0"/>
            </w:pPr>
            <w:r>
              <w:rPr>
                <w:sz w:val="16"/>
              </w:rPr>
            </w:r>
            <w:r>
              <w:rPr>
                <w:b w:val="0"/>
                <w:sz w:val="16"/>
              </w:rPr>
              <w:t>Grant detail pages show official source link, last fetched date, match reasons, warnings, eligibility, application link, and documents where available.</w:t>
            </w:r>
          </w:p>
        </w:tc>
      </w:tr>
      <w:tr>
        <w:tc>
          <w:tcPr>
            <w:tcW w:type="dxa" w:w="1152"/>
            <w:vAlign w:val="top"/>
          </w:tcPr>
          <w:p>
            <w:pPr>
              <w:spacing w:after="0"/>
            </w:pPr>
            <w:r>
              <w:rPr>
                <w:sz w:val="16"/>
              </w:rPr>
            </w:r>
            <w:r>
              <w:rPr>
                <w:b w:val="0"/>
                <w:sz w:val="16"/>
              </w:rPr>
              <w:t>AC-008</w:t>
            </w:r>
          </w:p>
        </w:tc>
        <w:tc>
          <w:tcPr>
            <w:tcW w:type="dxa" w:w="8352"/>
            <w:vAlign w:val="top"/>
          </w:tcPr>
          <w:p>
            <w:pPr>
              <w:spacing w:after="0"/>
            </w:pPr>
            <w:r>
              <w:rPr>
                <w:sz w:val="16"/>
              </w:rPr>
            </w:r>
            <w:r>
              <w:rPr>
                <w:b w:val="0"/>
                <w:sz w:val="16"/>
              </w:rPr>
              <w:t>Private Funding Finder separates active opportunities from recurring opportunities and funder prospects.</w:t>
            </w:r>
          </w:p>
        </w:tc>
      </w:tr>
      <w:tr>
        <w:tc>
          <w:tcPr>
            <w:tcW w:type="dxa" w:w="1152"/>
            <w:vAlign w:val="top"/>
          </w:tcPr>
          <w:p>
            <w:pPr>
              <w:spacing w:after="0"/>
            </w:pPr>
            <w:r>
              <w:rPr>
                <w:sz w:val="16"/>
              </w:rPr>
            </w:r>
            <w:r>
              <w:rPr>
                <w:b w:val="0"/>
                <w:sz w:val="16"/>
              </w:rPr>
              <w:t>AC-009</w:t>
            </w:r>
          </w:p>
        </w:tc>
        <w:tc>
          <w:tcPr>
            <w:tcW w:type="dxa" w:w="8352"/>
            <w:vAlign w:val="top"/>
          </w:tcPr>
          <w:p>
            <w:pPr>
              <w:spacing w:after="0"/>
            </w:pPr>
            <w:r>
              <w:rPr>
                <w:sz w:val="16"/>
              </w:rPr>
            </w:r>
            <w:r>
              <w:rPr>
                <w:b w:val="0"/>
                <w:sz w:val="16"/>
              </w:rPr>
              <w:t>Private source crawler refuses disallowed sources and logs compliance decisions.</w:t>
            </w:r>
          </w:p>
        </w:tc>
      </w:tr>
      <w:tr>
        <w:tc>
          <w:tcPr>
            <w:tcW w:type="dxa" w:w="1152"/>
            <w:vAlign w:val="top"/>
          </w:tcPr>
          <w:p>
            <w:pPr>
              <w:spacing w:after="0"/>
            </w:pPr>
            <w:r>
              <w:rPr>
                <w:sz w:val="16"/>
              </w:rPr>
            </w:r>
            <w:r>
              <w:rPr>
                <w:b w:val="0"/>
                <w:sz w:val="16"/>
              </w:rPr>
              <w:t>AC-010</w:t>
            </w:r>
          </w:p>
        </w:tc>
        <w:tc>
          <w:tcPr>
            <w:tcW w:type="dxa" w:w="8352"/>
            <w:vAlign w:val="top"/>
          </w:tcPr>
          <w:p>
            <w:pPr>
              <w:spacing w:after="0"/>
            </w:pPr>
            <w:r>
              <w:rPr>
                <w:sz w:val="16"/>
              </w:rPr>
            </w:r>
            <w:r>
              <w:rPr>
                <w:b w:val="0"/>
                <w:sz w:val="16"/>
              </w:rPr>
              <w:t>Low-confidence private candidate records go to admin review before broad publication.</w:t>
            </w:r>
          </w:p>
        </w:tc>
      </w:tr>
      <w:tr>
        <w:tc>
          <w:tcPr>
            <w:tcW w:type="dxa" w:w="1152"/>
            <w:vAlign w:val="top"/>
          </w:tcPr>
          <w:p>
            <w:pPr>
              <w:spacing w:after="0"/>
            </w:pPr>
            <w:r>
              <w:rPr>
                <w:sz w:val="16"/>
              </w:rPr>
            </w:r>
            <w:r>
              <w:rPr>
                <w:b w:val="0"/>
                <w:sz w:val="16"/>
              </w:rPr>
              <w:t>AC-011</w:t>
            </w:r>
          </w:p>
        </w:tc>
        <w:tc>
          <w:tcPr>
            <w:tcW w:type="dxa" w:w="8352"/>
            <w:vAlign w:val="top"/>
          </w:tcPr>
          <w:p>
            <w:pPr>
              <w:spacing w:after="0"/>
            </w:pPr>
            <w:r>
              <w:rPr>
                <w:sz w:val="16"/>
              </w:rPr>
            </w:r>
            <w:r>
              <w:rPr>
                <w:b w:val="0"/>
                <w:sz w:val="16"/>
              </w:rPr>
              <w:t>Duplicate opportunities are merged without losing source links.</w:t>
            </w:r>
          </w:p>
        </w:tc>
      </w:tr>
      <w:tr>
        <w:tc>
          <w:tcPr>
            <w:tcW w:type="dxa" w:w="1152"/>
            <w:vAlign w:val="top"/>
          </w:tcPr>
          <w:p>
            <w:pPr>
              <w:spacing w:after="0"/>
            </w:pPr>
            <w:r>
              <w:rPr>
                <w:sz w:val="16"/>
              </w:rPr>
            </w:r>
            <w:r>
              <w:rPr>
                <w:b w:val="0"/>
                <w:sz w:val="16"/>
              </w:rPr>
              <w:t>AC-012</w:t>
            </w:r>
          </w:p>
        </w:tc>
        <w:tc>
          <w:tcPr>
            <w:tcW w:type="dxa" w:w="8352"/>
            <w:vAlign w:val="top"/>
          </w:tcPr>
          <w:p>
            <w:pPr>
              <w:spacing w:after="0"/>
            </w:pPr>
            <w:r>
              <w:rPr>
                <w:sz w:val="16"/>
              </w:rPr>
            </w:r>
            <w:r>
              <w:rPr>
                <w:b w:val="0"/>
                <w:sz w:val="16"/>
              </w:rPr>
              <w:t>Users can save grants and update application tracker status.</w:t>
            </w:r>
          </w:p>
        </w:tc>
      </w:tr>
      <w:tr>
        <w:tc>
          <w:tcPr>
            <w:tcW w:type="dxa" w:w="1152"/>
            <w:vAlign w:val="top"/>
          </w:tcPr>
          <w:p>
            <w:pPr>
              <w:spacing w:after="0"/>
            </w:pPr>
            <w:r>
              <w:rPr>
                <w:sz w:val="16"/>
              </w:rPr>
            </w:r>
            <w:r>
              <w:rPr>
                <w:b w:val="0"/>
                <w:sz w:val="16"/>
              </w:rPr>
              <w:t>AC-013</w:t>
            </w:r>
          </w:p>
        </w:tc>
        <w:tc>
          <w:tcPr>
            <w:tcW w:type="dxa" w:w="8352"/>
            <w:vAlign w:val="top"/>
          </w:tcPr>
          <w:p>
            <w:pPr>
              <w:spacing w:after="0"/>
            </w:pPr>
            <w:r>
              <w:rPr>
                <w:sz w:val="16"/>
              </w:rPr>
            </w:r>
            <w:r>
              <w:rPr>
                <w:b w:val="0"/>
                <w:sz w:val="16"/>
              </w:rPr>
              <w:t>Users receive deadline reminders and new-match alerts based on preferences.</w:t>
            </w:r>
          </w:p>
        </w:tc>
      </w:tr>
      <w:tr>
        <w:tc>
          <w:tcPr>
            <w:tcW w:type="dxa" w:w="1152"/>
            <w:vAlign w:val="top"/>
          </w:tcPr>
          <w:p>
            <w:pPr>
              <w:spacing w:after="0"/>
            </w:pPr>
            <w:r>
              <w:rPr>
                <w:sz w:val="16"/>
              </w:rPr>
            </w:r>
            <w:r>
              <w:rPr>
                <w:b w:val="0"/>
                <w:sz w:val="16"/>
              </w:rPr>
              <w:t>AC-014</w:t>
            </w:r>
          </w:p>
        </w:tc>
        <w:tc>
          <w:tcPr>
            <w:tcW w:type="dxa" w:w="8352"/>
            <w:vAlign w:val="top"/>
          </w:tcPr>
          <w:p>
            <w:pPr>
              <w:spacing w:after="0"/>
            </w:pPr>
            <w:r>
              <w:rPr>
                <w:sz w:val="16"/>
              </w:rPr>
            </w:r>
            <w:r>
              <w:rPr>
                <w:b w:val="0"/>
                <w:sz w:val="16"/>
              </w:rPr>
              <w:t>Admins can view pull health, retry failed pulls, approve private candidates, and disable sources.</w:t>
            </w:r>
          </w:p>
        </w:tc>
      </w:tr>
      <w:tr>
        <w:tc>
          <w:tcPr>
            <w:tcW w:type="dxa" w:w="1152"/>
            <w:vAlign w:val="top"/>
          </w:tcPr>
          <w:p>
            <w:pPr>
              <w:spacing w:after="0"/>
            </w:pPr>
            <w:r>
              <w:rPr>
                <w:sz w:val="16"/>
              </w:rPr>
            </w:r>
            <w:r>
              <w:rPr>
                <w:b w:val="0"/>
                <w:sz w:val="16"/>
              </w:rPr>
              <w:t>AC-015</w:t>
            </w:r>
          </w:p>
        </w:tc>
        <w:tc>
          <w:tcPr>
            <w:tcW w:type="dxa" w:w="8352"/>
            <w:vAlign w:val="top"/>
          </w:tcPr>
          <w:p>
            <w:pPr>
              <w:spacing w:after="0"/>
            </w:pPr>
            <w:r>
              <w:rPr>
                <w:sz w:val="16"/>
              </w:rPr>
            </w:r>
            <w:r>
              <w:rPr>
                <w:b w:val="0"/>
                <w:sz w:val="16"/>
              </w:rPr>
              <w:t>Every grant shown to users includes source attribution and freshness metadata.</w:t>
            </w:r>
          </w:p>
        </w:tc>
      </w:tr>
    </w:tbl>
    <w:p/>
    <w:p>
      <w:pPr>
        <w:pStyle w:val="Heading2"/>
      </w:pPr>
      <w:r>
        <w:rPr>
          <w:rFonts w:ascii="Arial" w:hAnsi="Arial"/>
        </w:rPr>
        <w:t>Definition of done for MVP</w:t>
      </w:r>
    </w:p>
    <w:p>
      <w:pPr>
        <w:pStyle w:val="ListBullet"/>
      </w:pPr>
      <w:r>
        <w:rPr>
          <w:rFonts w:ascii="Arial" w:hAnsi="Arial"/>
        </w:rPr>
        <w:t>Core user flow works end-to-end on staging and production.</w:t>
      </w:r>
    </w:p>
    <w:p>
      <w:pPr>
        <w:pStyle w:val="ListBullet"/>
      </w:pPr>
      <w:r>
        <w:rPr>
          <w:rFonts w:ascii="Arial" w:hAnsi="Arial"/>
        </w:rPr>
        <w:t>Scheduled and on-demand pulls have retry, status, and failure handling.</w:t>
      </w:r>
    </w:p>
    <w:p>
      <w:pPr>
        <w:pStyle w:val="ListBullet"/>
      </w:pPr>
      <w:r>
        <w:rPr>
          <w:rFonts w:ascii="Arial" w:hAnsi="Arial"/>
        </w:rPr>
        <w:t>Grant search and detail pages are responsive and accessible.</w:t>
      </w:r>
    </w:p>
    <w:p>
      <w:pPr>
        <w:pStyle w:val="ListBullet"/>
      </w:pPr>
      <w:r>
        <w:rPr>
          <w:rFonts w:ascii="Arial" w:hAnsi="Arial"/>
        </w:rPr>
        <w:t>Private funder intelligence MVP has source compliance and review queue protections.</w:t>
      </w:r>
    </w:p>
    <w:p>
      <w:pPr>
        <w:pStyle w:val="ListBullet"/>
      </w:pPr>
      <w:r>
        <w:rPr>
          <w:rFonts w:ascii="Arial" w:hAnsi="Arial"/>
        </w:rPr>
        <w:t>Admin can monitor source health and data quality.</w:t>
      </w:r>
    </w:p>
    <w:p>
      <w:pPr>
        <w:pStyle w:val="ListBullet"/>
      </w:pPr>
      <w:r>
        <w:rPr>
          <w:rFonts w:ascii="Arial" w:hAnsi="Arial"/>
        </w:rPr>
        <w:t>Raw data, normalized data, and source evidence are traceable.</w:t>
      </w:r>
    </w:p>
    <w:p>
      <w:pPr>
        <w:pStyle w:val="ListBullet"/>
      </w:pPr>
      <w:r>
        <w:rPr>
          <w:rFonts w:ascii="Arial" w:hAnsi="Arial"/>
        </w:rPr>
        <w:t>Security review covers auth, access control, API keys, crawler boundaries, and audit logs.</w:t>
      </w:r>
    </w:p>
    <w:p>
      <w:r>
        <w:rPr>
          <w:rFonts w:ascii="Arial" w:hAnsi="Arial"/>
        </w:rPr>
        <w:br w:type="page"/>
      </w:r>
    </w:p>
    <w:p>
      <w:pPr>
        <w:pStyle w:val="Heading1"/>
      </w:pPr>
      <w:r>
        <w:rPr>
          <w:rFonts w:ascii="Arial" w:hAnsi="Arial"/>
        </w:rPr>
        <w:t>Appendix A. Initial Source Seed List</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736"/>
            <w:shd w:fill="D9EAF7"/>
            <w:vAlign w:val="top"/>
          </w:tcPr>
          <w:p>
            <w:pPr>
              <w:spacing w:after="0"/>
            </w:pPr>
            <w:r>
              <w:rPr>
                <w:sz w:val="15"/>
              </w:rPr>
            </w:r>
            <w:r>
              <w:rPr>
                <w:b/>
                <w:color w:val="1C4967"/>
                <w:sz w:val="15"/>
              </w:rPr>
              <w:t>Source</w:t>
            </w:r>
          </w:p>
        </w:tc>
        <w:tc>
          <w:tcPr>
            <w:tcW w:type="dxa" w:w="2520"/>
            <w:shd w:fill="D9EAF7"/>
            <w:vAlign w:val="top"/>
          </w:tcPr>
          <w:p>
            <w:pPr>
              <w:spacing w:after="0"/>
            </w:pPr>
            <w:r>
              <w:rPr>
                <w:sz w:val="15"/>
              </w:rPr>
            </w:r>
            <w:r>
              <w:rPr>
                <w:b/>
                <w:color w:val="1C4967"/>
                <w:sz w:val="15"/>
              </w:rPr>
              <w:t>Category</w:t>
            </w:r>
          </w:p>
        </w:tc>
        <w:tc>
          <w:tcPr>
            <w:tcW w:type="dxa" w:w="4248"/>
            <w:shd w:fill="D9EAF7"/>
            <w:vAlign w:val="top"/>
          </w:tcPr>
          <w:p>
            <w:pPr>
              <w:spacing w:after="0"/>
            </w:pPr>
            <w:r>
              <w:rPr>
                <w:sz w:val="15"/>
              </w:rPr>
            </w:r>
            <w:r>
              <w:rPr>
                <w:b/>
                <w:color w:val="1C4967"/>
                <w:sz w:val="15"/>
              </w:rPr>
              <w:t>Use in platform</w:t>
            </w:r>
          </w:p>
        </w:tc>
      </w:tr>
      <w:tr>
        <w:tc>
          <w:tcPr>
            <w:tcW w:type="dxa" w:w="2736"/>
            <w:vAlign w:val="top"/>
          </w:tcPr>
          <w:p>
            <w:pPr>
              <w:spacing w:after="0"/>
            </w:pPr>
            <w:r>
              <w:rPr>
                <w:sz w:val="15"/>
              </w:rPr>
            </w:r>
            <w:r>
              <w:rPr>
                <w:b w:val="0"/>
                <w:sz w:val="15"/>
              </w:rPr>
              <w:t>Grants.gov</w:t>
            </w:r>
          </w:p>
        </w:tc>
        <w:tc>
          <w:tcPr>
            <w:tcW w:type="dxa" w:w="2520"/>
            <w:vAlign w:val="top"/>
          </w:tcPr>
          <w:p>
            <w:pPr>
              <w:spacing w:after="0"/>
            </w:pPr>
            <w:r>
              <w:rPr>
                <w:sz w:val="15"/>
              </w:rPr>
            </w:r>
            <w:r>
              <w:rPr>
                <w:b w:val="0"/>
                <w:sz w:val="15"/>
              </w:rPr>
              <w:t>Federal opportunities</w:t>
            </w:r>
          </w:p>
        </w:tc>
        <w:tc>
          <w:tcPr>
            <w:tcW w:type="dxa" w:w="4248"/>
            <w:vAlign w:val="top"/>
          </w:tcPr>
          <w:p>
            <w:pPr>
              <w:spacing w:after="0"/>
            </w:pPr>
            <w:r>
              <w:rPr>
                <w:sz w:val="15"/>
              </w:rPr>
            </w:r>
            <w:r>
              <w:rPr>
                <w:b w:val="0"/>
                <w:sz w:val="15"/>
              </w:rPr>
              <w:t>MVP connector for federal opportunity search and detail fetch.</w:t>
            </w:r>
          </w:p>
        </w:tc>
      </w:tr>
      <w:tr>
        <w:tc>
          <w:tcPr>
            <w:tcW w:type="dxa" w:w="2736"/>
            <w:vAlign w:val="top"/>
          </w:tcPr>
          <w:p>
            <w:pPr>
              <w:spacing w:after="0"/>
            </w:pPr>
            <w:r>
              <w:rPr>
                <w:sz w:val="15"/>
              </w:rPr>
            </w:r>
            <w:r>
              <w:rPr>
                <w:b w:val="0"/>
                <w:sz w:val="15"/>
              </w:rPr>
              <w:t>SAM.gov Assistance Listings</w:t>
            </w:r>
          </w:p>
        </w:tc>
        <w:tc>
          <w:tcPr>
            <w:tcW w:type="dxa" w:w="2520"/>
            <w:vAlign w:val="top"/>
          </w:tcPr>
          <w:p>
            <w:pPr>
              <w:spacing w:after="0"/>
            </w:pPr>
            <w:r>
              <w:rPr>
                <w:sz w:val="15"/>
              </w:rPr>
            </w:r>
            <w:r>
              <w:rPr>
                <w:b w:val="0"/>
                <w:sz w:val="15"/>
              </w:rPr>
              <w:t>Federal program metadata</w:t>
            </w:r>
          </w:p>
        </w:tc>
        <w:tc>
          <w:tcPr>
            <w:tcW w:type="dxa" w:w="4248"/>
            <w:vAlign w:val="top"/>
          </w:tcPr>
          <w:p>
            <w:pPr>
              <w:spacing w:after="0"/>
            </w:pPr>
            <w:r>
              <w:rPr>
                <w:sz w:val="15"/>
              </w:rPr>
            </w:r>
            <w:r>
              <w:rPr>
                <w:b w:val="0"/>
                <w:sz w:val="15"/>
              </w:rPr>
              <w:t>Enrich grants with assistance listing context, applicant types, assistance types, and agency data.</w:t>
            </w:r>
          </w:p>
        </w:tc>
      </w:tr>
      <w:tr>
        <w:tc>
          <w:tcPr>
            <w:tcW w:type="dxa" w:w="2736"/>
            <w:vAlign w:val="top"/>
          </w:tcPr>
          <w:p>
            <w:pPr>
              <w:spacing w:after="0"/>
            </w:pPr>
            <w:r>
              <w:rPr>
                <w:sz w:val="15"/>
              </w:rPr>
            </w:r>
            <w:r>
              <w:rPr>
                <w:b w:val="0"/>
                <w:sz w:val="15"/>
              </w:rPr>
              <w:t>USAspending.gov</w:t>
            </w:r>
          </w:p>
        </w:tc>
        <w:tc>
          <w:tcPr>
            <w:tcW w:type="dxa" w:w="2520"/>
            <w:vAlign w:val="top"/>
          </w:tcPr>
          <w:p>
            <w:pPr>
              <w:spacing w:after="0"/>
            </w:pPr>
            <w:r>
              <w:rPr>
                <w:sz w:val="15"/>
              </w:rPr>
            </w:r>
            <w:r>
              <w:rPr>
                <w:b w:val="0"/>
                <w:sz w:val="15"/>
              </w:rPr>
              <w:t>Historical federal awards</w:t>
            </w:r>
          </w:p>
        </w:tc>
        <w:tc>
          <w:tcPr>
            <w:tcW w:type="dxa" w:w="4248"/>
            <w:vAlign w:val="top"/>
          </w:tcPr>
          <w:p>
            <w:pPr>
              <w:spacing w:after="0"/>
            </w:pPr>
            <w:r>
              <w:rPr>
                <w:sz w:val="15"/>
              </w:rPr>
            </w:r>
            <w:r>
              <w:rPr>
                <w:b w:val="0"/>
                <w:sz w:val="15"/>
              </w:rPr>
              <w:t>Enrich funder/agency history, recipients, award types, geography, and spending patterns.</w:t>
            </w:r>
          </w:p>
        </w:tc>
      </w:tr>
      <w:tr>
        <w:tc>
          <w:tcPr>
            <w:tcW w:type="dxa" w:w="2736"/>
            <w:vAlign w:val="top"/>
          </w:tcPr>
          <w:p>
            <w:pPr>
              <w:spacing w:after="0"/>
            </w:pPr>
            <w:r>
              <w:rPr>
                <w:sz w:val="15"/>
              </w:rPr>
            </w:r>
            <w:r>
              <w:rPr>
                <w:b w:val="0"/>
                <w:sz w:val="15"/>
              </w:rPr>
              <w:t>OpenAI Foundation</w:t>
            </w:r>
          </w:p>
        </w:tc>
        <w:tc>
          <w:tcPr>
            <w:tcW w:type="dxa" w:w="2520"/>
            <w:vAlign w:val="top"/>
          </w:tcPr>
          <w:p>
            <w:pPr>
              <w:spacing w:after="0"/>
            </w:pPr>
            <w:r>
              <w:rPr>
                <w:sz w:val="15"/>
              </w:rPr>
            </w:r>
            <w:r>
              <w:rPr>
                <w:b w:val="0"/>
                <w:sz w:val="15"/>
              </w:rPr>
              <w:t>AI/private philanthropy</w:t>
            </w:r>
          </w:p>
        </w:tc>
        <w:tc>
          <w:tcPr>
            <w:tcW w:type="dxa" w:w="4248"/>
            <w:vAlign w:val="top"/>
          </w:tcPr>
          <w:p>
            <w:pPr>
              <w:spacing w:after="0"/>
            </w:pPr>
            <w:r>
              <w:rPr>
                <w:sz w:val="15"/>
              </w:rPr>
            </w:r>
            <w:r>
              <w:rPr>
                <w:b w:val="0"/>
                <w:sz w:val="15"/>
              </w:rPr>
              <w:t>Monitor People-First AI Fund and future AI resilience/life sciences/community funds.</w:t>
            </w:r>
          </w:p>
        </w:tc>
      </w:tr>
      <w:tr>
        <w:tc>
          <w:tcPr>
            <w:tcW w:type="dxa" w:w="2736"/>
            <w:vAlign w:val="top"/>
          </w:tcPr>
          <w:p>
            <w:pPr>
              <w:spacing w:after="0"/>
            </w:pPr>
            <w:r>
              <w:rPr>
                <w:sz w:val="15"/>
              </w:rPr>
            </w:r>
            <w:r>
              <w:rPr>
                <w:b w:val="0"/>
                <w:sz w:val="15"/>
              </w:rPr>
              <w:t>Google.org</w:t>
            </w:r>
          </w:p>
        </w:tc>
        <w:tc>
          <w:tcPr>
            <w:tcW w:type="dxa" w:w="2520"/>
            <w:vAlign w:val="top"/>
          </w:tcPr>
          <w:p>
            <w:pPr>
              <w:spacing w:after="0"/>
            </w:pPr>
            <w:r>
              <w:rPr>
                <w:sz w:val="15"/>
              </w:rPr>
            </w:r>
            <w:r>
              <w:rPr>
                <w:b w:val="0"/>
                <w:sz w:val="15"/>
              </w:rPr>
              <w:t>AI/corporate philanthropy</w:t>
            </w:r>
          </w:p>
        </w:tc>
        <w:tc>
          <w:tcPr>
            <w:tcW w:type="dxa" w:w="4248"/>
            <w:vAlign w:val="top"/>
          </w:tcPr>
          <w:p>
            <w:pPr>
              <w:spacing w:after="0"/>
            </w:pPr>
            <w:r>
              <w:rPr>
                <w:sz w:val="15"/>
              </w:rPr>
            </w:r>
            <w:r>
              <w:rPr>
                <w:b w:val="0"/>
                <w:sz w:val="15"/>
              </w:rPr>
              <w:t>Monitor AI accelerator, social impact grants, cloud/support programs, and open calls.</w:t>
            </w:r>
          </w:p>
        </w:tc>
      </w:tr>
      <w:tr>
        <w:tc>
          <w:tcPr>
            <w:tcW w:type="dxa" w:w="2736"/>
            <w:vAlign w:val="top"/>
          </w:tcPr>
          <w:p>
            <w:pPr>
              <w:spacing w:after="0"/>
            </w:pPr>
            <w:r>
              <w:rPr>
                <w:sz w:val="15"/>
              </w:rPr>
            </w:r>
            <w:r>
              <w:rPr>
                <w:b w:val="0"/>
                <w:sz w:val="15"/>
              </w:rPr>
              <w:t>Patrick J. McGovern Foundation</w:t>
            </w:r>
          </w:p>
        </w:tc>
        <w:tc>
          <w:tcPr>
            <w:tcW w:type="dxa" w:w="2520"/>
            <w:vAlign w:val="top"/>
          </w:tcPr>
          <w:p>
            <w:pPr>
              <w:spacing w:after="0"/>
            </w:pPr>
            <w:r>
              <w:rPr>
                <w:sz w:val="15"/>
              </w:rPr>
            </w:r>
            <w:r>
              <w:rPr>
                <w:b w:val="0"/>
                <w:sz w:val="15"/>
              </w:rPr>
              <w:t>AI/data/social impact</w:t>
            </w:r>
          </w:p>
        </w:tc>
        <w:tc>
          <w:tcPr>
            <w:tcW w:type="dxa" w:w="4248"/>
            <w:vAlign w:val="top"/>
          </w:tcPr>
          <w:p>
            <w:pPr>
              <w:spacing w:after="0"/>
            </w:pPr>
            <w:r>
              <w:rPr>
                <w:sz w:val="15"/>
              </w:rPr>
            </w:r>
            <w:r>
              <w:rPr>
                <w:b w:val="0"/>
                <w:sz w:val="15"/>
              </w:rPr>
              <w:t>Monitor AI and data-for-good grantmaking and funder prospects.</w:t>
            </w:r>
          </w:p>
        </w:tc>
      </w:tr>
      <w:tr>
        <w:tc>
          <w:tcPr>
            <w:tcW w:type="dxa" w:w="2736"/>
            <w:vAlign w:val="top"/>
          </w:tcPr>
          <w:p>
            <w:pPr>
              <w:spacing w:after="0"/>
            </w:pPr>
            <w:r>
              <w:rPr>
                <w:sz w:val="15"/>
              </w:rPr>
            </w:r>
            <w:r>
              <w:rPr>
                <w:b w:val="0"/>
                <w:sz w:val="15"/>
              </w:rPr>
              <w:t>Mozilla Foundation</w:t>
            </w:r>
          </w:p>
        </w:tc>
        <w:tc>
          <w:tcPr>
            <w:tcW w:type="dxa" w:w="2520"/>
            <w:vAlign w:val="top"/>
          </w:tcPr>
          <w:p>
            <w:pPr>
              <w:spacing w:after="0"/>
            </w:pPr>
            <w:r>
              <w:rPr>
                <w:sz w:val="15"/>
              </w:rPr>
            </w:r>
            <w:r>
              <w:rPr>
                <w:b w:val="0"/>
                <w:sz w:val="15"/>
              </w:rPr>
              <w:t>Open-source AI/public-interest tech</w:t>
            </w:r>
          </w:p>
        </w:tc>
        <w:tc>
          <w:tcPr>
            <w:tcW w:type="dxa" w:w="4248"/>
            <w:vAlign w:val="top"/>
          </w:tcPr>
          <w:p>
            <w:pPr>
              <w:spacing w:after="0"/>
            </w:pPr>
            <w:r>
              <w:rPr>
                <w:sz w:val="15"/>
              </w:rPr>
            </w:r>
            <w:r>
              <w:rPr>
                <w:b w:val="0"/>
                <w:sz w:val="15"/>
              </w:rPr>
              <w:t>Monitor technology, open-source, public AI, and digital rights grant programs.</w:t>
            </w:r>
          </w:p>
        </w:tc>
      </w:tr>
      <w:tr>
        <w:tc>
          <w:tcPr>
            <w:tcW w:type="dxa" w:w="2736"/>
            <w:vAlign w:val="top"/>
          </w:tcPr>
          <w:p>
            <w:pPr>
              <w:spacing w:after="0"/>
            </w:pPr>
            <w:r>
              <w:rPr>
                <w:sz w:val="15"/>
              </w:rPr>
            </w:r>
            <w:r>
              <w:rPr>
                <w:b w:val="0"/>
                <w:sz w:val="15"/>
              </w:rPr>
              <w:t>Omidyar Network</w:t>
            </w:r>
          </w:p>
        </w:tc>
        <w:tc>
          <w:tcPr>
            <w:tcW w:type="dxa" w:w="2520"/>
            <w:vAlign w:val="top"/>
          </w:tcPr>
          <w:p>
            <w:pPr>
              <w:spacing w:after="0"/>
            </w:pPr>
            <w:r>
              <w:rPr>
                <w:sz w:val="15"/>
              </w:rPr>
            </w:r>
            <w:r>
              <w:rPr>
                <w:b w:val="0"/>
                <w:sz w:val="15"/>
              </w:rPr>
              <w:t>Tech journalism/platform accountability</w:t>
            </w:r>
          </w:p>
        </w:tc>
        <w:tc>
          <w:tcPr>
            <w:tcW w:type="dxa" w:w="4248"/>
            <w:vAlign w:val="top"/>
          </w:tcPr>
          <w:p>
            <w:pPr>
              <w:spacing w:after="0"/>
            </w:pPr>
            <w:r>
              <w:rPr>
                <w:sz w:val="15"/>
              </w:rPr>
            </w:r>
            <w:r>
              <w:rPr>
                <w:b w:val="0"/>
                <w:sz w:val="15"/>
              </w:rPr>
              <w:t>Monitor tech journalism, AI policy, workers/AI, social impact, and platform accountability funding.</w:t>
            </w:r>
          </w:p>
        </w:tc>
      </w:tr>
      <w:tr>
        <w:tc>
          <w:tcPr>
            <w:tcW w:type="dxa" w:w="2736"/>
            <w:vAlign w:val="top"/>
          </w:tcPr>
          <w:p>
            <w:pPr>
              <w:spacing w:after="0"/>
            </w:pPr>
            <w:r>
              <w:rPr>
                <w:sz w:val="15"/>
              </w:rPr>
            </w:r>
            <w:r>
              <w:rPr>
                <w:b w:val="0"/>
                <w:sz w:val="15"/>
              </w:rPr>
              <w:t>Internet Society Foundation / Common Good Cyber Fund</w:t>
            </w:r>
          </w:p>
        </w:tc>
        <w:tc>
          <w:tcPr>
            <w:tcW w:type="dxa" w:w="2520"/>
            <w:vAlign w:val="top"/>
          </w:tcPr>
          <w:p>
            <w:pPr>
              <w:spacing w:after="0"/>
            </w:pPr>
            <w:r>
              <w:rPr>
                <w:sz w:val="15"/>
              </w:rPr>
            </w:r>
            <w:r>
              <w:rPr>
                <w:b w:val="0"/>
                <w:sz w:val="15"/>
              </w:rPr>
              <w:t>Cybersecurity/digital rights</w:t>
            </w:r>
          </w:p>
        </w:tc>
        <w:tc>
          <w:tcPr>
            <w:tcW w:type="dxa" w:w="4248"/>
            <w:vAlign w:val="top"/>
          </w:tcPr>
          <w:p>
            <w:pPr>
              <w:spacing w:after="0"/>
            </w:pPr>
            <w:r>
              <w:rPr>
                <w:sz w:val="15"/>
              </w:rPr>
            </w:r>
            <w:r>
              <w:rPr>
                <w:b w:val="0"/>
                <w:sz w:val="15"/>
              </w:rPr>
              <w:t>Monitor nonprofit cybersecurity, civil society security, and internet infrastructure funding.</w:t>
            </w:r>
          </w:p>
        </w:tc>
      </w:tr>
      <w:tr>
        <w:tc>
          <w:tcPr>
            <w:tcW w:type="dxa" w:w="2736"/>
            <w:vAlign w:val="top"/>
          </w:tcPr>
          <w:p>
            <w:pPr>
              <w:spacing w:after="0"/>
            </w:pPr>
            <w:r>
              <w:rPr>
                <w:sz w:val="15"/>
              </w:rPr>
            </w:r>
            <w:r>
              <w:rPr>
                <w:b w:val="0"/>
                <w:sz w:val="15"/>
              </w:rPr>
              <w:t>Candid Grants API</w:t>
            </w:r>
          </w:p>
        </w:tc>
        <w:tc>
          <w:tcPr>
            <w:tcW w:type="dxa" w:w="2520"/>
            <w:vAlign w:val="top"/>
          </w:tcPr>
          <w:p>
            <w:pPr>
              <w:spacing w:after="0"/>
            </w:pPr>
            <w:r>
              <w:rPr>
                <w:sz w:val="15"/>
              </w:rPr>
            </w:r>
            <w:r>
              <w:rPr>
                <w:b w:val="0"/>
                <w:sz w:val="15"/>
              </w:rPr>
              <w:t>Licensed private grant data</w:t>
            </w:r>
          </w:p>
        </w:tc>
        <w:tc>
          <w:tcPr>
            <w:tcW w:type="dxa" w:w="4248"/>
            <w:vAlign w:val="top"/>
          </w:tcPr>
          <w:p>
            <w:pPr>
              <w:spacing w:after="0"/>
            </w:pPr>
            <w:r>
              <w:rPr>
                <w:sz w:val="15"/>
              </w:rPr>
            </w:r>
            <w:r>
              <w:rPr>
                <w:b w:val="0"/>
                <w:sz w:val="15"/>
              </w:rPr>
              <w:t>Optional licensed integration for grant transactions, funders, recipients, and funding landscape data.</w:t>
            </w:r>
          </w:p>
        </w:tc>
      </w:tr>
      <w:tr>
        <w:tc>
          <w:tcPr>
            <w:tcW w:type="dxa" w:w="2736"/>
            <w:vAlign w:val="top"/>
          </w:tcPr>
          <w:p>
            <w:pPr>
              <w:spacing w:after="0"/>
            </w:pPr>
            <w:r>
              <w:rPr>
                <w:sz w:val="15"/>
              </w:rPr>
            </w:r>
            <w:r>
              <w:rPr>
                <w:b w:val="0"/>
                <w:sz w:val="15"/>
              </w:rPr>
              <w:t>Instrumentl API</w:t>
            </w:r>
          </w:p>
        </w:tc>
        <w:tc>
          <w:tcPr>
            <w:tcW w:type="dxa" w:w="2520"/>
            <w:vAlign w:val="top"/>
          </w:tcPr>
          <w:p>
            <w:pPr>
              <w:spacing w:after="0"/>
            </w:pPr>
            <w:r>
              <w:rPr>
                <w:sz w:val="15"/>
              </w:rPr>
            </w:r>
            <w:r>
              <w:rPr>
                <w:b w:val="0"/>
                <w:sz w:val="15"/>
              </w:rPr>
              <w:t>Licensed grant/funder data</w:t>
            </w:r>
          </w:p>
        </w:tc>
        <w:tc>
          <w:tcPr>
            <w:tcW w:type="dxa" w:w="4248"/>
            <w:vAlign w:val="top"/>
          </w:tcPr>
          <w:p>
            <w:pPr>
              <w:spacing w:after="0"/>
            </w:pPr>
            <w:r>
              <w:rPr>
                <w:sz w:val="15"/>
              </w:rPr>
            </w:r>
            <w:r>
              <w:rPr>
                <w:b w:val="0"/>
                <w:sz w:val="15"/>
              </w:rPr>
              <w:t>Optional licensed integration for active opportunities, funder data, tasks, saved grants, and webhooks.</w:t>
            </w:r>
          </w:p>
        </w:tc>
      </w:tr>
    </w:tbl>
    <w:p/>
    <w:p>
      <w:pPr>
        <w:pStyle w:val="Heading1"/>
      </w:pPr>
      <w:r>
        <w:rPr>
          <w:rFonts w:ascii="Arial" w:hAnsi="Arial"/>
        </w:rPr>
        <w:t>Appendix B. Source Compliance Decision Matrix</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448"/>
            <w:shd w:fill="D9EAF7"/>
            <w:vAlign w:val="top"/>
          </w:tcPr>
          <w:p>
            <w:pPr>
              <w:spacing w:after="0"/>
            </w:pPr>
            <w:r>
              <w:rPr>
                <w:sz w:val="16"/>
              </w:rPr>
            </w:r>
            <w:r>
              <w:rPr>
                <w:b/>
                <w:color w:val="1C4967"/>
                <w:sz w:val="16"/>
              </w:rPr>
              <w:t>Scenario</w:t>
            </w:r>
          </w:p>
        </w:tc>
        <w:tc>
          <w:tcPr>
            <w:tcW w:type="dxa" w:w="3744"/>
            <w:shd w:fill="D9EAF7"/>
            <w:vAlign w:val="top"/>
          </w:tcPr>
          <w:p>
            <w:pPr>
              <w:spacing w:after="0"/>
            </w:pPr>
            <w:r>
              <w:rPr>
                <w:sz w:val="16"/>
              </w:rPr>
            </w:r>
            <w:r>
              <w:rPr>
                <w:b/>
                <w:color w:val="1C4967"/>
                <w:sz w:val="16"/>
              </w:rPr>
              <w:t>Allowed action</w:t>
            </w:r>
          </w:p>
        </w:tc>
        <w:tc>
          <w:tcPr>
            <w:tcW w:type="dxa" w:w="3311"/>
            <w:shd w:fill="D9EAF7"/>
            <w:vAlign w:val="top"/>
          </w:tcPr>
          <w:p>
            <w:pPr>
              <w:spacing w:after="0"/>
            </w:pPr>
            <w:r>
              <w:rPr>
                <w:sz w:val="16"/>
              </w:rPr>
            </w:r>
            <w:r>
              <w:rPr>
                <w:b/>
                <w:color w:val="1C4967"/>
                <w:sz w:val="16"/>
              </w:rPr>
              <w:t>Do not do</w:t>
            </w:r>
          </w:p>
        </w:tc>
      </w:tr>
      <w:tr>
        <w:tc>
          <w:tcPr>
            <w:tcW w:type="dxa" w:w="2448"/>
            <w:vAlign w:val="top"/>
          </w:tcPr>
          <w:p>
            <w:pPr>
              <w:spacing w:after="0"/>
            </w:pPr>
            <w:r>
              <w:rPr>
                <w:sz w:val="16"/>
              </w:rPr>
            </w:r>
            <w:r>
              <w:rPr>
                <w:b w:val="0"/>
                <w:sz w:val="16"/>
              </w:rPr>
              <w:t>Official public API</w:t>
            </w:r>
          </w:p>
        </w:tc>
        <w:tc>
          <w:tcPr>
            <w:tcW w:type="dxa" w:w="3744"/>
            <w:vAlign w:val="top"/>
          </w:tcPr>
          <w:p>
            <w:pPr>
              <w:spacing w:after="0"/>
            </w:pPr>
            <w:r>
              <w:rPr>
                <w:sz w:val="16"/>
              </w:rPr>
            </w:r>
            <w:r>
              <w:rPr>
                <w:b w:val="0"/>
                <w:sz w:val="16"/>
              </w:rPr>
              <w:t>Use API per published limits/terms; store allowed fields; cache responsibly.</w:t>
            </w:r>
          </w:p>
        </w:tc>
        <w:tc>
          <w:tcPr>
            <w:tcW w:type="dxa" w:w="3311"/>
            <w:vAlign w:val="top"/>
          </w:tcPr>
          <w:p>
            <w:pPr>
              <w:spacing w:after="0"/>
            </w:pPr>
            <w:r>
              <w:rPr>
                <w:sz w:val="16"/>
              </w:rPr>
            </w:r>
            <w:r>
              <w:rPr>
                <w:b w:val="0"/>
                <w:sz w:val="16"/>
              </w:rPr>
              <w:t>Ignore rate limits or exceed contract/API policy.</w:t>
            </w:r>
          </w:p>
        </w:tc>
      </w:tr>
      <w:tr>
        <w:tc>
          <w:tcPr>
            <w:tcW w:type="dxa" w:w="2448"/>
            <w:vAlign w:val="top"/>
          </w:tcPr>
          <w:p>
            <w:pPr>
              <w:spacing w:after="0"/>
            </w:pPr>
            <w:r>
              <w:rPr>
                <w:sz w:val="16"/>
              </w:rPr>
            </w:r>
            <w:r>
              <w:rPr>
                <w:b w:val="0"/>
                <w:sz w:val="16"/>
              </w:rPr>
              <w:t>Licensed data API</w:t>
            </w:r>
          </w:p>
        </w:tc>
        <w:tc>
          <w:tcPr>
            <w:tcW w:type="dxa" w:w="3744"/>
            <w:vAlign w:val="top"/>
          </w:tcPr>
          <w:p>
            <w:pPr>
              <w:spacing w:after="0"/>
            </w:pPr>
            <w:r>
              <w:rPr>
                <w:sz w:val="16"/>
              </w:rPr>
            </w:r>
            <w:r>
              <w:rPr>
                <w:b w:val="0"/>
                <w:sz w:val="16"/>
              </w:rPr>
              <w:t>Use according to signed license and display rights.</w:t>
            </w:r>
          </w:p>
        </w:tc>
        <w:tc>
          <w:tcPr>
            <w:tcW w:type="dxa" w:w="3311"/>
            <w:vAlign w:val="top"/>
          </w:tcPr>
          <w:p>
            <w:pPr>
              <w:spacing w:after="0"/>
            </w:pPr>
            <w:r>
              <w:rPr>
                <w:sz w:val="16"/>
              </w:rPr>
            </w:r>
            <w:r>
              <w:rPr>
                <w:b w:val="0"/>
                <w:sz w:val="16"/>
              </w:rPr>
              <w:t>Expose fields or exports outside license terms.</w:t>
            </w:r>
          </w:p>
        </w:tc>
      </w:tr>
      <w:tr>
        <w:tc>
          <w:tcPr>
            <w:tcW w:type="dxa" w:w="2448"/>
            <w:vAlign w:val="top"/>
          </w:tcPr>
          <w:p>
            <w:pPr>
              <w:spacing w:after="0"/>
            </w:pPr>
            <w:r>
              <w:rPr>
                <w:sz w:val="16"/>
              </w:rPr>
            </w:r>
            <w:r>
              <w:rPr>
                <w:b w:val="0"/>
                <w:sz w:val="16"/>
              </w:rPr>
              <w:t>Public funder opportunity page</w:t>
            </w:r>
          </w:p>
        </w:tc>
        <w:tc>
          <w:tcPr>
            <w:tcW w:type="dxa" w:w="3744"/>
            <w:vAlign w:val="top"/>
          </w:tcPr>
          <w:p>
            <w:pPr>
              <w:spacing w:after="0"/>
            </w:pPr>
            <w:r>
              <w:rPr>
                <w:sz w:val="16"/>
              </w:rPr>
            </w:r>
            <w:r>
              <w:rPr>
                <w:b w:val="0"/>
                <w:sz w:val="16"/>
              </w:rPr>
              <w:t>Fetch respectfully if robots/terms allow; store metadata and allowed snippets.</w:t>
            </w:r>
          </w:p>
        </w:tc>
        <w:tc>
          <w:tcPr>
            <w:tcW w:type="dxa" w:w="3311"/>
            <w:vAlign w:val="top"/>
          </w:tcPr>
          <w:p>
            <w:pPr>
              <w:spacing w:after="0"/>
            </w:pPr>
            <w:r>
              <w:rPr>
                <w:sz w:val="16"/>
              </w:rPr>
            </w:r>
            <w:r>
              <w:rPr>
                <w:b w:val="0"/>
                <w:sz w:val="16"/>
              </w:rPr>
              <w:t>Overload site or reproduce content beyond allowed use.</w:t>
            </w:r>
          </w:p>
        </w:tc>
      </w:tr>
      <w:tr>
        <w:tc>
          <w:tcPr>
            <w:tcW w:type="dxa" w:w="2448"/>
            <w:vAlign w:val="top"/>
          </w:tcPr>
          <w:p>
            <w:pPr>
              <w:spacing w:after="0"/>
            </w:pPr>
            <w:r>
              <w:rPr>
                <w:sz w:val="16"/>
              </w:rPr>
            </w:r>
            <w:r>
              <w:rPr>
                <w:b w:val="0"/>
                <w:sz w:val="16"/>
              </w:rPr>
              <w:t>Application portal public landing page</w:t>
            </w:r>
          </w:p>
        </w:tc>
        <w:tc>
          <w:tcPr>
            <w:tcW w:type="dxa" w:w="3744"/>
            <w:vAlign w:val="top"/>
          </w:tcPr>
          <w:p>
            <w:pPr>
              <w:spacing w:after="0"/>
            </w:pPr>
            <w:r>
              <w:rPr>
                <w:sz w:val="16"/>
              </w:rPr>
            </w:r>
            <w:r>
              <w:rPr>
                <w:b w:val="0"/>
                <w:sz w:val="16"/>
              </w:rPr>
              <w:t>Store public metadata and application URL.</w:t>
            </w:r>
          </w:p>
        </w:tc>
        <w:tc>
          <w:tcPr>
            <w:tcW w:type="dxa" w:w="3311"/>
            <w:vAlign w:val="top"/>
          </w:tcPr>
          <w:p>
            <w:pPr>
              <w:spacing w:after="0"/>
            </w:pPr>
            <w:r>
              <w:rPr>
                <w:sz w:val="16"/>
              </w:rPr>
            </w:r>
            <w:r>
              <w:rPr>
                <w:b w:val="0"/>
                <w:sz w:val="16"/>
              </w:rPr>
              <w:t>Bypass login, scrape applicant forms, or submit without user action.</w:t>
            </w:r>
          </w:p>
        </w:tc>
      </w:tr>
      <w:tr>
        <w:tc>
          <w:tcPr>
            <w:tcW w:type="dxa" w:w="2448"/>
            <w:vAlign w:val="top"/>
          </w:tcPr>
          <w:p>
            <w:pPr>
              <w:spacing w:after="0"/>
            </w:pPr>
            <w:r>
              <w:rPr>
                <w:sz w:val="16"/>
              </w:rPr>
            </w:r>
            <w:r>
              <w:rPr>
                <w:b w:val="0"/>
                <w:sz w:val="16"/>
              </w:rPr>
              <w:t>Login-gated grant database</w:t>
            </w:r>
          </w:p>
        </w:tc>
        <w:tc>
          <w:tcPr>
            <w:tcW w:type="dxa" w:w="3744"/>
            <w:vAlign w:val="top"/>
          </w:tcPr>
          <w:p>
            <w:pPr>
              <w:spacing w:after="0"/>
            </w:pPr>
            <w:r>
              <w:rPr>
                <w:sz w:val="16"/>
              </w:rPr>
            </w:r>
            <w:r>
              <w:rPr>
                <w:b w:val="0"/>
                <w:sz w:val="16"/>
              </w:rPr>
              <w:t>Use only if licensed/API authorized.</w:t>
            </w:r>
          </w:p>
        </w:tc>
        <w:tc>
          <w:tcPr>
            <w:tcW w:type="dxa" w:w="3311"/>
            <w:vAlign w:val="top"/>
          </w:tcPr>
          <w:p>
            <w:pPr>
              <w:spacing w:after="0"/>
            </w:pPr>
            <w:r>
              <w:rPr>
                <w:sz w:val="16"/>
              </w:rPr>
            </w:r>
            <w:r>
              <w:rPr>
                <w:b w:val="0"/>
                <w:sz w:val="16"/>
              </w:rPr>
              <w:t>Scrape behind login or share restricted data.</w:t>
            </w:r>
          </w:p>
        </w:tc>
      </w:tr>
      <w:tr>
        <w:tc>
          <w:tcPr>
            <w:tcW w:type="dxa" w:w="2448"/>
            <w:vAlign w:val="top"/>
          </w:tcPr>
          <w:p>
            <w:pPr>
              <w:spacing w:after="0"/>
            </w:pPr>
            <w:r>
              <w:rPr>
                <w:sz w:val="16"/>
              </w:rPr>
            </w:r>
            <w:r>
              <w:rPr>
                <w:b w:val="0"/>
                <w:sz w:val="16"/>
              </w:rPr>
              <w:t>Disallowed by robots/terms</w:t>
            </w:r>
          </w:p>
        </w:tc>
        <w:tc>
          <w:tcPr>
            <w:tcW w:type="dxa" w:w="3744"/>
            <w:vAlign w:val="top"/>
          </w:tcPr>
          <w:p>
            <w:pPr>
              <w:spacing w:after="0"/>
            </w:pPr>
            <w:r>
              <w:rPr>
                <w:sz w:val="16"/>
              </w:rPr>
            </w:r>
            <w:r>
              <w:rPr>
                <w:b w:val="0"/>
                <w:sz w:val="16"/>
              </w:rPr>
              <w:t>Disable crawler; add manual monitoring or request permission/API access.</w:t>
            </w:r>
          </w:p>
        </w:tc>
        <w:tc>
          <w:tcPr>
            <w:tcW w:type="dxa" w:w="3311"/>
            <w:vAlign w:val="top"/>
          </w:tcPr>
          <w:p>
            <w:pPr>
              <w:spacing w:after="0"/>
            </w:pPr>
            <w:r>
              <w:rPr>
                <w:sz w:val="16"/>
              </w:rPr>
            </w:r>
            <w:r>
              <w:rPr>
                <w:b w:val="0"/>
                <w:sz w:val="16"/>
              </w:rPr>
              <w:t>Crawl anyway.</w:t>
            </w:r>
          </w:p>
        </w:tc>
      </w:tr>
      <w:tr>
        <w:tc>
          <w:tcPr>
            <w:tcW w:type="dxa" w:w="2448"/>
            <w:vAlign w:val="top"/>
          </w:tcPr>
          <w:p>
            <w:pPr>
              <w:spacing w:after="0"/>
            </w:pPr>
            <w:r>
              <w:rPr>
                <w:sz w:val="16"/>
              </w:rPr>
            </w:r>
            <w:r>
              <w:rPr>
                <w:b w:val="0"/>
                <w:sz w:val="16"/>
              </w:rPr>
              <w:t>User-submitted link</w:t>
            </w:r>
          </w:p>
        </w:tc>
        <w:tc>
          <w:tcPr>
            <w:tcW w:type="dxa" w:w="3744"/>
            <w:vAlign w:val="top"/>
          </w:tcPr>
          <w:p>
            <w:pPr>
              <w:spacing w:after="0"/>
            </w:pPr>
            <w:r>
              <w:rPr>
                <w:sz w:val="16"/>
              </w:rPr>
            </w:r>
            <w:r>
              <w:rPr>
                <w:b w:val="0"/>
                <w:sz w:val="16"/>
              </w:rPr>
              <w:t>Queue for admin review before adding source/candidate.</w:t>
            </w:r>
          </w:p>
        </w:tc>
        <w:tc>
          <w:tcPr>
            <w:tcW w:type="dxa" w:w="3311"/>
            <w:vAlign w:val="top"/>
          </w:tcPr>
          <w:p>
            <w:pPr>
              <w:spacing w:after="0"/>
            </w:pPr>
            <w:r>
              <w:rPr>
                <w:sz w:val="16"/>
              </w:rPr>
            </w:r>
            <w:r>
              <w:rPr>
                <w:b w:val="0"/>
                <w:sz w:val="16"/>
              </w:rPr>
              <w:t>Auto-publish without source verification.</w:t>
            </w:r>
          </w:p>
        </w:tc>
      </w:tr>
    </w:tbl>
    <w:p/>
    <w:p>
      <w:pPr>
        <w:pStyle w:val="Heading1"/>
      </w:pPr>
      <w:r>
        <w:rPr>
          <w:rFonts w:ascii="Arial" w:hAnsi="Arial"/>
        </w:rPr>
        <w:t>Appendix C. Reference Links Checked for Source Planning</w:t>
      </w:r>
    </w:p>
    <w:p>
      <w:r>
        <w:rPr>
          <w:rFonts w:ascii="Arial" w:hAnsi="Arial"/>
        </w:rPr>
        <w:t>These links support source and integration assumptions in this build document. Product/legal teams should re-review terms before production launch and periodically after launch.</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3096"/>
            <w:shd w:fill="D9EAF7"/>
            <w:vAlign w:val="top"/>
          </w:tcPr>
          <w:p>
            <w:pPr>
              <w:spacing w:after="0"/>
            </w:pPr>
            <w:r>
              <w:rPr>
                <w:sz w:val="15"/>
              </w:rPr>
            </w:r>
            <w:r>
              <w:rPr>
                <w:b/>
                <w:color w:val="1C4967"/>
                <w:sz w:val="15"/>
              </w:rPr>
              <w:t>Reference</w:t>
            </w:r>
          </w:p>
        </w:tc>
        <w:tc>
          <w:tcPr>
            <w:tcW w:type="dxa" w:w="6408"/>
            <w:shd w:fill="D9EAF7"/>
            <w:vAlign w:val="top"/>
          </w:tcPr>
          <w:p>
            <w:pPr>
              <w:spacing w:after="0"/>
            </w:pPr>
            <w:r>
              <w:rPr>
                <w:sz w:val="15"/>
              </w:rPr>
            </w:r>
            <w:r>
              <w:rPr>
                <w:b/>
                <w:color w:val="1C4967"/>
                <w:sz w:val="15"/>
              </w:rPr>
              <w:t>URL</w:t>
            </w:r>
          </w:p>
        </w:tc>
      </w:tr>
      <w:tr>
        <w:tc>
          <w:tcPr>
            <w:tcW w:type="dxa" w:w="3096"/>
            <w:vAlign w:val="top"/>
          </w:tcPr>
          <w:p>
            <w:pPr>
              <w:spacing w:after="0"/>
            </w:pPr>
            <w:r>
              <w:rPr>
                <w:sz w:val="15"/>
              </w:rPr>
            </w:r>
            <w:r>
              <w:rPr>
                <w:b w:val="0"/>
                <w:sz w:val="15"/>
              </w:rPr>
              <w:t>Grants.gov Search2 API</w:t>
            </w:r>
          </w:p>
        </w:tc>
        <w:tc>
          <w:tcPr>
            <w:tcW w:type="dxa" w:w="6408"/>
            <w:vAlign w:val="top"/>
          </w:tcPr>
          <w:p>
            <w:pPr>
              <w:spacing w:after="0"/>
            </w:pPr>
            <w:r>
              <w:rPr>
                <w:sz w:val="15"/>
              </w:rPr>
            </w:r>
            <w:r>
              <w:rPr>
                <w:b w:val="0"/>
                <w:sz w:val="15"/>
              </w:rPr>
              <w:t>https://www.grants.gov/api/common/search2</w:t>
            </w:r>
          </w:p>
        </w:tc>
      </w:tr>
      <w:tr>
        <w:tc>
          <w:tcPr>
            <w:tcW w:type="dxa" w:w="3096"/>
            <w:vAlign w:val="top"/>
          </w:tcPr>
          <w:p>
            <w:pPr>
              <w:spacing w:after="0"/>
            </w:pPr>
            <w:r>
              <w:rPr>
                <w:sz w:val="15"/>
              </w:rPr>
            </w:r>
            <w:r>
              <w:rPr>
                <w:b w:val="0"/>
                <w:sz w:val="15"/>
              </w:rPr>
              <w:t>Grants.gov FetchOpportunity API</w:t>
            </w:r>
          </w:p>
        </w:tc>
        <w:tc>
          <w:tcPr>
            <w:tcW w:type="dxa" w:w="6408"/>
            <w:vAlign w:val="top"/>
          </w:tcPr>
          <w:p>
            <w:pPr>
              <w:spacing w:after="0"/>
            </w:pPr>
            <w:r>
              <w:rPr>
                <w:sz w:val="15"/>
              </w:rPr>
            </w:r>
            <w:r>
              <w:rPr>
                <w:b w:val="0"/>
                <w:sz w:val="15"/>
              </w:rPr>
              <w:t>https://www.grants.gov/api/common/fetchopportunity</w:t>
            </w:r>
          </w:p>
        </w:tc>
      </w:tr>
      <w:tr>
        <w:tc>
          <w:tcPr>
            <w:tcW w:type="dxa" w:w="3096"/>
            <w:vAlign w:val="top"/>
          </w:tcPr>
          <w:p>
            <w:pPr>
              <w:spacing w:after="0"/>
            </w:pPr>
            <w:r>
              <w:rPr>
                <w:sz w:val="15"/>
              </w:rPr>
            </w:r>
            <w:r>
              <w:rPr>
                <w:b w:val="0"/>
                <w:sz w:val="15"/>
              </w:rPr>
              <w:t>SAM.gov Assistance Listings Public API</w:t>
            </w:r>
          </w:p>
        </w:tc>
        <w:tc>
          <w:tcPr>
            <w:tcW w:type="dxa" w:w="6408"/>
            <w:vAlign w:val="top"/>
          </w:tcPr>
          <w:p>
            <w:pPr>
              <w:spacing w:after="0"/>
            </w:pPr>
            <w:r>
              <w:rPr>
                <w:sz w:val="15"/>
              </w:rPr>
            </w:r>
            <w:r>
              <w:rPr>
                <w:b w:val="0"/>
                <w:sz w:val="15"/>
              </w:rPr>
              <w:t>https://open.gsa.gov/api/assistance-listings-api/</w:t>
            </w:r>
          </w:p>
        </w:tc>
      </w:tr>
      <w:tr>
        <w:tc>
          <w:tcPr>
            <w:tcW w:type="dxa" w:w="3096"/>
            <w:vAlign w:val="top"/>
          </w:tcPr>
          <w:p>
            <w:pPr>
              <w:spacing w:after="0"/>
            </w:pPr>
            <w:r>
              <w:rPr>
                <w:sz w:val="15"/>
              </w:rPr>
            </w:r>
            <w:r>
              <w:rPr>
                <w:b w:val="0"/>
                <w:sz w:val="15"/>
              </w:rPr>
              <w:t>USAspending.gov API</w:t>
            </w:r>
          </w:p>
        </w:tc>
        <w:tc>
          <w:tcPr>
            <w:tcW w:type="dxa" w:w="6408"/>
            <w:vAlign w:val="top"/>
          </w:tcPr>
          <w:p>
            <w:pPr>
              <w:spacing w:after="0"/>
            </w:pPr>
            <w:r>
              <w:rPr>
                <w:sz w:val="15"/>
              </w:rPr>
            </w:r>
            <w:r>
              <w:rPr>
                <w:b w:val="0"/>
                <w:sz w:val="15"/>
              </w:rPr>
              <w:t>https://api.usaspending.gov/</w:t>
            </w:r>
          </w:p>
        </w:tc>
      </w:tr>
      <w:tr>
        <w:tc>
          <w:tcPr>
            <w:tcW w:type="dxa" w:w="3096"/>
            <w:vAlign w:val="top"/>
          </w:tcPr>
          <w:p>
            <w:pPr>
              <w:spacing w:after="0"/>
            </w:pPr>
            <w:r>
              <w:rPr>
                <w:sz w:val="15"/>
              </w:rPr>
            </w:r>
            <w:r>
              <w:rPr>
                <w:b w:val="0"/>
                <w:sz w:val="15"/>
              </w:rPr>
              <w:t>Candid Grants API</w:t>
            </w:r>
          </w:p>
        </w:tc>
        <w:tc>
          <w:tcPr>
            <w:tcW w:type="dxa" w:w="6408"/>
            <w:vAlign w:val="top"/>
          </w:tcPr>
          <w:p>
            <w:pPr>
              <w:spacing w:after="0"/>
            </w:pPr>
            <w:r>
              <w:rPr>
                <w:sz w:val="15"/>
              </w:rPr>
            </w:r>
            <w:r>
              <w:rPr>
                <w:b w:val="0"/>
                <w:sz w:val="15"/>
              </w:rPr>
              <w:t>https://developer.candid.org/reference/get-started-with-grants-api</w:t>
            </w:r>
          </w:p>
        </w:tc>
      </w:tr>
      <w:tr>
        <w:tc>
          <w:tcPr>
            <w:tcW w:type="dxa" w:w="3096"/>
            <w:vAlign w:val="top"/>
          </w:tcPr>
          <w:p>
            <w:pPr>
              <w:spacing w:after="0"/>
            </w:pPr>
            <w:r>
              <w:rPr>
                <w:sz w:val="15"/>
              </w:rPr>
            </w:r>
            <w:r>
              <w:rPr>
                <w:b w:val="0"/>
                <w:sz w:val="15"/>
              </w:rPr>
              <w:t>Candid grants data fact sheet</w:t>
            </w:r>
          </w:p>
        </w:tc>
        <w:tc>
          <w:tcPr>
            <w:tcW w:type="dxa" w:w="6408"/>
            <w:vAlign w:val="top"/>
          </w:tcPr>
          <w:p>
            <w:pPr>
              <w:spacing w:after="0"/>
            </w:pPr>
            <w:r>
              <w:rPr>
                <w:sz w:val="15"/>
              </w:rPr>
            </w:r>
            <w:r>
              <w:rPr>
                <w:b w:val="0"/>
                <w:sz w:val="15"/>
              </w:rPr>
              <w:t>https://candid.org/about/our-data/grants-data-fact-sheet/</w:t>
            </w:r>
          </w:p>
        </w:tc>
      </w:tr>
      <w:tr>
        <w:tc>
          <w:tcPr>
            <w:tcW w:type="dxa" w:w="3096"/>
            <w:vAlign w:val="top"/>
          </w:tcPr>
          <w:p>
            <w:pPr>
              <w:spacing w:after="0"/>
            </w:pPr>
            <w:r>
              <w:rPr>
                <w:sz w:val="15"/>
              </w:rPr>
            </w:r>
            <w:r>
              <w:rPr>
                <w:b w:val="0"/>
                <w:sz w:val="15"/>
              </w:rPr>
              <w:t>Instrumentl API integration help</w:t>
            </w:r>
          </w:p>
        </w:tc>
        <w:tc>
          <w:tcPr>
            <w:tcW w:type="dxa" w:w="6408"/>
            <w:vAlign w:val="top"/>
          </w:tcPr>
          <w:p>
            <w:pPr>
              <w:spacing w:after="0"/>
            </w:pPr>
            <w:r>
              <w:rPr>
                <w:sz w:val="15"/>
              </w:rPr>
            </w:r>
            <w:r>
              <w:rPr>
                <w:b w:val="0"/>
                <w:sz w:val="15"/>
              </w:rPr>
              <w:t>https://help.instrumentl.com/en/articles/10020925-api-integration</w:t>
            </w:r>
          </w:p>
        </w:tc>
      </w:tr>
      <w:tr>
        <w:tc>
          <w:tcPr>
            <w:tcW w:type="dxa" w:w="3096"/>
            <w:vAlign w:val="top"/>
          </w:tcPr>
          <w:p>
            <w:pPr>
              <w:spacing w:after="0"/>
            </w:pPr>
            <w:r>
              <w:rPr>
                <w:sz w:val="15"/>
              </w:rPr>
            </w:r>
            <w:r>
              <w:rPr>
                <w:b w:val="0"/>
                <w:sz w:val="15"/>
              </w:rPr>
              <w:t>OpenAI Foundation People-First AI Fund</w:t>
            </w:r>
          </w:p>
        </w:tc>
        <w:tc>
          <w:tcPr>
            <w:tcW w:type="dxa" w:w="6408"/>
            <w:vAlign w:val="top"/>
          </w:tcPr>
          <w:p>
            <w:pPr>
              <w:spacing w:after="0"/>
            </w:pPr>
            <w:r>
              <w:rPr>
                <w:sz w:val="15"/>
              </w:rPr>
            </w:r>
            <w:r>
              <w:rPr>
                <w:b w:val="0"/>
                <w:sz w:val="15"/>
              </w:rPr>
              <w:t>https://openaifoundation.org/news/2026-people-first-ai-fund</w:t>
            </w:r>
          </w:p>
        </w:tc>
      </w:tr>
      <w:tr>
        <w:tc>
          <w:tcPr>
            <w:tcW w:type="dxa" w:w="3096"/>
            <w:vAlign w:val="top"/>
          </w:tcPr>
          <w:p>
            <w:pPr>
              <w:spacing w:after="0"/>
            </w:pPr>
            <w:r>
              <w:rPr>
                <w:sz w:val="15"/>
              </w:rPr>
            </w:r>
            <w:r>
              <w:rPr>
                <w:b w:val="0"/>
                <w:sz w:val="15"/>
              </w:rPr>
              <w:t>Google.org Generative AI Accelerator 2025</w:t>
            </w:r>
          </w:p>
        </w:tc>
        <w:tc>
          <w:tcPr>
            <w:tcW w:type="dxa" w:w="6408"/>
            <w:vAlign w:val="top"/>
          </w:tcPr>
          <w:p>
            <w:pPr>
              <w:spacing w:after="0"/>
            </w:pPr>
            <w:r>
              <w:rPr>
                <w:sz w:val="15"/>
              </w:rPr>
            </w:r>
            <w:r>
              <w:rPr>
                <w:b w:val="0"/>
                <w:sz w:val="15"/>
              </w:rPr>
              <w:t>https://blog.google/company-news/outreach-and-initiatives/google-org/google-org-generative-ai-accelerator-2025/</w:t>
            </w:r>
          </w:p>
        </w:tc>
      </w:tr>
      <w:tr>
        <w:tc>
          <w:tcPr>
            <w:tcW w:type="dxa" w:w="3096"/>
            <w:vAlign w:val="top"/>
          </w:tcPr>
          <w:p>
            <w:pPr>
              <w:spacing w:after="0"/>
            </w:pPr>
            <w:r>
              <w:rPr>
                <w:sz w:val="15"/>
              </w:rPr>
            </w:r>
            <w:r>
              <w:rPr>
                <w:b w:val="0"/>
                <w:sz w:val="15"/>
              </w:rPr>
              <w:t>Omidyar Network Tech Journalism Fund</w:t>
            </w:r>
          </w:p>
        </w:tc>
        <w:tc>
          <w:tcPr>
            <w:tcW w:type="dxa" w:w="6408"/>
            <w:vAlign w:val="top"/>
          </w:tcPr>
          <w:p>
            <w:pPr>
              <w:spacing w:after="0"/>
            </w:pPr>
            <w:r>
              <w:rPr>
                <w:sz w:val="15"/>
              </w:rPr>
            </w:r>
            <w:r>
              <w:rPr>
                <w:b w:val="0"/>
                <w:sz w:val="15"/>
              </w:rPr>
              <w:t>https://omidyar.com/where-we-focus/tech-journalism-fund/</w:t>
            </w:r>
          </w:p>
        </w:tc>
      </w:tr>
      <w:tr>
        <w:tc>
          <w:tcPr>
            <w:tcW w:type="dxa" w:w="3096"/>
            <w:vAlign w:val="top"/>
          </w:tcPr>
          <w:p>
            <w:pPr>
              <w:spacing w:after="0"/>
            </w:pPr>
            <w:r>
              <w:rPr>
                <w:sz w:val="15"/>
              </w:rPr>
            </w:r>
            <w:r>
              <w:rPr>
                <w:b w:val="0"/>
                <w:sz w:val="15"/>
              </w:rPr>
              <w:t>Internet Society Foundation Common Good Cyber Fund</w:t>
            </w:r>
          </w:p>
        </w:tc>
        <w:tc>
          <w:tcPr>
            <w:tcW w:type="dxa" w:w="6408"/>
            <w:vAlign w:val="top"/>
          </w:tcPr>
          <w:p>
            <w:pPr>
              <w:spacing w:after="0"/>
            </w:pPr>
            <w:r>
              <w:rPr>
                <w:sz w:val="15"/>
              </w:rPr>
            </w:r>
            <w:r>
              <w:rPr>
                <w:b w:val="0"/>
                <w:sz w:val="15"/>
              </w:rPr>
              <w:t>https://www.isocfoundation.org/grant-programme/common-good-cyber-fund/</w:t>
            </w:r>
          </w:p>
        </w:tc>
      </w:tr>
      <w:tr>
        <w:tc>
          <w:tcPr>
            <w:tcW w:type="dxa" w:w="3096"/>
            <w:vAlign w:val="top"/>
          </w:tcPr>
          <w:p>
            <w:pPr>
              <w:spacing w:after="0"/>
            </w:pPr>
            <w:r>
              <w:rPr>
                <w:sz w:val="15"/>
              </w:rPr>
            </w:r>
            <w:r>
              <w:rPr>
                <w:b w:val="0"/>
                <w:sz w:val="15"/>
              </w:rPr>
              <w:t>Common Good Cyber Fund applications announcement</w:t>
            </w:r>
          </w:p>
        </w:tc>
        <w:tc>
          <w:tcPr>
            <w:tcW w:type="dxa" w:w="6408"/>
            <w:vAlign w:val="top"/>
          </w:tcPr>
          <w:p>
            <w:pPr>
              <w:spacing w:after="0"/>
            </w:pPr>
            <w:r>
              <w:rPr>
                <w:sz w:val="15"/>
              </w:rPr>
            </w:r>
            <w:r>
              <w:rPr>
                <w:b w:val="0"/>
                <w:sz w:val="15"/>
              </w:rPr>
              <w:t>https://commongoodcyber.org/news/common-good-cyber-fund/</w:t>
            </w:r>
          </w:p>
        </w:tc>
      </w:tr>
    </w:tbl>
    <w:p/>
    <w:p>
      <w:pPr>
        <w:pStyle w:val="Heading1"/>
      </w:pPr>
      <w:r>
        <w:rPr>
          <w:rFonts w:ascii="Arial" w:hAnsi="Arial"/>
        </w:rPr>
        <w:t>Appendix D. Glossary</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520"/>
            <w:shd w:fill="D9EAF7"/>
            <w:vAlign w:val="top"/>
          </w:tcPr>
          <w:p>
            <w:pPr>
              <w:spacing w:after="0"/>
            </w:pPr>
            <w:r>
              <w:rPr>
                <w:sz w:val="16"/>
              </w:rPr>
            </w:r>
            <w:r>
              <w:rPr>
                <w:b/>
                <w:color w:val="1C4967"/>
                <w:sz w:val="16"/>
              </w:rPr>
              <w:t>Term</w:t>
            </w:r>
          </w:p>
        </w:tc>
        <w:tc>
          <w:tcPr>
            <w:tcW w:type="dxa" w:w="6983"/>
            <w:shd w:fill="D9EAF7"/>
            <w:vAlign w:val="top"/>
          </w:tcPr>
          <w:p>
            <w:pPr>
              <w:spacing w:after="0"/>
            </w:pPr>
            <w:r>
              <w:rPr>
                <w:sz w:val="16"/>
              </w:rPr>
            </w:r>
            <w:r>
              <w:rPr>
                <w:b/>
                <w:color w:val="1C4967"/>
                <w:sz w:val="16"/>
              </w:rPr>
              <w:t>Definition</w:t>
            </w:r>
          </w:p>
        </w:tc>
      </w:tr>
      <w:tr>
        <w:tc>
          <w:tcPr>
            <w:tcW w:type="dxa" w:w="2520"/>
            <w:vAlign w:val="top"/>
          </w:tcPr>
          <w:p>
            <w:pPr>
              <w:spacing w:after="0"/>
            </w:pPr>
            <w:r>
              <w:rPr>
                <w:sz w:val="16"/>
              </w:rPr>
            </w:r>
            <w:r>
              <w:rPr>
                <w:b w:val="0"/>
                <w:sz w:val="16"/>
              </w:rPr>
              <w:t>Canonical grant</w:t>
            </w:r>
          </w:p>
        </w:tc>
        <w:tc>
          <w:tcPr>
            <w:tcW w:type="dxa" w:w="6983"/>
            <w:vAlign w:val="top"/>
          </w:tcPr>
          <w:p>
            <w:pPr>
              <w:spacing w:after="0"/>
            </w:pPr>
            <w:r>
              <w:rPr>
                <w:sz w:val="16"/>
              </w:rPr>
            </w:r>
            <w:r>
              <w:rPr>
                <w:b w:val="0"/>
                <w:sz w:val="16"/>
              </w:rPr>
              <w:t>The platform's merged, normalized representation of one opportunity, even if found from multiple sources.</w:t>
            </w:r>
          </w:p>
        </w:tc>
      </w:tr>
      <w:tr>
        <w:tc>
          <w:tcPr>
            <w:tcW w:type="dxa" w:w="2520"/>
            <w:vAlign w:val="top"/>
          </w:tcPr>
          <w:p>
            <w:pPr>
              <w:spacing w:after="0"/>
            </w:pPr>
            <w:r>
              <w:rPr>
                <w:sz w:val="16"/>
              </w:rPr>
            </w:r>
            <w:r>
              <w:rPr>
                <w:b w:val="0"/>
                <w:sz w:val="16"/>
              </w:rPr>
              <w:t>Candidate</w:t>
            </w:r>
          </w:p>
        </w:tc>
        <w:tc>
          <w:tcPr>
            <w:tcW w:type="dxa" w:w="6983"/>
            <w:vAlign w:val="top"/>
          </w:tcPr>
          <w:p>
            <w:pPr>
              <w:spacing w:after="0"/>
            </w:pPr>
            <w:r>
              <w:rPr>
                <w:sz w:val="16"/>
              </w:rPr>
            </w:r>
            <w:r>
              <w:rPr>
                <w:b w:val="0"/>
                <w:sz w:val="16"/>
              </w:rPr>
              <w:t>A potential grant opportunity extracted from a private/public page before review or promotion.</w:t>
            </w:r>
          </w:p>
        </w:tc>
      </w:tr>
      <w:tr>
        <w:tc>
          <w:tcPr>
            <w:tcW w:type="dxa" w:w="2520"/>
            <w:vAlign w:val="top"/>
          </w:tcPr>
          <w:p>
            <w:pPr>
              <w:spacing w:after="0"/>
            </w:pPr>
            <w:r>
              <w:rPr>
                <w:sz w:val="16"/>
              </w:rPr>
            </w:r>
            <w:r>
              <w:rPr>
                <w:b w:val="0"/>
                <w:sz w:val="16"/>
              </w:rPr>
              <w:t>Funder prospect</w:t>
            </w:r>
          </w:p>
        </w:tc>
        <w:tc>
          <w:tcPr>
            <w:tcW w:type="dxa" w:w="6983"/>
            <w:vAlign w:val="top"/>
          </w:tcPr>
          <w:p>
            <w:pPr>
              <w:spacing w:after="0"/>
            </w:pPr>
            <w:r>
              <w:rPr>
                <w:sz w:val="16"/>
              </w:rPr>
            </w:r>
            <w:r>
              <w:rPr>
                <w:b w:val="0"/>
                <w:sz w:val="16"/>
              </w:rPr>
              <w:t>A funder that appears relevant based on historical or public information, even if no active opportunity is open.</w:t>
            </w:r>
          </w:p>
        </w:tc>
      </w:tr>
      <w:tr>
        <w:tc>
          <w:tcPr>
            <w:tcW w:type="dxa" w:w="2520"/>
            <w:vAlign w:val="top"/>
          </w:tcPr>
          <w:p>
            <w:pPr>
              <w:spacing w:after="0"/>
            </w:pPr>
            <w:r>
              <w:rPr>
                <w:sz w:val="16"/>
              </w:rPr>
            </w:r>
            <w:r>
              <w:rPr>
                <w:b w:val="0"/>
                <w:sz w:val="16"/>
              </w:rPr>
              <w:t>On-demand pull</w:t>
            </w:r>
          </w:p>
        </w:tc>
        <w:tc>
          <w:tcPr>
            <w:tcW w:type="dxa" w:w="6983"/>
            <w:vAlign w:val="top"/>
          </w:tcPr>
          <w:p>
            <w:pPr>
              <w:spacing w:after="0"/>
            </w:pPr>
            <w:r>
              <w:rPr>
                <w:sz w:val="16"/>
              </w:rPr>
            </w:r>
            <w:r>
              <w:rPr>
                <w:b w:val="0"/>
                <w:sz w:val="16"/>
              </w:rPr>
              <w:t>A user/admin-triggered refresh that targets relevant sources and returns cached results immediately when possible.</w:t>
            </w:r>
          </w:p>
        </w:tc>
      </w:tr>
      <w:tr>
        <w:tc>
          <w:tcPr>
            <w:tcW w:type="dxa" w:w="2520"/>
            <w:vAlign w:val="top"/>
          </w:tcPr>
          <w:p>
            <w:pPr>
              <w:spacing w:after="0"/>
            </w:pPr>
            <w:r>
              <w:rPr>
                <w:sz w:val="16"/>
              </w:rPr>
            </w:r>
            <w:r>
              <w:rPr>
                <w:b w:val="0"/>
                <w:sz w:val="16"/>
              </w:rPr>
              <w:t>Pull run</w:t>
            </w:r>
          </w:p>
        </w:tc>
        <w:tc>
          <w:tcPr>
            <w:tcW w:type="dxa" w:w="6983"/>
            <w:vAlign w:val="top"/>
          </w:tcPr>
          <w:p>
            <w:pPr>
              <w:spacing w:after="0"/>
            </w:pPr>
            <w:r>
              <w:rPr>
                <w:sz w:val="16"/>
              </w:rPr>
            </w:r>
            <w:r>
              <w:rPr>
                <w:b w:val="0"/>
                <w:sz w:val="16"/>
              </w:rPr>
              <w:t>A tracked execution of a source connector or crawler.</w:t>
            </w:r>
          </w:p>
        </w:tc>
      </w:tr>
      <w:tr>
        <w:tc>
          <w:tcPr>
            <w:tcW w:type="dxa" w:w="2520"/>
            <w:vAlign w:val="top"/>
          </w:tcPr>
          <w:p>
            <w:pPr>
              <w:spacing w:after="0"/>
            </w:pPr>
            <w:r>
              <w:rPr>
                <w:sz w:val="16"/>
              </w:rPr>
            </w:r>
            <w:r>
              <w:rPr>
                <w:b w:val="0"/>
                <w:sz w:val="16"/>
              </w:rPr>
              <w:t>Source evidence</w:t>
            </w:r>
          </w:p>
        </w:tc>
        <w:tc>
          <w:tcPr>
            <w:tcW w:type="dxa" w:w="6983"/>
            <w:vAlign w:val="top"/>
          </w:tcPr>
          <w:p>
            <w:pPr>
              <w:spacing w:after="0"/>
            </w:pPr>
            <w:r>
              <w:rPr>
                <w:sz w:val="16"/>
              </w:rPr>
            </w:r>
            <w:r>
              <w:rPr>
                <w:b w:val="0"/>
                <w:sz w:val="16"/>
              </w:rPr>
              <w:t>Raw source URL, fetched timestamp, raw record, document snippet, or other evidence supporting displayed fields.</w:t>
            </w:r>
          </w:p>
        </w:tc>
      </w:tr>
      <w:tr>
        <w:tc>
          <w:tcPr>
            <w:tcW w:type="dxa" w:w="2520"/>
            <w:vAlign w:val="top"/>
          </w:tcPr>
          <w:p>
            <w:pPr>
              <w:spacing w:after="0"/>
            </w:pPr>
            <w:r>
              <w:rPr>
                <w:sz w:val="16"/>
              </w:rPr>
            </w:r>
            <w:r>
              <w:rPr>
                <w:b w:val="0"/>
                <w:sz w:val="16"/>
              </w:rPr>
              <w:t>Extraction confidence</w:t>
            </w:r>
          </w:p>
        </w:tc>
        <w:tc>
          <w:tcPr>
            <w:tcW w:type="dxa" w:w="6983"/>
            <w:vAlign w:val="top"/>
          </w:tcPr>
          <w:p>
            <w:pPr>
              <w:spacing w:after="0"/>
            </w:pPr>
            <w:r>
              <w:rPr>
                <w:sz w:val="16"/>
              </w:rPr>
            </w:r>
            <w:r>
              <w:rPr>
                <w:b w:val="0"/>
                <w:sz w:val="16"/>
              </w:rPr>
              <w:t>Confidence score assigned to fields extracted from API data, HTML, PDFs, or documents.</w:t>
            </w:r>
          </w:p>
        </w:tc>
      </w:tr>
      <w:tr>
        <w:tc>
          <w:tcPr>
            <w:tcW w:type="dxa" w:w="2520"/>
            <w:vAlign w:val="top"/>
          </w:tcPr>
          <w:p>
            <w:pPr>
              <w:spacing w:after="0"/>
            </w:pPr>
            <w:r>
              <w:rPr>
                <w:sz w:val="16"/>
              </w:rPr>
            </w:r>
            <w:r>
              <w:rPr>
                <w:b w:val="0"/>
                <w:sz w:val="16"/>
              </w:rPr>
              <w:t>Private funder intelligence</w:t>
            </w:r>
          </w:p>
        </w:tc>
        <w:tc>
          <w:tcPr>
            <w:tcW w:type="dxa" w:w="6983"/>
            <w:vAlign w:val="top"/>
          </w:tcPr>
          <w:p>
            <w:pPr>
              <w:spacing w:after="0"/>
            </w:pPr>
            <w:r>
              <w:rPr>
                <w:sz w:val="16"/>
              </w:rPr>
            </w:r>
            <w:r>
              <w:rPr>
                <w:b w:val="0"/>
                <w:sz w:val="16"/>
              </w:rPr>
              <w:t>The lawful public/authorized monitoring of private foundation and corporate funding sources.</w:t>
            </w:r>
          </w:p>
        </w:tc>
      </w:tr>
      <w:tr>
        <w:tc>
          <w:tcPr>
            <w:tcW w:type="dxa" w:w="2520"/>
            <w:vAlign w:val="top"/>
          </w:tcPr>
          <w:p>
            <w:pPr>
              <w:spacing w:after="0"/>
            </w:pPr>
            <w:r>
              <w:rPr>
                <w:sz w:val="16"/>
              </w:rPr>
            </w:r>
            <w:r>
              <w:rPr>
                <w:b w:val="0"/>
                <w:sz w:val="16"/>
              </w:rPr>
              <w:t>Recurring opportunity</w:t>
            </w:r>
          </w:p>
        </w:tc>
        <w:tc>
          <w:tcPr>
            <w:tcW w:type="dxa" w:w="6983"/>
            <w:vAlign w:val="top"/>
          </w:tcPr>
          <w:p>
            <w:pPr>
              <w:spacing w:after="0"/>
            </w:pPr>
            <w:r>
              <w:rPr>
                <w:sz w:val="16"/>
              </w:rPr>
            </w:r>
            <w:r>
              <w:rPr>
                <w:b w:val="0"/>
                <w:sz w:val="16"/>
              </w:rPr>
              <w:t>A grant cycle that is currently closed but expected to open again.</w:t>
            </w:r>
          </w:p>
        </w:tc>
      </w:tr>
      <w:tr>
        <w:tc>
          <w:tcPr>
            <w:tcW w:type="dxa" w:w="2520"/>
            <w:vAlign w:val="top"/>
          </w:tcPr>
          <w:p>
            <w:pPr>
              <w:spacing w:after="0"/>
            </w:pPr>
            <w:r>
              <w:rPr>
                <w:sz w:val="16"/>
              </w:rPr>
            </w:r>
            <w:r>
              <w:rPr>
                <w:b w:val="0"/>
                <w:sz w:val="16"/>
              </w:rPr>
              <w:t>Application portal</w:t>
            </w:r>
          </w:p>
        </w:tc>
        <w:tc>
          <w:tcPr>
            <w:tcW w:type="dxa" w:w="6983"/>
            <w:vAlign w:val="top"/>
          </w:tcPr>
          <w:p>
            <w:pPr>
              <w:spacing w:after="0"/>
            </w:pPr>
            <w:r>
              <w:rPr>
                <w:sz w:val="16"/>
              </w:rPr>
            </w:r>
            <w:r>
              <w:rPr>
                <w:b w:val="0"/>
                <w:sz w:val="16"/>
              </w:rPr>
              <w:t>Third-party or funder-owned system where users submit grant applications, such as Fluxx, Submittable, Foundant, or SmartSimple.</w:t>
            </w:r>
          </w:p>
        </w:tc>
      </w:tr>
    </w:tbl>
    <w:p/>
    <w:sectPr>
      <w:headerReference w:type="default" r:id="rId9"/>
      <w:footerReference w:type="default" r:id="rId10"/>
      <w:pgSz w:w="12240" w:h="15840"/>
      <w:pgMar w:top="864"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 xml:space="preserve">Confidential build handoff | </w:t>
    </w:r>
    <w:r>
      <w:rPr>
        <w:color w:val="6B7280"/>
        <w:sz w:val="16"/>
      </w:rPr>
      <w:t xml:space="preserve">Page </w:t>
    </w:r>
    <w:r>
      <w:rPr>
        <w:color w:val="6B7280"/>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B7280"/>
        <w:sz w:val="16"/>
      </w:rPr>
      <w:t>Grant Discovery and Private Funding Intelligence Platform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60"/>
      <w:outlineLvl w:val="0"/>
    </w:pPr>
    <w:rPr>
      <w:rFonts w:asciiTheme="majorHAnsi" w:eastAsiaTheme="majorEastAsia" w:hAnsiTheme="majorHAnsi" w:cstheme="majorBidi" w:ascii="Arial" w:hAnsi="Arial"/>
      <w:b/>
      <w:bCs/>
      <w:color w:val="1C4967"/>
      <w:sz w:val="30"/>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Arial" w:hAnsi="Arial"/>
      <w:b/>
      <w:bCs/>
      <w:color w:val="1C4967"/>
      <w:sz w:val="25"/>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Arial" w:hAnsi="Arial"/>
      <w:b/>
      <w:bCs/>
      <w:color w:val="1F293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C496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0"/>
      <w:ind w:left="216" w:right="72"/>
      <w:shd w:fill="F3F4F6"/>
    </w:pPr>
    <w:rPr>
      <w:rFonts w:ascii="Courier New" w:hAnsi="Courier New"/>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