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rFonts w:ascii="Arimo" w:hAnsi="Arimo" w:eastAsia="Arimo"/>
          <w:b/>
          <w:color w:val="1F6D7A"/>
          <w:sz w:val="24"/>
        </w:rPr>
        <w:t>OPTION SCOPE</w:t>
      </w:r>
    </w:p>
    <w:p>
      <w:pPr>
        <w:spacing w:before="180" w:after="100"/>
      </w:pPr>
      <w:r>
        <w:rPr>
          <w:rFonts w:ascii="Arimo" w:hAnsi="Arimo" w:eastAsia="Arimo"/>
          <w:b/>
          <w:color w:val="17365D"/>
          <w:sz w:val="56"/>
        </w:rPr>
        <w:t>Companion Specification</w:t>
      </w:r>
    </w:p>
    <w:p>
      <w:pPr>
        <w:spacing w:after="80"/>
      </w:pPr>
      <w:r>
        <w:rPr>
          <w:rFonts w:ascii="Arimo" w:hAnsi="Arimo" w:eastAsia="Arimo"/>
          <w:b/>
          <w:color w:val="2F5597"/>
          <w:sz w:val="31"/>
        </w:rPr>
        <w:t>Strategy Knowledge, Calculations, Education, and Risk Rules</w:t>
      </w:r>
    </w:p>
    <w:p>
      <w:pPr>
        <w:spacing w:after="340"/>
      </w:pPr>
      <w:r>
        <w:rPr>
          <w:rFonts w:ascii="Arimo" w:hAnsi="Arimo" w:eastAsia="Arimo"/>
          <w:i/>
          <w:color w:val="555555"/>
          <w:sz w:val="20"/>
        </w:rPr>
        <w:t>Document 2 of 2 - supporting the main options trading companion app prompt</w:t>
      </w:r>
    </w:p>
    <w:tbl>
      <w:tblPr>
        <w:tblW w:type="auto" w:w="0"/>
        <w:jc w:val="left"/>
        <w:tblLayout w:type="fixed"/>
        <w:tblLook w:firstColumn="1" w:firstRow="1" w:lastColumn="0" w:lastRow="0" w:noHBand="0" w:noVBand="1" w:val="04A0"/>
      </w:tblPr>
      <w:tblGrid>
        <w:gridCol w:w="5083"/>
        <w:gridCol w:w="5083"/>
      </w:tblGrid>
      <w:tr>
        <w:tc>
          <w:tcPr>
            <w:tcW w:type="dxa" w:w="1944"/>
            <w:shd w:fill="DCE6F1"/>
            <w:tcMar>
              <w:top w:w="100" w:type="dxa"/>
              <w:start w:w="110" w:type="dxa"/>
              <w:bottom w:w="100" w:type="dxa"/>
              <w:end w:w="110" w:type="dxa"/>
            </w:tcMar>
            <w:tcBorders>
              <w:top w:val="single" w:sz="5" w:color="C8D4E3"/>
              <w:left w:val="single" w:sz="5" w:color="C8D4E3"/>
              <w:bottom w:val="single" w:sz="5" w:color="C8D4E3"/>
              <w:right w:val="single" w:sz="5" w:color="C8D4E3"/>
            </w:tcBorders>
          </w:tcPr>
          <w:p>
            <w:r>
              <w:rPr>
                <w:rFonts w:ascii="Arimo" w:hAnsi="Arimo" w:eastAsia="Arimo"/>
                <w:b/>
                <w:color w:val="17365D"/>
                <w:sz w:val="18"/>
              </w:rPr>
              <w:t>Purpose</w:t>
            </w:r>
          </w:p>
        </w:tc>
        <w:tc>
          <w:tcPr>
            <w:tcW w:type="dxa" w:w="7920"/>
            <w:tcMar>
              <w:top w:w="100" w:type="dxa"/>
              <w:start w:w="110" w:type="dxa"/>
              <w:bottom w:w="100" w:type="dxa"/>
              <w:end w:w="110" w:type="dxa"/>
            </w:tcMar>
            <w:tcBorders>
              <w:top w:val="single" w:sz="5" w:color="C8D4E3"/>
              <w:left w:val="single" w:sz="5" w:color="C8D4E3"/>
              <w:bottom w:val="single" w:sz="5" w:color="C8D4E3"/>
              <w:right w:val="single" w:sz="5" w:color="C8D4E3"/>
            </w:tcBorders>
          </w:tcPr>
          <w:p>
            <w:r>
              <w:rPr>
                <w:rFonts w:ascii="Arimo" w:hAnsi="Arimo" w:eastAsia="Arimo"/>
                <w:color w:val="3F3F3F"/>
                <w:sz w:val="18"/>
              </w:rPr>
              <w:t>Domain rules and acceptance criteria for the app builder</w:t>
            </w:r>
          </w:p>
        </w:tc>
      </w:tr>
      <w:tr>
        <w:tc>
          <w:tcPr>
            <w:tcW w:type="dxa" w:w="1944"/>
            <w:shd w:fill="DCE6F1"/>
            <w:tcMar>
              <w:top w:w="100" w:type="dxa"/>
              <w:start w:w="110" w:type="dxa"/>
              <w:bottom w:w="100" w:type="dxa"/>
              <w:end w:w="110" w:type="dxa"/>
            </w:tcMar>
            <w:tcBorders>
              <w:top w:val="single" w:sz="5" w:color="C8D4E3"/>
              <w:left w:val="single" w:sz="5" w:color="C8D4E3"/>
              <w:bottom w:val="single" w:sz="5" w:color="C8D4E3"/>
              <w:right w:val="single" w:sz="5" w:color="C8D4E3"/>
            </w:tcBorders>
          </w:tcPr>
          <w:p>
            <w:r>
              <w:rPr>
                <w:rFonts w:ascii="Arimo" w:hAnsi="Arimo" w:eastAsia="Arimo"/>
                <w:b/>
                <w:color w:val="17365D"/>
                <w:sz w:val="18"/>
              </w:rPr>
              <w:t>Primary user</w:t>
            </w:r>
          </w:p>
        </w:tc>
        <w:tc>
          <w:tcPr>
            <w:tcW w:type="dxa" w:w="7920"/>
            <w:tcMar>
              <w:top w:w="100" w:type="dxa"/>
              <w:start w:w="110" w:type="dxa"/>
              <w:bottom w:w="100" w:type="dxa"/>
              <w:end w:w="110" w:type="dxa"/>
            </w:tcMar>
            <w:tcBorders>
              <w:top w:val="single" w:sz="5" w:color="C8D4E3"/>
              <w:left w:val="single" w:sz="5" w:color="C8D4E3"/>
              <w:bottom w:val="single" w:sz="5" w:color="C8D4E3"/>
              <w:right w:val="single" w:sz="5" w:color="C8D4E3"/>
            </w:tcBorders>
          </w:tcPr>
          <w:p>
            <w:r>
              <w:rPr>
                <w:rFonts w:ascii="Arimo" w:hAnsi="Arimo" w:eastAsia="Arimo"/>
                <w:color w:val="3F3F3F"/>
                <w:sz w:val="18"/>
              </w:rPr>
              <w:t>A Robinhood options trader using the website as an analysis companion</w:t>
            </w:r>
          </w:p>
        </w:tc>
      </w:tr>
      <w:tr>
        <w:tc>
          <w:tcPr>
            <w:tcW w:type="dxa" w:w="1944"/>
            <w:shd w:fill="DCE6F1"/>
            <w:tcMar>
              <w:top w:w="100" w:type="dxa"/>
              <w:start w:w="110" w:type="dxa"/>
              <w:bottom w:w="100" w:type="dxa"/>
              <w:end w:w="110" w:type="dxa"/>
            </w:tcMar>
            <w:tcBorders>
              <w:top w:val="single" w:sz="5" w:color="C8D4E3"/>
              <w:left w:val="single" w:sz="5" w:color="C8D4E3"/>
              <w:bottom w:val="single" w:sz="5" w:color="C8D4E3"/>
              <w:right w:val="single" w:sz="5" w:color="C8D4E3"/>
            </w:tcBorders>
          </w:tcPr>
          <w:p>
            <w:r>
              <w:rPr>
                <w:rFonts w:ascii="Arimo" w:hAnsi="Arimo" w:eastAsia="Arimo"/>
                <w:b/>
                <w:color w:val="17365D"/>
                <w:sz w:val="18"/>
              </w:rPr>
              <w:t>Source inputs</w:t>
            </w:r>
          </w:p>
        </w:tc>
        <w:tc>
          <w:tcPr>
            <w:tcW w:type="dxa" w:w="7920"/>
            <w:tcMar>
              <w:top w:w="100" w:type="dxa"/>
              <w:start w:w="110" w:type="dxa"/>
              <w:bottom w:w="100" w:type="dxa"/>
              <w:end w:w="110" w:type="dxa"/>
            </w:tcMar>
            <w:tcBorders>
              <w:top w:val="single" w:sz="5" w:color="C8D4E3"/>
              <w:left w:val="single" w:sz="5" w:color="C8D4E3"/>
              <w:bottom w:val="single" w:sz="5" w:color="C8D4E3"/>
              <w:right w:val="single" w:sz="5" w:color="C8D4E3"/>
            </w:tcBorders>
          </w:tcPr>
          <w:p>
            <w:r>
              <w:rPr>
                <w:rFonts w:ascii="Arimo" w:hAnsi="Arimo" w:eastAsia="Arimo"/>
                <w:color w:val="3F3F3F"/>
                <w:sz w:val="18"/>
              </w:rPr>
              <w:t>User-provided option strategy book and covered-call cheat sheet</w:t>
            </w:r>
          </w:p>
        </w:tc>
      </w:tr>
      <w:tr>
        <w:tc>
          <w:tcPr>
            <w:tcW w:type="dxa" w:w="1944"/>
            <w:shd w:fill="DCE6F1"/>
            <w:tcMar>
              <w:top w:w="100" w:type="dxa"/>
              <w:start w:w="110" w:type="dxa"/>
              <w:bottom w:w="100" w:type="dxa"/>
              <w:end w:w="110" w:type="dxa"/>
            </w:tcMar>
            <w:tcBorders>
              <w:top w:val="single" w:sz="5" w:color="C8D4E3"/>
              <w:left w:val="single" w:sz="5" w:color="C8D4E3"/>
              <w:bottom w:val="single" w:sz="5" w:color="C8D4E3"/>
              <w:right w:val="single" w:sz="5" w:color="C8D4E3"/>
            </w:tcBorders>
          </w:tcPr>
          <w:p>
            <w:r>
              <w:rPr>
                <w:rFonts w:ascii="Arimo" w:hAnsi="Arimo" w:eastAsia="Arimo"/>
                <w:b/>
                <w:color w:val="17365D"/>
                <w:sz w:val="18"/>
              </w:rPr>
              <w:t>Revision</w:t>
            </w:r>
          </w:p>
        </w:tc>
        <w:tc>
          <w:tcPr>
            <w:tcW w:type="dxa" w:w="7920"/>
            <w:tcMar>
              <w:top w:w="100" w:type="dxa"/>
              <w:start w:w="110" w:type="dxa"/>
              <w:bottom w:w="100" w:type="dxa"/>
              <w:end w:w="110" w:type="dxa"/>
            </w:tcMar>
            <w:tcBorders>
              <w:top w:val="single" w:sz="5" w:color="C8D4E3"/>
              <w:left w:val="single" w:sz="5" w:color="C8D4E3"/>
              <w:bottom w:val="single" w:sz="5" w:color="C8D4E3"/>
              <w:right w:val="single" w:sz="5" w:color="C8D4E3"/>
            </w:tcBorders>
          </w:tcPr>
          <w:p>
            <w:r>
              <w:rPr>
                <w:rFonts w:ascii="Arimo" w:hAnsi="Arimo" w:eastAsia="Arimo"/>
                <w:color w:val="3F3F3F"/>
                <w:sz w:val="18"/>
              </w:rPr>
              <w:t>10 July 2026</w:t>
            </w:r>
          </w:p>
        </w:tc>
      </w:tr>
    </w:tbl>
    <w:p>
      <w:pPr>
        <w:spacing w:after="160"/>
      </w:pPr>
    </w:p>
    <w:tbl>
      <w:tblPr>
        <w:tblW w:type="auto" w:w="0"/>
        <w:jc w:val="center"/>
        <w:tblLayout w:type="fixed"/>
        <w:tblLook w:firstColumn="1" w:firstRow="1" w:lastColumn="0" w:lastRow="0" w:noHBand="0" w:noVBand="1" w:val="04A0"/>
      </w:tblPr>
      <w:tblGrid>
        <w:gridCol w:w="10166"/>
      </w:tblGrid>
      <w:tr>
        <w:tc>
          <w:tcPr>
            <w:tcW w:type="dxa" w:w="9864"/>
            <w:shd w:fill="EEF4FB"/>
            <w:tcMar>
              <w:top w:w="120" w:type="dxa"/>
              <w:start w:w="150" w:type="dxa"/>
              <w:bottom w:w="120" w:type="dxa"/>
              <w:end w:w="150" w:type="dxa"/>
            </w:tcMar>
            <w:tcBorders>
              <w:top w:val="single" w:sz="10" w:color="1F6D7A"/>
              <w:left w:val="single" w:sz="10" w:color="1F6D7A"/>
              <w:bottom w:val="single" w:sz="10" w:color="1F6D7A"/>
              <w:right w:val="single" w:sz="10" w:color="1F6D7A"/>
            </w:tcBorders>
          </w:tcPr>
          <w:p>
            <w:pPr>
              <w:spacing w:after="40"/>
            </w:pPr>
            <w:r>
              <w:rPr>
                <w:rFonts w:ascii="Arimo" w:hAnsi="Arimo" w:eastAsia="Arimo"/>
                <w:b/>
                <w:color w:val="17365D"/>
                <w:sz w:val="19"/>
              </w:rPr>
              <w:t>Core instruction to the app builder</w:t>
            </w:r>
          </w:p>
          <w:p>
            <w:pPr>
              <w:spacing w:after="0"/>
            </w:pPr>
            <w:r>
              <w:rPr>
                <w:rFonts w:ascii="Arimo" w:hAnsi="Arimo" w:eastAsia="Arimo"/>
                <w:color w:val="3F3F3F"/>
                <w:sz w:val="18"/>
              </w:rPr>
              <w:t>Use this document as the normative domain addendum to the main build prompt. Implement the calculations and tests here as acceptance criteria. Use the source PDFs only as background references; do not copy their prose, artwork, performance claims, or promotional language into the product.</w:t>
            </w:r>
          </w:p>
        </w:tc>
      </w:tr>
    </w:tbl>
    <w:p>
      <w:pPr>
        <w:spacing w:after="20"/>
      </w:pPr>
    </w:p>
    <w:p>
      <w:pPr>
        <w:spacing w:before="280" w:after="40"/>
      </w:pPr>
      <w:r>
        <w:rPr>
          <w:rFonts w:ascii="Arimo" w:hAnsi="Arimo" w:eastAsia="Arimo"/>
          <w:i/>
          <w:color w:val="666666"/>
          <w:sz w:val="17"/>
        </w:rPr>
        <w:t>Prepared as an original, structured specification from the user-provided references.</w:t>
      </w:r>
    </w:p>
    <w:p>
      <w:r>
        <w:br w:type="page"/>
      </w:r>
    </w:p>
    <w:p>
      <w:pPr>
        <w:pStyle w:val="Heading1"/>
        <w:keepNext/>
        <w:pBdr>
          <w:bottom w:val="single" w:sz="8" w:space="1" w:color="1F6D7A"/>
        </w:pBdr>
      </w:pPr>
      <w:r>
        <w:rPr>
          <w:rFonts w:ascii="Arimo" w:hAnsi="Arimo" w:eastAsia="Arimo"/>
          <w:b/>
          <w:color w:val="1F6D7A"/>
          <w:sz w:val="31"/>
        </w:rPr>
        <w:t xml:space="preserve">0  </w:t>
      </w:r>
      <w:r>
        <w:rPr>
          <w:rFonts w:ascii="Arimo" w:hAnsi="Arimo" w:eastAsia="Arimo"/>
          <w:b/>
          <w:color w:val="17365D"/>
          <w:sz w:val="31"/>
        </w:rPr>
        <w:t>How to Use the Two-Document Package</w:t>
      </w:r>
    </w:p>
    <w:p>
      <w:pPr>
        <w:spacing w:after="100" w:line="250" w:lineRule="auto"/>
      </w:pPr>
      <w:r>
        <w:rPr>
          <w:rFonts w:ascii="Arimo" w:hAnsi="Arimo" w:eastAsia="Arimo"/>
          <w:i w:val="0"/>
          <w:sz w:val="19"/>
        </w:rPr>
        <w:t>The main build prompt and this addendum have different jobs. Keeping them separate makes the project easier for an AI builder or development team to interpret, test, and maintain.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Document</w:t>
            </w:r>
          </w:p>
        </w:tc>
        <w:tc>
          <w:tcPr>
            <w:tcW w:type="dxa" w:w="3671"/>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Controls</w:t>
            </w:r>
          </w:p>
        </w:tc>
        <w:tc>
          <w:tcPr>
            <w:tcW w:type="dxa" w:w="3960"/>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How the builder should use it</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Document 1 - Main Build Prompt</w:t>
            </w:r>
          </w:p>
        </w:tc>
        <w:tc>
          <w:tcPr>
            <w:tcW w:type="dxa" w:w="3671"/>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Product scope, pages, technology, user flow, data architecture, and deliverables.</w:t>
            </w:r>
          </w:p>
        </w:tc>
        <w:tc>
          <w:tcPr>
            <w:tcW w:type="dxa" w:w="396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Treat it as the product brief and implementation plan.</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Document 2 - This Companion Specification</w:t>
            </w:r>
          </w:p>
        </w:tc>
        <w:tc>
          <w:tcPr>
            <w:tcW w:type="dxa" w:w="3671"/>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Strategy definitions, formulas, educational cards, probability rules, warnings, lifecycle behavior, and test cases.</w:t>
            </w:r>
          </w:p>
        </w:tc>
        <w:tc>
          <w:tcPr>
            <w:tcW w:type="dxa" w:w="396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Treat it as the domain specification and acceptance-test source.</w:t>
            </w:r>
          </w:p>
        </w:tc>
      </w:tr>
    </w:tbl>
    <w:p>
      <w:pPr>
        <w:spacing w:after="40"/>
      </w:pPr>
    </w:p>
    <w:p>
      <w:pPr>
        <w:pStyle w:val="Heading2"/>
        <w:keepNext/>
      </w:pPr>
      <w:r>
        <w:rPr>
          <w:rFonts w:ascii="Arimo" w:hAnsi="Arimo" w:eastAsia="Arimo"/>
          <w:b/>
          <w:color w:val="2F5597"/>
          <w:sz w:val="23"/>
        </w:rPr>
        <w:t>Precedence when instructions conflict</w:t>
      </w:r>
    </w:p>
    <w:p>
      <w:pPr>
        <w:pStyle w:val="ListNumber"/>
        <w:spacing w:after="50"/>
      </w:pPr>
      <w:r>
        <w:rPr>
          <w:rFonts w:ascii="Arimo" w:hAnsi="Arimo" w:eastAsia="Arimo"/>
          <w:sz w:val="18"/>
        </w:rPr>
        <w:t>Tested calculation rules and explicit acceptance tests in this document take priority over descriptive language in the source PDFs.</w:t>
      </w:r>
    </w:p>
    <w:p>
      <w:pPr>
        <w:pStyle w:val="ListNumber"/>
        <w:spacing w:after="50"/>
      </w:pPr>
      <w:r>
        <w:rPr>
          <w:rFonts w:ascii="Arimo" w:hAnsi="Arimo" w:eastAsia="Arimo"/>
          <w:sz w:val="18"/>
        </w:rPr>
        <w:t>Official contract metadata, market-data timestamps, exercise style, multiplier, and brokerage constraints take priority over generic examples.</w:t>
      </w:r>
    </w:p>
    <w:p>
      <w:pPr>
        <w:pStyle w:val="ListNumber"/>
        <w:spacing w:after="50"/>
      </w:pPr>
      <w:r>
        <w:rPr>
          <w:rFonts w:ascii="Arimo" w:hAnsi="Arimo" w:eastAsia="Arimo"/>
          <w:sz w:val="18"/>
        </w:rPr>
        <w:t>The app must quantify risk. Words such as safe, steady, likely, or high probability must never replace a numerical result and disclosure.</w:t>
      </w:r>
    </w:p>
    <w:p>
      <w:pPr>
        <w:pStyle w:val="ListNumber"/>
        <w:spacing w:after="50"/>
      </w:pPr>
      <w:r>
        <w:rPr>
          <w:rFonts w:ascii="Arimo" w:hAnsi="Arimo" w:eastAsia="Arimo"/>
          <w:sz w:val="18"/>
        </w:rPr>
        <w:t>No model output is a guarantee, recommendation, or personalized suitability determination.</w:t>
      </w:r>
    </w:p>
    <w:p>
      <w:pPr>
        <w:pStyle w:val="Heading2"/>
        <w:keepNext/>
      </w:pPr>
      <w:r>
        <w:rPr>
          <w:rFonts w:ascii="Arimo" w:hAnsi="Arimo" w:eastAsia="Arimo"/>
          <w:b/>
          <w:color w:val="2F5597"/>
          <w:sz w:val="23"/>
        </w:rPr>
        <w:t>Contents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15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Section</w:t>
            </w:r>
          </w:p>
        </w:tc>
        <w:tc>
          <w:tcPr>
            <w:tcW w:type="dxa" w:w="871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Subject</w:t>
            </w:r>
          </w:p>
        </w:tc>
      </w:tr>
      <w:tr>
        <w:trPr>
          <w:cantSplit/>
        </w:trPr>
        <w:tc>
          <w:tcPr>
            <w:tcW w:type="dxa" w:w="115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1</w:t>
            </w:r>
          </w:p>
        </w:tc>
        <w:tc>
          <w:tcPr>
            <w:tcW w:type="dxa" w:w="871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How the source PDFs should be used</w:t>
            </w:r>
          </w:p>
        </w:tc>
      </w:tr>
      <w:tr>
        <w:trPr>
          <w:cantSplit/>
        </w:trPr>
        <w:tc>
          <w:tcPr>
            <w:tcW w:type="dxa" w:w="115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2</w:t>
            </w:r>
          </w:p>
        </w:tc>
        <w:tc>
          <w:tcPr>
            <w:tcW w:type="dxa" w:w="871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Knowledge-base architecture and UI integration</w:t>
            </w:r>
          </w:p>
        </w:tc>
      </w:tr>
      <w:tr>
        <w:trPr>
          <w:cantSplit/>
        </w:trPr>
        <w:tc>
          <w:tcPr>
            <w:tcW w:type="dxa" w:w="115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3</w:t>
            </w:r>
          </w:p>
        </w:tc>
        <w:tc>
          <w:tcPr>
            <w:tcW w:type="dxa" w:w="871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Universal strategy-card standard</w:t>
            </w:r>
          </w:p>
        </w:tc>
      </w:tr>
      <w:tr>
        <w:trPr>
          <w:cantSplit/>
        </w:trPr>
        <w:tc>
          <w:tcPr>
            <w:tcW w:type="dxa" w:w="115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4</w:t>
            </w:r>
          </w:p>
        </w:tc>
        <w:tc>
          <w:tcPr>
            <w:tcW w:type="dxa" w:w="871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Detailed covered-call module</w:t>
            </w:r>
          </w:p>
        </w:tc>
      </w:tr>
      <w:tr>
        <w:trPr>
          <w:cantSplit/>
        </w:trPr>
        <w:tc>
          <w:tcPr>
            <w:tcW w:type="dxa" w:w="115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5</w:t>
            </w:r>
          </w:p>
        </w:tc>
        <w:tc>
          <w:tcPr>
            <w:tcW w:type="dxa" w:w="871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Strategy library requirements</w:t>
            </w:r>
          </w:p>
        </w:tc>
      </w:tr>
      <w:tr>
        <w:trPr>
          <w:cantSplit/>
        </w:trPr>
        <w:tc>
          <w:tcPr>
            <w:tcW w:type="dxa" w:w="115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6</w:t>
            </w:r>
          </w:p>
        </w:tc>
        <w:tc>
          <w:tcPr>
            <w:tcW w:type="dxa" w:w="871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Probability, valuation, and Greeks rules</w:t>
            </w:r>
          </w:p>
        </w:tc>
      </w:tr>
      <w:tr>
        <w:trPr>
          <w:cantSplit/>
        </w:trPr>
        <w:tc>
          <w:tcPr>
            <w:tcW w:type="dxa" w:w="115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7</w:t>
            </w:r>
          </w:p>
        </w:tc>
        <w:tc>
          <w:tcPr>
            <w:tcW w:type="dxa" w:w="871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Trade lifecycle, rolling, assignment, and expiration</w:t>
            </w:r>
          </w:p>
        </w:tc>
      </w:tr>
      <w:tr>
        <w:trPr>
          <w:cantSplit/>
        </w:trPr>
        <w:tc>
          <w:tcPr>
            <w:tcW w:type="dxa" w:w="115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8</w:t>
            </w:r>
          </w:p>
        </w:tc>
        <w:tc>
          <w:tcPr>
            <w:tcW w:type="dxa" w:w="871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Journal and probability calibration</w:t>
            </w:r>
          </w:p>
        </w:tc>
      </w:tr>
      <w:tr>
        <w:trPr>
          <w:cantSplit/>
        </w:trPr>
        <w:tc>
          <w:tcPr>
            <w:tcW w:type="dxa" w:w="115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9</w:t>
            </w:r>
          </w:p>
        </w:tc>
        <w:tc>
          <w:tcPr>
            <w:tcW w:type="dxa" w:w="871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Acceptance-test pack</w:t>
            </w:r>
          </w:p>
        </w:tc>
      </w:tr>
      <w:tr>
        <w:trPr>
          <w:cantSplit/>
        </w:trPr>
        <w:tc>
          <w:tcPr>
            <w:tcW w:type="dxa" w:w="115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10</w:t>
            </w:r>
          </w:p>
        </w:tc>
        <w:tc>
          <w:tcPr>
            <w:tcW w:type="dxa" w:w="871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Copy-paste instruction block for the main prompt</w:t>
            </w:r>
          </w:p>
        </w:tc>
      </w:tr>
    </w:tbl>
    <w:p>
      <w:pPr>
        <w:spacing w:after="40"/>
      </w:pPr>
    </w:p>
    <w:p>
      <w:r>
        <w:br w:type="page"/>
      </w:r>
    </w:p>
    <w:p>
      <w:pPr>
        <w:pStyle w:val="Heading1"/>
        <w:keepNext/>
        <w:pBdr>
          <w:bottom w:val="single" w:sz="8" w:space="1" w:color="1F6D7A"/>
        </w:pBdr>
      </w:pPr>
      <w:r>
        <w:rPr>
          <w:rFonts w:ascii="Arimo" w:hAnsi="Arimo" w:eastAsia="Arimo"/>
          <w:b/>
          <w:color w:val="1F6D7A"/>
          <w:sz w:val="31"/>
        </w:rPr>
        <w:t xml:space="preserve">1  </w:t>
      </w:r>
      <w:r>
        <w:rPr>
          <w:rFonts w:ascii="Arimo" w:hAnsi="Arimo" w:eastAsia="Arimo"/>
          <w:b/>
          <w:color w:val="17365D"/>
          <w:sz w:val="31"/>
        </w:rPr>
        <w:t>How the Source PDFs Should Be Used</w:t>
      </w:r>
    </w:p>
    <w:p>
      <w:pPr>
        <w:spacing w:after="100" w:line="250" w:lineRule="auto"/>
      </w:pPr>
      <w:r>
        <w:rPr>
          <w:rFonts w:ascii="Arimo" w:hAnsi="Arimo" w:eastAsia="Arimo"/>
          <w:i w:val="0"/>
          <w:sz w:val="19"/>
        </w:rPr>
        <w:t>The uploaded materials are useful as an educational topic map and as inspiration for compact strategy reference cards. They should not become the app's numerical engine. The app must calculate every result independently from normalized trade-leg data.</w:t>
      </w:r>
    </w:p>
    <w:p>
      <w:pPr>
        <w:pStyle w:val="Heading2"/>
        <w:keepNext/>
      </w:pPr>
      <w:r>
        <w:rPr>
          <w:rFonts w:ascii="Arimo" w:hAnsi="Arimo" w:eastAsia="Arimo"/>
          <w:b/>
          <w:color w:val="2F5597"/>
          <w:sz w:val="23"/>
        </w:rPr>
        <w:t>Source contribution map</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Topic</w:t>
            </w:r>
          </w:p>
        </w:tc>
        <w:tc>
          <w:tcPr>
            <w:tcW w:type="dxa" w:w="2520"/>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Reference location</w:t>
            </w:r>
          </w:p>
        </w:tc>
        <w:tc>
          <w:tcPr>
            <w:tcW w:type="dxa" w:w="5400"/>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Use in the app</w:t>
            </w:r>
          </w:p>
        </w:tc>
      </w:tr>
      <w:tr>
        <w:trPr>
          <w:cantSplit/>
        </w:trPr>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Covered calls</w:t>
            </w:r>
          </w:p>
        </w:tc>
        <w:tc>
          <w:tcPr>
            <w:tcW w:type="dxa" w:w="252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Book PDF pp. 17-22; cheat sheet p. 1</w:t>
            </w:r>
          </w:p>
        </w:tc>
        <w:tc>
          <w:tcPr>
            <w:tcW w:type="dxa" w:w="540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Structure, premium flow, capped upside, downside cushion, time decay, rolling, and card layout.</w:t>
            </w:r>
          </w:p>
        </w:tc>
      </w:tr>
      <w:tr>
        <w:trPr>
          <w:cantSplit/>
        </w:trPr>
        <w:tc>
          <w:tcPr>
            <w:tcW w:type="dxa" w:w="194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Option Greeks</w:t>
            </w:r>
          </w:p>
        </w:tc>
        <w:tc>
          <w:tcPr>
            <w:tcW w:type="dxa" w:w="252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Book PDF pp. 22-27</w:t>
            </w:r>
          </w:p>
        </w:tc>
        <w:tc>
          <w:tcPr>
            <w:tcW w:type="dxa" w:w="540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Plain-language explanations for delta, gamma, theta, vega, and rho.</w:t>
            </w:r>
          </w:p>
        </w:tc>
      </w:tr>
      <w:tr>
        <w:trPr>
          <w:cantSplit/>
        </w:trPr>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Long and short puts</w:t>
            </w:r>
          </w:p>
        </w:tc>
        <w:tc>
          <w:tcPr>
            <w:tcW w:type="dxa" w:w="252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Book PDF pp. 27-34</w:t>
            </w:r>
          </w:p>
        </w:tc>
        <w:tc>
          <w:tcPr>
            <w:tcW w:type="dxa" w:w="540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Put mechanics, premium, strike, expiration, volatility, and assignment concepts.</w:t>
            </w:r>
          </w:p>
        </w:tc>
      </w:tr>
      <w:tr>
        <w:trPr>
          <w:cantSplit/>
        </w:trPr>
        <w:tc>
          <w:tcPr>
            <w:tcW w:type="dxa" w:w="194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Cash-secured put / put selling</w:t>
            </w:r>
          </w:p>
        </w:tc>
        <w:tc>
          <w:tcPr>
            <w:tcW w:type="dxa" w:w="252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Book PDF pp. 34-45</w:t>
            </w:r>
          </w:p>
        </w:tc>
        <w:tc>
          <w:tcPr>
            <w:tcW w:type="dxa" w:w="540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Candidate selection, assignment willingness, strike/expiration choices, and monitoring topics.</w:t>
            </w:r>
          </w:p>
        </w:tc>
      </w:tr>
      <w:tr>
        <w:trPr>
          <w:cantSplit/>
        </w:trPr>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Wheel workflow</w:t>
            </w:r>
          </w:p>
        </w:tc>
        <w:tc>
          <w:tcPr>
            <w:tcW w:type="dxa" w:w="252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Book PDF pp. 46-50</w:t>
            </w:r>
          </w:p>
        </w:tc>
        <w:tc>
          <w:tcPr>
            <w:tcW w:type="dxa" w:w="540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State transition from short put to assigned shares to covered call.</w:t>
            </w:r>
          </w:p>
        </w:tc>
      </w:tr>
      <w:tr>
        <w:trPr>
          <w:cantSplit/>
        </w:trPr>
        <w:tc>
          <w:tcPr>
            <w:tcW w:type="dxa" w:w="194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Straddles and strangles</w:t>
            </w:r>
          </w:p>
        </w:tc>
        <w:tc>
          <w:tcPr>
            <w:tcW w:type="dxa" w:w="252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Book PDF pp. 50-52</w:t>
            </w:r>
          </w:p>
        </w:tc>
        <w:tc>
          <w:tcPr>
            <w:tcW w:type="dxa" w:w="540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Volatility-oriented strategy education and bid-ask/liquidity cautions.</w:t>
            </w:r>
          </w:p>
        </w:tc>
      </w:tr>
      <w:tr>
        <w:trPr>
          <w:cantSplit/>
        </w:trPr>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Call credit spreads</w:t>
            </w:r>
          </w:p>
        </w:tc>
        <w:tc>
          <w:tcPr>
            <w:tcW w:type="dxa" w:w="252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Book PDF pp. 53-61</w:t>
            </w:r>
          </w:p>
        </w:tc>
        <w:tc>
          <w:tcPr>
            <w:tcW w:type="dxa" w:w="540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Defined-risk bear-call structure, spread width, credit, exit planning, and position sizing.</w:t>
            </w:r>
          </w:p>
        </w:tc>
      </w:tr>
      <w:tr>
        <w:trPr>
          <w:cantSplit/>
        </w:trPr>
        <w:tc>
          <w:tcPr>
            <w:tcW w:type="dxa" w:w="194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Put spreads</w:t>
            </w:r>
          </w:p>
        </w:tc>
        <w:tc>
          <w:tcPr>
            <w:tcW w:type="dxa" w:w="252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Book PDF pp. 61-66</w:t>
            </w:r>
          </w:p>
        </w:tc>
        <w:tc>
          <w:tcPr>
            <w:tcW w:type="dxa" w:w="540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Long/short put components, spread width, credit/debit structure, and defined risk.</w:t>
            </w:r>
          </w:p>
        </w:tc>
      </w:tr>
      <w:tr>
        <w:trPr>
          <w:cantSplit/>
        </w:trPr>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Iron condors</w:t>
            </w:r>
          </w:p>
        </w:tc>
        <w:tc>
          <w:tcPr>
            <w:tcW w:type="dxa" w:w="252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Book PDF pp. 66-69</w:t>
            </w:r>
          </w:p>
        </w:tc>
        <w:tc>
          <w:tcPr>
            <w:tcW w:type="dxa" w:w="540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Four-leg neutral range strategy, two credit spreads, profit zone, and wing risk.</w:t>
            </w:r>
          </w:p>
        </w:tc>
      </w:tr>
    </w:tbl>
    <w:p>
      <w:pPr>
        <w:spacing w:after="40"/>
      </w:pPr>
    </w:p>
    <w:p>
      <w:pPr>
        <w:spacing w:before="20" w:after="100"/>
      </w:pPr>
      <w:r>
        <w:rPr>
          <w:rFonts w:ascii="Arimo" w:hAnsi="Arimo" w:eastAsia="Arimo"/>
          <w:i/>
          <w:color w:val="666666"/>
          <w:sz w:val="15"/>
        </w:rPr>
        <w:t>Page references above are PDF page numbers, not the printed page numbers inside the book.</w:t>
      </w:r>
    </w:p>
    <w:tbl>
      <w:tblPr>
        <w:tblW w:type="auto" w:w="0"/>
        <w:jc w:val="center"/>
        <w:tblLayout w:type="fixed"/>
        <w:tblLook w:firstColumn="1" w:firstRow="1" w:lastColumn="0" w:lastRow="0" w:noHBand="0" w:noVBand="1" w:val="04A0"/>
      </w:tblPr>
      <w:tblGrid>
        <w:gridCol w:w="10166"/>
      </w:tblGrid>
      <w:tr>
        <w:tc>
          <w:tcPr>
            <w:tcW w:type="dxa" w:w="9864"/>
            <w:shd w:fill="FFF4D6"/>
            <w:tcMar>
              <w:top w:w="120" w:type="dxa"/>
              <w:start w:w="150" w:type="dxa"/>
              <w:bottom w:w="120" w:type="dxa"/>
              <w:end w:w="150" w:type="dxa"/>
            </w:tcMar>
            <w:tcBorders>
              <w:top w:val="single" w:sz="10" w:color="8A5A00"/>
              <w:left w:val="single" w:sz="10" w:color="8A5A00"/>
              <w:bottom w:val="single" w:sz="10" w:color="8A5A00"/>
              <w:right w:val="single" w:sz="10" w:color="8A5A00"/>
            </w:tcBorders>
          </w:tcPr>
          <w:p>
            <w:pPr>
              <w:spacing w:after="40"/>
            </w:pPr>
            <w:r>
              <w:rPr>
                <w:rFonts w:ascii="Arimo" w:hAnsi="Arimo" w:eastAsia="Arimo"/>
                <w:b/>
                <w:color w:val="8A5A00"/>
                <w:sz w:val="19"/>
              </w:rPr>
              <w:t>Important source limitation</w:t>
            </w:r>
          </w:p>
          <w:p>
            <w:pPr>
              <w:spacing w:after="0"/>
            </w:pPr>
            <w:r>
              <w:rPr>
                <w:rFonts w:ascii="Arimo" w:hAnsi="Arimo" w:eastAsia="Arimo"/>
                <w:color w:val="3F3F3F"/>
                <w:sz w:val="18"/>
              </w:rPr>
              <w:t>The uploaded 69-page book ends during the iron-condor discussion. Its table of contents lists later chapters on managing, closing, and tracking positions, but those chapters are not present in the uploaded file. The lifecycle, closing, and journal requirements in this addendum are therefore independent product requirements, not summaries of missing pages.</w:t>
            </w:r>
          </w:p>
        </w:tc>
      </w:tr>
    </w:tbl>
    <w:p>
      <w:pPr>
        <w:spacing w:after="20"/>
      </w:pPr>
    </w:p>
    <w:p>
      <w:pPr>
        <w:pStyle w:val="Heading2"/>
        <w:keepNext/>
      </w:pPr>
      <w:r>
        <w:rPr>
          <w:rFonts w:ascii="Arimo" w:hAnsi="Arimo" w:eastAsia="Arimo"/>
          <w:b/>
          <w:color w:val="2F5597"/>
          <w:sz w:val="23"/>
        </w:rPr>
        <w:t>Content that may be paraphrased into educational cards</w:t>
      </w:r>
    </w:p>
    <w:p>
      <w:pPr>
        <w:pStyle w:val="ListBullet"/>
        <w:spacing w:after="50"/>
        <w:ind w:left="259" w:hanging="173"/>
      </w:pPr>
      <w:r>
        <w:rPr>
          <w:rFonts w:ascii="Arimo" w:hAnsi="Arimo" w:eastAsia="Arimo"/>
          <w:sz w:val="18"/>
        </w:rPr>
        <w:t>What the strategy is and which legs create it.</w:t>
      </w:r>
    </w:p>
    <w:p>
      <w:pPr>
        <w:pStyle w:val="ListBullet"/>
        <w:spacing w:after="50"/>
        <w:ind w:left="259" w:hanging="173"/>
      </w:pPr>
      <w:r>
        <w:rPr>
          <w:rFonts w:ascii="Arimo" w:hAnsi="Arimo" w:eastAsia="Arimo"/>
          <w:sz w:val="18"/>
        </w:rPr>
        <w:t>Whether the trader pays or collects premium at entry.</w:t>
      </w:r>
    </w:p>
    <w:p>
      <w:pPr>
        <w:pStyle w:val="ListBullet"/>
        <w:spacing w:after="50"/>
        <w:ind w:left="259" w:hanging="173"/>
      </w:pPr>
      <w:r>
        <w:rPr>
          <w:rFonts w:ascii="Arimo" w:hAnsi="Arimo" w:eastAsia="Arimo"/>
          <w:sz w:val="18"/>
        </w:rPr>
        <w:t>Typical directional and volatility outlook.</w:t>
      </w:r>
    </w:p>
    <w:p>
      <w:pPr>
        <w:pStyle w:val="ListBullet"/>
        <w:spacing w:after="50"/>
        <w:ind w:left="259" w:hanging="173"/>
      </w:pPr>
      <w:r>
        <w:rPr>
          <w:rFonts w:ascii="Arimo" w:hAnsi="Arimo" w:eastAsia="Arimo"/>
          <w:sz w:val="18"/>
        </w:rPr>
        <w:t>How time decay and implied volatility generally affect the position.</w:t>
      </w:r>
    </w:p>
    <w:p>
      <w:pPr>
        <w:pStyle w:val="ListBullet"/>
        <w:spacing w:after="50"/>
        <w:ind w:left="259" w:hanging="173"/>
      </w:pPr>
      <w:r>
        <w:rPr>
          <w:rFonts w:ascii="Arimo" w:hAnsi="Arimo" w:eastAsia="Arimo"/>
          <w:sz w:val="18"/>
        </w:rPr>
        <w:t>Where profit is capped, where loss is substantial or defined, and when assignment can occur.</w:t>
      </w:r>
    </w:p>
    <w:p>
      <w:pPr>
        <w:pStyle w:val="ListBullet"/>
        <w:spacing w:after="50"/>
        <w:ind w:left="259" w:hanging="173"/>
      </w:pPr>
      <w:r>
        <w:rPr>
          <w:rFonts w:ascii="Arimo" w:hAnsi="Arimo" w:eastAsia="Arimo"/>
          <w:sz w:val="18"/>
        </w:rPr>
        <w:t>Questions to consider before entering, adjusting, rolling, or closing.</w:t>
      </w:r>
    </w:p>
    <w:p>
      <w:pPr>
        <w:pStyle w:val="Heading2"/>
        <w:keepNext/>
      </w:pPr>
      <w:r>
        <w:rPr>
          <w:rFonts w:ascii="Arimo" w:hAnsi="Arimo" w:eastAsia="Arimo"/>
          <w:b/>
          <w:color w:val="2F5597"/>
          <w:sz w:val="23"/>
        </w:rPr>
        <w:t>Content that must not be imported as product claims</w:t>
      </w:r>
    </w:p>
    <w:p>
      <w:pPr>
        <w:pStyle w:val="ListBullet"/>
        <w:spacing w:after="50"/>
        <w:ind w:left="259" w:hanging="173"/>
      </w:pPr>
      <w:r>
        <w:rPr>
          <w:rFonts w:ascii="Arimo" w:hAnsi="Arimo" w:eastAsia="Arimo"/>
          <w:sz w:val="18"/>
        </w:rPr>
        <w:t>Guaranteed, consistent, passive, non-losing, or casino-edge language.</w:t>
      </w:r>
    </w:p>
    <w:p>
      <w:pPr>
        <w:pStyle w:val="ListBullet"/>
        <w:spacing w:after="50"/>
        <w:ind w:left="259" w:hanging="173"/>
      </w:pPr>
      <w:r>
        <w:rPr>
          <w:rFonts w:ascii="Arimo" w:hAnsi="Arimo" w:eastAsia="Arimo"/>
          <w:sz w:val="18"/>
        </w:rPr>
        <w:t>Anecdotal returns, wealth claims, testimonials, or celebrity examples.</w:t>
      </w:r>
    </w:p>
    <w:p>
      <w:pPr>
        <w:pStyle w:val="ListBullet"/>
        <w:spacing w:after="50"/>
        <w:ind w:left="259" w:hanging="173"/>
      </w:pPr>
      <w:r>
        <w:rPr>
          <w:rFonts w:ascii="Arimo" w:hAnsi="Arimo" w:eastAsia="Arimo"/>
          <w:sz w:val="18"/>
        </w:rPr>
        <w:t>The idea that collecting premium by itself makes a trade safer or profitable.</w:t>
      </w:r>
    </w:p>
    <w:p>
      <w:pPr>
        <w:pStyle w:val="ListBullet"/>
        <w:spacing w:after="50"/>
        <w:ind w:left="259" w:hanging="173"/>
      </w:pPr>
      <w:r>
        <w:rPr>
          <w:rFonts w:ascii="Arimo" w:hAnsi="Arimo" w:eastAsia="Arimo"/>
          <w:sz w:val="18"/>
        </w:rPr>
        <w:t>The claim that delta is the exact probability of profit or exact probability of assignment.</w:t>
      </w:r>
    </w:p>
    <w:p>
      <w:pPr>
        <w:pStyle w:val="ListBullet"/>
        <w:spacing w:after="50"/>
        <w:ind w:left="259" w:hanging="173"/>
      </w:pPr>
      <w:r>
        <w:rPr>
          <w:rFonts w:ascii="Arimo" w:hAnsi="Arimo" w:eastAsia="Arimo"/>
          <w:sz w:val="18"/>
        </w:rPr>
        <w:t>The idea that rolling automatically repairs a losing position or converts a loss into income.</w:t>
      </w:r>
    </w:p>
    <w:p>
      <w:pPr>
        <w:pStyle w:val="ListBullet"/>
        <w:spacing w:after="50"/>
        <w:ind w:left="259" w:hanging="173"/>
      </w:pPr>
      <w:r>
        <w:rPr>
          <w:rFonts w:ascii="Arimo" w:hAnsi="Arimo" w:eastAsia="Arimo"/>
          <w:sz w:val="18"/>
        </w:rPr>
        <w:t>Any source artwork or extended prose unless separate distribution permission is documented.</w:t>
      </w:r>
    </w:p>
    <w:p>
      <w:r>
        <w:br w:type="page"/>
      </w:r>
    </w:p>
    <w:p>
      <w:pPr>
        <w:pStyle w:val="Heading1"/>
        <w:keepNext/>
        <w:pBdr>
          <w:bottom w:val="single" w:sz="8" w:space="1" w:color="1F6D7A"/>
        </w:pBdr>
      </w:pPr>
      <w:r>
        <w:rPr>
          <w:rFonts w:ascii="Arimo" w:hAnsi="Arimo" w:eastAsia="Arimo"/>
          <w:b/>
          <w:color w:val="1F6D7A"/>
          <w:sz w:val="31"/>
        </w:rPr>
        <w:t xml:space="preserve">2  </w:t>
      </w:r>
      <w:r>
        <w:rPr>
          <w:rFonts w:ascii="Arimo" w:hAnsi="Arimo" w:eastAsia="Arimo"/>
          <w:b/>
          <w:color w:val="17365D"/>
          <w:sz w:val="31"/>
        </w:rPr>
        <w:t>Knowledge-Base Architecture and UI Integration</w:t>
      </w:r>
    </w:p>
    <w:p>
      <w:pPr>
        <w:spacing w:after="100" w:line="250" w:lineRule="auto"/>
      </w:pPr>
      <w:r>
        <w:rPr>
          <w:rFonts w:ascii="Arimo" w:hAnsi="Arimo" w:eastAsia="Arimo"/>
          <w:i w:val="0"/>
          <w:sz w:val="19"/>
        </w:rPr>
        <w:t>Keep the calculation engine, educational content, and source references separate. This prevents a wording change from changing financial math and allows every formula to be unit tested.</w:t>
      </w:r>
    </w:p>
    <w:p>
      <w:pPr>
        <w:pStyle w:val="Heading2"/>
        <w:keepNext/>
      </w:pPr>
      <w:r>
        <w:rPr>
          <w:rFonts w:ascii="Arimo" w:hAnsi="Arimo" w:eastAsia="Arimo"/>
          <w:b/>
          <w:color w:val="2F5597"/>
          <w:sz w:val="23"/>
        </w:rPr>
        <w:t>Recommended internal modules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Module</w:t>
            </w:r>
          </w:p>
        </w:tc>
        <w:tc>
          <w:tcPr>
            <w:tcW w:type="dxa" w:w="7488"/>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Responsibility</w:t>
            </w:r>
          </w:p>
        </w:tc>
      </w:tr>
      <w:tr>
        <w:trPr>
          <w:cantSplit/>
        </w:trPr>
        <w:tc>
          <w:tcPr>
            <w:tcW w:type="dxa" w:w="237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strategyDefinitions</w:t>
            </w:r>
          </w:p>
        </w:tc>
        <w:tc>
          <w:tcPr>
            <w:tcW w:type="dxa" w:w="748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Normalized leg templates, outlook labels, premium direction, standard warnings, and source references.</w:t>
            </w:r>
          </w:p>
        </w:tc>
      </w:tr>
      <w:tr>
        <w:trPr>
          <w:cantSplit/>
        </w:trPr>
        <w:tc>
          <w:tcPr>
            <w:tcW w:type="dxa" w:w="237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calculationEngine</w:t>
            </w:r>
          </w:p>
        </w:tc>
        <w:tc>
          <w:tcPr>
            <w:tcW w:type="dxa" w:w="748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Expiration payoff, target-date valuation, Greeks, break-evens, collateral, probability, and expected value.</w:t>
            </w:r>
          </w:p>
        </w:tc>
      </w:tr>
      <w:tr>
        <w:trPr>
          <w:cantSplit/>
        </w:trPr>
        <w:tc>
          <w:tcPr>
            <w:tcW w:type="dxa" w:w="237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educationContent</w:t>
            </w:r>
          </w:p>
        </w:tc>
        <w:tc>
          <w:tcPr>
            <w:tcW w:type="dxa" w:w="748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Original plain-language explanations, tooltips, examples, and glossary entries.</w:t>
            </w:r>
          </w:p>
        </w:tc>
      </w:tr>
      <w:tr>
        <w:trPr>
          <w:cantSplit/>
        </w:trPr>
        <w:tc>
          <w:tcPr>
            <w:tcW w:type="dxa" w:w="237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marketDataAdapter</w:t>
            </w:r>
          </w:p>
        </w:tc>
        <w:tc>
          <w:tcPr>
            <w:tcW w:type="dxa" w:w="748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Quotes, option chains, IV, contract multiplier, exercise style, dividends, events, and timestamps.</w:t>
            </w:r>
          </w:p>
        </w:tc>
      </w:tr>
      <w:tr>
        <w:trPr>
          <w:cantSplit/>
        </w:trPr>
        <w:tc>
          <w:tcPr>
            <w:tcW w:type="dxa" w:w="237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tradeLifecycle</w:t>
            </w:r>
          </w:p>
        </w:tc>
        <w:tc>
          <w:tcPr>
            <w:tcW w:type="dxa" w:w="748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Open, monitor, adjust, roll, close, expire, exercise, assign, and wheel-state transitions.</w:t>
            </w:r>
          </w:p>
        </w:tc>
      </w:tr>
      <w:tr>
        <w:trPr>
          <w:cantSplit/>
        </w:trPr>
        <w:tc>
          <w:tcPr>
            <w:tcW w:type="dxa" w:w="237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testFixtures</w:t>
            </w:r>
          </w:p>
        </w:tc>
        <w:tc>
          <w:tcPr>
            <w:tcW w:type="dxa" w:w="748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Deterministic trade examples with expected dollar outputs.</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864"/>
            <w:shd w:fill="F2F2F2"/>
            <w:tcMar>
              <w:top w:w="120" w:type="dxa"/>
              <w:start w:w="160" w:type="dxa"/>
              <w:bottom w:w="120" w:type="dxa"/>
              <w:end w:w="160" w:type="dxa"/>
            </w:tcMar>
            <w:tcBorders>
              <w:top w:val="single" w:sz="6" w:color="B7B7B7"/>
              <w:left w:val="single" w:sz="6" w:color="B7B7B7"/>
              <w:bottom w:val="single" w:sz="6" w:color="B7B7B7"/>
              <w:right w:val="single" w:sz="6" w:color="B7B7B7"/>
            </w:tcBorders>
          </w:tcPr>
          <w:p>
            <w:pPr>
              <w:spacing w:after="60"/>
            </w:pPr>
            <w:r>
              <w:rPr>
                <w:rFonts w:ascii="Arimo" w:hAnsi="Arimo" w:eastAsia="Arimo"/>
                <w:b/>
                <w:color w:val="17365D"/>
                <w:sz w:val="18"/>
              </w:rPr>
              <w:t>Illustrative structured strategy record</w:t>
            </w:r>
          </w:p>
          <w:p>
            <w:pPr>
              <w:spacing w:after="20"/>
            </w:pPr>
            <w:r>
              <w:rPr>
                <w:rFonts w:ascii="Cousine" w:hAnsi="Cousine" w:eastAsia="Cousine"/>
                <w:color w:val="303030"/>
                <w:sz w:val="17"/>
              </w:rPr>
              <w:t>{</w:t>
            </w:r>
          </w:p>
          <w:p>
            <w:pPr>
              <w:spacing w:after="20"/>
            </w:pPr>
            <w:r>
              <w:rPr>
                <w:rFonts w:ascii="Cousine" w:hAnsi="Cousine" w:eastAsia="Cousine"/>
                <w:color w:val="303030"/>
                <w:sz w:val="17"/>
              </w:rPr>
              <w:t xml:space="preserve">  "id": "covered_call",</w:t>
            </w:r>
          </w:p>
          <w:p>
            <w:pPr>
              <w:spacing w:after="20"/>
            </w:pPr>
            <w:r>
              <w:rPr>
                <w:rFonts w:ascii="Cousine" w:hAnsi="Cousine" w:eastAsia="Cousine"/>
                <w:color w:val="303030"/>
                <w:sz w:val="17"/>
              </w:rPr>
              <w:t xml:space="preserve">  "legs": ["long_stock", "short_call"],</w:t>
            </w:r>
          </w:p>
          <w:p>
            <w:pPr>
              <w:spacing w:after="20"/>
            </w:pPr>
            <w:r>
              <w:rPr>
                <w:rFonts w:ascii="Cousine" w:hAnsi="Cousine" w:eastAsia="Cousine"/>
                <w:color w:val="303030"/>
                <w:sz w:val="17"/>
              </w:rPr>
              <w:t xml:space="preserve">  "premiumFlow": "credit",</w:t>
            </w:r>
          </w:p>
          <w:p>
            <w:pPr>
              <w:spacing w:after="20"/>
            </w:pPr>
            <w:r>
              <w:rPr>
                <w:rFonts w:ascii="Cousine" w:hAnsi="Cousine" w:eastAsia="Cousine"/>
                <w:color w:val="303030"/>
                <w:sz w:val="17"/>
              </w:rPr>
              <w:t xml:space="preserve">  "riskClass": "substantial_downside_capped_upside",</w:t>
            </w:r>
          </w:p>
          <w:p>
            <w:pPr>
              <w:spacing w:after="20"/>
            </w:pPr>
            <w:r>
              <w:rPr>
                <w:rFonts w:ascii="Cousine" w:hAnsi="Cousine" w:eastAsia="Cousine"/>
                <w:color w:val="303030"/>
                <w:sz w:val="17"/>
              </w:rPr>
              <w:t xml:space="preserve">  "assignmentPossible": true,</w:t>
            </w:r>
          </w:p>
          <w:p>
            <w:pPr>
              <w:spacing w:after="20"/>
            </w:pPr>
            <w:r>
              <w:rPr>
                <w:rFonts w:ascii="Cousine" w:hAnsi="Cousine" w:eastAsia="Cousine"/>
                <w:color w:val="303030"/>
                <w:sz w:val="17"/>
              </w:rPr>
              <w:t xml:space="preserve">  "requiredMetrics": ["breakeven", "maxProfit", "maxLoss", "crossoverPrice"],</w:t>
            </w:r>
          </w:p>
          <w:p>
            <w:pPr>
              <w:spacing w:after="20"/>
            </w:pPr>
            <w:r>
              <w:rPr>
                <w:rFonts w:ascii="Cousine" w:hAnsi="Cousine" w:eastAsia="Cousine"/>
                <w:color w:val="303030"/>
                <w:sz w:val="17"/>
              </w:rPr>
              <w:t xml:space="preserve">  "sourceRefs": ["book_pdf:17-22", "covered_call_sheet:1"]</w:t>
            </w:r>
          </w:p>
          <w:p>
            <w:pPr>
              <w:spacing w:after="20"/>
            </w:pPr>
            <w:r>
              <w:rPr>
                <w:rFonts w:ascii="Cousine" w:hAnsi="Cousine" w:eastAsia="Cousine"/>
                <w:color w:val="303030"/>
                <w:sz w:val="17"/>
              </w:rPr>
              <w:t>}</w:t>
            </w:r>
          </w:p>
        </w:tc>
      </w:tr>
    </w:tbl>
    <w:p>
      <w:pPr>
        <w:spacing w:after="20"/>
      </w:pPr>
    </w:p>
    <w:p>
      <w:pPr>
        <w:pStyle w:val="Heading2"/>
        <w:keepNext/>
      </w:pPr>
      <w:r>
        <w:rPr>
          <w:rFonts w:ascii="Arimo" w:hAnsi="Arimo" w:eastAsia="Arimo"/>
          <w:b/>
          <w:color w:val="2F5597"/>
          <w:sz w:val="23"/>
        </w:rPr>
        <w:t>Where the knowledge appears in the website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UI location</w:t>
            </w:r>
          </w:p>
        </w:tc>
        <w:tc>
          <w:tcPr>
            <w:tcW w:type="dxa" w:w="763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Required content</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Strategy picker</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One-sentence summary, required approval profile, defined/undefined risk badge, and leg preview.</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Builder help drawer</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Structure, outlook, premium direction, time/IV behavior, assignment risk, and common mistakes.</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Analysis summary</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Calculated max profit/loss, break-evens, probability, expected value, Greeks, collateral, and warnings.</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Scenario controls</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Stock price, date, IV, rate, dividend, slippage, and fees.</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Order checklist</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Exact legs, quantities, expiration, limit debit/credit, risk, quote age, and user confirmation.</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Journal</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Original assumptions, predicted distribution, actual fills, adjustments, and final result.</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864"/>
            <w:shd w:fill="EAF4EA"/>
            <w:tcMar>
              <w:top w:w="120" w:type="dxa"/>
              <w:start w:w="150" w:type="dxa"/>
              <w:bottom w:w="120" w:type="dxa"/>
              <w:end w:w="150" w:type="dxa"/>
            </w:tcMar>
            <w:tcBorders>
              <w:top w:val="single" w:sz="10" w:color="2F6B3C"/>
              <w:left w:val="single" w:sz="10" w:color="2F6B3C"/>
              <w:bottom w:val="single" w:sz="10" w:color="2F6B3C"/>
              <w:right w:val="single" w:sz="10" w:color="2F6B3C"/>
            </w:tcBorders>
          </w:tcPr>
          <w:p>
            <w:pPr>
              <w:spacing w:after="40"/>
            </w:pPr>
            <w:r>
              <w:rPr>
                <w:rFonts w:ascii="Arimo" w:hAnsi="Arimo" w:eastAsia="Arimo"/>
                <w:b/>
                <w:color w:val="2F6B3C"/>
                <w:sz w:val="19"/>
              </w:rPr>
              <w:t>Numerical source of truth</w:t>
            </w:r>
          </w:p>
          <w:p>
            <w:pPr>
              <w:spacing w:after="0"/>
            </w:pPr>
            <w:r>
              <w:rPr>
                <w:rFonts w:ascii="Arimo" w:hAnsi="Arimo" w:eastAsia="Arimo"/>
                <w:color w:val="3F3F3F"/>
                <w:sz w:val="18"/>
              </w:rPr>
              <w:t>All displayed dollar values, probabilities, Greeks, and break-even prices must come from the calculation engine. Educational prose may describe a strategy, but it must never hard-code a number or infer profitability from whether an option expires worthless.</w:t>
            </w:r>
          </w:p>
        </w:tc>
      </w:tr>
    </w:tbl>
    <w:p>
      <w:pPr>
        <w:spacing w:after="20"/>
      </w:pPr>
    </w:p>
    <w:p>
      <w:r>
        <w:br w:type="page"/>
      </w:r>
    </w:p>
    <w:p>
      <w:pPr>
        <w:pStyle w:val="Heading1"/>
        <w:keepNext/>
        <w:pBdr>
          <w:bottom w:val="single" w:sz="8" w:space="1" w:color="1F6D7A"/>
        </w:pBdr>
      </w:pPr>
      <w:r>
        <w:rPr>
          <w:rFonts w:ascii="Arimo" w:hAnsi="Arimo" w:eastAsia="Arimo"/>
          <w:b/>
          <w:color w:val="1F6D7A"/>
          <w:sz w:val="31"/>
        </w:rPr>
        <w:t xml:space="preserve">3  </w:t>
      </w:r>
      <w:r>
        <w:rPr>
          <w:rFonts w:ascii="Arimo" w:hAnsi="Arimo" w:eastAsia="Arimo"/>
          <w:b/>
          <w:color w:val="17365D"/>
          <w:sz w:val="31"/>
        </w:rPr>
        <w:t>Universal Strategy-Card Standard</w:t>
      </w:r>
    </w:p>
    <w:p>
      <w:pPr>
        <w:spacing w:after="100" w:line="250" w:lineRule="auto"/>
      </w:pPr>
      <w:r>
        <w:rPr>
          <w:rFonts w:ascii="Arimo" w:hAnsi="Arimo" w:eastAsia="Arimo"/>
          <w:i w:val="0"/>
          <w:sz w:val="19"/>
        </w:rPr>
        <w:t>Every supported strategy should use the same information architecture. This lets users compare strategies without learning a different screen for each one.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Card field</w:t>
            </w:r>
          </w:p>
        </w:tc>
        <w:tc>
          <w:tcPr>
            <w:tcW w:type="dxa" w:w="7488"/>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Required meaning</w:t>
            </w:r>
          </w:p>
        </w:tc>
      </w:tr>
      <w:tr>
        <w:trPr>
          <w:cantSplit/>
        </w:trPr>
        <w:tc>
          <w:tcPr>
            <w:tcW w:type="dxa" w:w="237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Name and aliases</w:t>
            </w:r>
          </w:p>
        </w:tc>
        <w:tc>
          <w:tcPr>
            <w:tcW w:type="dxa" w:w="748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Standard name plus common brokerage wording.</w:t>
            </w:r>
          </w:p>
        </w:tc>
      </w:tr>
      <w:tr>
        <w:trPr>
          <w:cantSplit/>
        </w:trPr>
        <w:tc>
          <w:tcPr>
            <w:tcW w:type="dxa" w:w="237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Leg structure</w:t>
            </w:r>
          </w:p>
        </w:tc>
        <w:tc>
          <w:tcPr>
            <w:tcW w:type="dxa" w:w="748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Buy/sell, call/put/stock, quantity, strike relationship, same-expiration rule, and multiplier.</w:t>
            </w:r>
          </w:p>
        </w:tc>
      </w:tr>
      <w:tr>
        <w:trPr>
          <w:cantSplit/>
        </w:trPr>
        <w:tc>
          <w:tcPr>
            <w:tcW w:type="dxa" w:w="237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Typical outlook</w:t>
            </w:r>
          </w:p>
        </w:tc>
        <w:tc>
          <w:tcPr>
            <w:tcW w:type="dxa" w:w="748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Bullish, bearish, neutral, range-bound, or large-move expectation. Label as typical, not predictive.</w:t>
            </w:r>
          </w:p>
        </w:tc>
      </w:tr>
      <w:tr>
        <w:trPr>
          <w:cantSplit/>
        </w:trPr>
        <w:tc>
          <w:tcPr>
            <w:tcW w:type="dxa" w:w="237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Entry cash flow</w:t>
            </w:r>
          </w:p>
        </w:tc>
        <w:tc>
          <w:tcPr>
            <w:tcW w:type="dxa" w:w="748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Net debit or net credit per share and total dollars after estimated fees.</w:t>
            </w:r>
          </w:p>
        </w:tc>
      </w:tr>
      <w:tr>
        <w:trPr>
          <w:cantSplit/>
        </w:trPr>
        <w:tc>
          <w:tcPr>
            <w:tcW w:type="dxa" w:w="237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Expiration payoff</w:t>
            </w:r>
          </w:p>
        </w:tc>
        <w:tc>
          <w:tcPr>
            <w:tcW w:type="dxa" w:w="748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Complete strategy payoff function across all legs.</w:t>
            </w:r>
          </w:p>
        </w:tc>
      </w:tr>
      <w:tr>
        <w:trPr>
          <w:cantSplit/>
        </w:trPr>
        <w:tc>
          <w:tcPr>
            <w:tcW w:type="dxa" w:w="237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Maximum profit</w:t>
            </w:r>
          </w:p>
        </w:tc>
        <w:tc>
          <w:tcPr>
            <w:tcW w:type="dxa" w:w="748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Dollar amount, unlimited, or dependent on stock ownership; explain the price region where it occurs.</w:t>
            </w:r>
          </w:p>
        </w:tc>
      </w:tr>
      <w:tr>
        <w:trPr>
          <w:cantSplit/>
        </w:trPr>
        <w:tc>
          <w:tcPr>
            <w:tcW w:type="dxa" w:w="237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Maximum loss</w:t>
            </w:r>
          </w:p>
        </w:tc>
        <w:tc>
          <w:tcPr>
            <w:tcW w:type="dxa" w:w="748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Dollar amount, substantial stock downside, or undefined/unlimited. Never infer from chart bounds.</w:t>
            </w:r>
          </w:p>
        </w:tc>
      </w:tr>
      <w:tr>
        <w:trPr>
          <w:cantSplit/>
        </w:trPr>
        <w:tc>
          <w:tcPr>
            <w:tcW w:type="dxa" w:w="237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Break-even prices</w:t>
            </w:r>
          </w:p>
        </w:tc>
        <w:tc>
          <w:tcPr>
            <w:tcW w:type="dxa" w:w="748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All roots of the net expiration P/L function, including multiple break-evens.</w:t>
            </w:r>
          </w:p>
        </w:tc>
      </w:tr>
      <w:tr>
        <w:trPr>
          <w:cantSplit/>
        </w:trPr>
        <w:tc>
          <w:tcPr>
            <w:tcW w:type="dxa" w:w="237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Collateral and buying power</w:t>
            </w:r>
          </w:p>
        </w:tc>
        <w:tc>
          <w:tcPr>
            <w:tcW w:type="dxa" w:w="748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Economic capital at risk and separately labeled broker collateral estimate.</w:t>
            </w:r>
          </w:p>
        </w:tc>
      </w:tr>
      <w:tr>
        <w:trPr>
          <w:cantSplit/>
        </w:trPr>
        <w:tc>
          <w:tcPr>
            <w:tcW w:type="dxa" w:w="237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Greeks</w:t>
            </w:r>
          </w:p>
        </w:tc>
        <w:tc>
          <w:tcPr>
            <w:tcW w:type="dxa" w:w="748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Aggregate delta, gamma, theta, vega, and optional rho at the selected date and assumptions.</w:t>
            </w:r>
          </w:p>
        </w:tc>
      </w:tr>
      <w:tr>
        <w:trPr>
          <w:cantSplit/>
        </w:trPr>
        <w:tc>
          <w:tcPr>
            <w:tcW w:type="dxa" w:w="237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Time and IV effects</w:t>
            </w:r>
          </w:p>
        </w:tc>
        <w:tc>
          <w:tcPr>
            <w:tcW w:type="dxa" w:w="748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Directional effect only as education; actual target-date P/L must be repriced.</w:t>
            </w:r>
          </w:p>
        </w:tc>
      </w:tr>
      <w:tr>
        <w:trPr>
          <w:cantSplit/>
        </w:trPr>
        <w:tc>
          <w:tcPr>
            <w:tcW w:type="dxa" w:w="237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Assignment and exercise</w:t>
            </w:r>
          </w:p>
        </w:tc>
        <w:tc>
          <w:tcPr>
            <w:tcW w:type="dxa" w:w="748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American/European style, early assignment possibility, ex-dividend warning, and expiration handling.</w:t>
            </w:r>
          </w:p>
        </w:tc>
      </w:tr>
      <w:tr>
        <w:trPr>
          <w:cantSplit/>
        </w:trPr>
        <w:tc>
          <w:tcPr>
            <w:tcW w:type="dxa" w:w="237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Liquidity and events</w:t>
            </w:r>
          </w:p>
        </w:tc>
        <w:tc>
          <w:tcPr>
            <w:tcW w:type="dxa" w:w="748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Bid-ask spread, quote age, volume, open interest, earnings, dividends, and adjusted-contract status.</w:t>
            </w:r>
          </w:p>
        </w:tc>
      </w:tr>
      <w:tr>
        <w:trPr>
          <w:cantSplit/>
        </w:trPr>
        <w:tc>
          <w:tcPr>
            <w:tcW w:type="dxa" w:w="237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Management choices</w:t>
            </w:r>
          </w:p>
        </w:tc>
        <w:tc>
          <w:tcPr>
            <w:tcW w:type="dxa" w:w="748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Hold, close, roll, accept assignment, exercise, or convert to the next wheel state; show incremental and cumulative P/L.</w:t>
            </w:r>
          </w:p>
        </w:tc>
      </w:tr>
      <w:tr>
        <w:trPr>
          <w:cantSplit/>
        </w:trPr>
        <w:tc>
          <w:tcPr>
            <w:tcW w:type="dxa" w:w="237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Model disclosure</w:t>
            </w:r>
          </w:p>
        </w:tc>
        <w:tc>
          <w:tcPr>
            <w:tcW w:type="dxa" w:w="748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Valuation model, volatility input, drift mode, rate, dividend yield, simulation count, seed, and confidence interval.</w:t>
            </w:r>
          </w:p>
        </w:tc>
      </w:tr>
    </w:tbl>
    <w:p>
      <w:pPr>
        <w:spacing w:after="40"/>
      </w:pPr>
    </w:p>
    <w:p>
      <w:pPr>
        <w:pStyle w:val="Heading2"/>
        <w:keepNext/>
      </w:pPr>
      <w:r>
        <w:rPr>
          <w:rFonts w:ascii="Arimo" w:hAnsi="Arimo" w:eastAsia="Arimo"/>
          <w:b/>
          <w:color w:val="2F5597"/>
          <w:sz w:val="23"/>
        </w:rPr>
        <w:t>Required strategy badges</w:t>
      </w:r>
    </w:p>
    <w:p>
      <w:pPr>
        <w:pStyle w:val="ListBullet"/>
        <w:spacing w:after="50"/>
        <w:ind w:left="259" w:hanging="173"/>
      </w:pPr>
      <w:r>
        <w:rPr>
          <w:rFonts w:ascii="Arimo" w:hAnsi="Arimo" w:eastAsia="Arimo"/>
          <w:sz w:val="18"/>
        </w:rPr>
        <w:t>Defined risk / substantial downside / undefined risk.</w:t>
      </w:r>
    </w:p>
    <w:p>
      <w:pPr>
        <w:pStyle w:val="ListBullet"/>
        <w:spacing w:after="50"/>
        <w:ind w:left="259" w:hanging="173"/>
      </w:pPr>
      <w:r>
        <w:rPr>
          <w:rFonts w:ascii="Arimo" w:hAnsi="Arimo" w:eastAsia="Arimo"/>
          <w:sz w:val="18"/>
        </w:rPr>
        <w:t>Debit / credit / stock-owned.</w:t>
      </w:r>
    </w:p>
    <w:p>
      <w:pPr>
        <w:pStyle w:val="ListBullet"/>
        <w:spacing w:after="50"/>
        <w:ind w:left="259" w:hanging="173"/>
      </w:pPr>
      <w:r>
        <w:rPr>
          <w:rFonts w:ascii="Arimo" w:hAnsi="Arimo" w:eastAsia="Arimo"/>
          <w:sz w:val="18"/>
        </w:rPr>
        <w:t>Positive or negative time-decay tendency at entry.</w:t>
      </w:r>
    </w:p>
    <w:p>
      <w:pPr>
        <w:pStyle w:val="ListBullet"/>
        <w:spacing w:after="50"/>
        <w:ind w:left="259" w:hanging="173"/>
      </w:pPr>
      <w:r>
        <w:rPr>
          <w:rFonts w:ascii="Arimo" w:hAnsi="Arimo" w:eastAsia="Arimo"/>
          <w:sz w:val="18"/>
        </w:rPr>
        <w:t>Positive or negative implied-volatility tendency at entry.</w:t>
      </w:r>
    </w:p>
    <w:p>
      <w:pPr>
        <w:pStyle w:val="ListBullet"/>
        <w:spacing w:after="50"/>
        <w:ind w:left="259" w:hanging="173"/>
      </w:pPr>
      <w:r>
        <w:rPr>
          <w:rFonts w:ascii="Arimo" w:hAnsi="Arimo" w:eastAsia="Arimo"/>
          <w:sz w:val="18"/>
        </w:rPr>
        <w:t>Early assignment possible / expiration-only exercise.</w:t>
      </w:r>
    </w:p>
    <w:p>
      <w:pPr>
        <w:pStyle w:val="ListBullet"/>
        <w:spacing w:after="50"/>
        <w:ind w:left="259" w:hanging="173"/>
      </w:pPr>
      <w:r>
        <w:rPr>
          <w:rFonts w:ascii="Arimo" w:hAnsi="Arimo" w:eastAsia="Arimo"/>
          <w:sz w:val="18"/>
        </w:rPr>
        <w:t>Same-expiration / multi-expiration.</w:t>
      </w:r>
    </w:p>
    <w:p>
      <w:pPr>
        <w:pStyle w:val="ListBullet"/>
        <w:spacing w:after="50"/>
        <w:ind w:left="259" w:hanging="173"/>
      </w:pPr>
      <w:r>
        <w:rPr>
          <w:rFonts w:ascii="Arimo" w:hAnsi="Arimo" w:eastAsia="Arimo"/>
          <w:sz w:val="18"/>
        </w:rPr>
        <w:t>Manual-entry compatible / live-chain data available.</w:t>
      </w:r>
    </w:p>
    <w:tbl>
      <w:tblPr>
        <w:tblW w:type="auto" w:w="0"/>
        <w:jc w:val="center"/>
        <w:tblLayout w:type="fixed"/>
        <w:tblLook w:firstColumn="1" w:firstRow="1" w:lastColumn="0" w:lastRow="0" w:noHBand="0" w:noVBand="1" w:val="04A0"/>
      </w:tblPr>
      <w:tblGrid>
        <w:gridCol w:w="10166"/>
      </w:tblGrid>
      <w:tr>
        <w:tc>
          <w:tcPr>
            <w:tcW w:type="dxa" w:w="9864"/>
            <w:shd w:fill="FCE8E6"/>
            <w:tcMar>
              <w:top w:w="120" w:type="dxa"/>
              <w:start w:w="150" w:type="dxa"/>
              <w:bottom w:w="120" w:type="dxa"/>
              <w:end w:w="150" w:type="dxa"/>
            </w:tcMar>
            <w:tcBorders>
              <w:top w:val="single" w:sz="10" w:color="9C2F2F"/>
              <w:left w:val="single" w:sz="10" w:color="9C2F2F"/>
              <w:bottom w:val="single" w:sz="10" w:color="9C2F2F"/>
              <w:right w:val="single" w:sz="10" w:color="9C2F2F"/>
            </w:tcBorders>
          </w:tcPr>
          <w:p>
            <w:pPr>
              <w:spacing w:after="40"/>
            </w:pPr>
            <w:r>
              <w:rPr>
                <w:rFonts w:ascii="Arimo" w:hAnsi="Arimo" w:eastAsia="Arimo"/>
                <w:b/>
                <w:color w:val="9C2F2F"/>
                <w:sz w:val="19"/>
              </w:rPr>
              <w:t>Language rule</w:t>
            </w:r>
          </w:p>
          <w:p>
            <w:pPr>
              <w:spacing w:after="0"/>
            </w:pPr>
            <w:r>
              <w:rPr>
                <w:rFonts w:ascii="Arimo" w:hAnsi="Arimo" w:eastAsia="Arimo"/>
                <w:color w:val="3F3F3F"/>
                <w:sz w:val="18"/>
              </w:rPr>
              <w:t>Do not label a strategy best, safest, guaranteed, passive, or income-producing without also displaying the full downside, opportunity cost, liquidity risk, and model assumptions. A high estimated win rate can still have poor expected value.</w:t>
            </w:r>
          </w:p>
        </w:tc>
      </w:tr>
    </w:tbl>
    <w:p>
      <w:pPr>
        <w:spacing w:after="20"/>
      </w:pPr>
    </w:p>
    <w:p>
      <w:r>
        <w:br w:type="page"/>
      </w:r>
    </w:p>
    <w:p>
      <w:pPr>
        <w:pStyle w:val="Heading1"/>
        <w:keepNext/>
        <w:pBdr>
          <w:bottom w:val="single" w:sz="8" w:space="1" w:color="1F6D7A"/>
        </w:pBdr>
      </w:pPr>
      <w:r>
        <w:rPr>
          <w:rFonts w:ascii="Arimo" w:hAnsi="Arimo" w:eastAsia="Arimo"/>
          <w:b/>
          <w:color w:val="1F6D7A"/>
          <w:sz w:val="31"/>
        </w:rPr>
        <w:t xml:space="preserve">4  </w:t>
      </w:r>
      <w:r>
        <w:rPr>
          <w:rFonts w:ascii="Arimo" w:hAnsi="Arimo" w:eastAsia="Arimo"/>
          <w:b/>
          <w:color w:val="17365D"/>
          <w:sz w:val="31"/>
        </w:rPr>
        <w:t>Detailed Covered-Call Module</w:t>
      </w:r>
    </w:p>
    <w:p>
      <w:pPr>
        <w:spacing w:after="100" w:line="250" w:lineRule="auto"/>
      </w:pPr>
      <w:r>
        <w:rPr>
          <w:rFonts w:ascii="Arimo" w:hAnsi="Arimo" w:eastAsia="Arimo"/>
          <w:i w:val="0"/>
          <w:sz w:val="19"/>
        </w:rPr>
        <w:t>The covered call receives the most detailed treatment because both uploaded sources cover it and because it combines a stock position with an option obligation. The app must analyze the combined position, not the short call in isolation.</w:t>
      </w:r>
    </w:p>
    <w:p>
      <w:pPr>
        <w:pStyle w:val="Heading2"/>
        <w:keepNext/>
      </w:pPr>
      <w:r>
        <w:rPr>
          <w:rFonts w:ascii="Arimo" w:hAnsi="Arimo" w:eastAsia="Arimo"/>
          <w:b/>
          <w:color w:val="2F5597"/>
          <w:sz w:val="23"/>
        </w:rPr>
        <w:t>Structure and validation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15"/>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Item</w:t>
            </w:r>
          </w:p>
        </w:tc>
        <w:tc>
          <w:tcPr>
            <w:tcW w:type="dxa" w:w="7848"/>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Requirement</w:t>
            </w:r>
          </w:p>
        </w:tc>
      </w:tr>
      <w:tr>
        <w:trPr>
          <w:cantSplit/>
        </w:trPr>
        <w:tc>
          <w:tcPr>
            <w:tcW w:type="dxa" w:w="2015"/>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Structure</w:t>
            </w:r>
          </w:p>
        </w:tc>
        <w:tc>
          <w:tcPr>
            <w:tcW w:type="dxa" w:w="784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Long underlying shares plus short call contracts on the same underlying.</w:t>
            </w:r>
          </w:p>
        </w:tc>
      </w:tr>
      <w:tr>
        <w:trPr>
          <w:cantSplit/>
        </w:trPr>
        <w:tc>
          <w:tcPr>
            <w:tcW w:type="dxa" w:w="2015"/>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Coverage test</w:t>
            </w:r>
          </w:p>
        </w:tc>
        <w:tc>
          <w:tcPr>
            <w:tcW w:type="dxa" w:w="784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Shares must be at least contracts x contract multiplier. Flag partial coverage and adjusted contracts.</w:t>
            </w:r>
          </w:p>
        </w:tc>
      </w:tr>
      <w:tr>
        <w:trPr>
          <w:cantSplit/>
        </w:trPr>
        <w:tc>
          <w:tcPr>
            <w:tcW w:type="dxa" w:w="2015"/>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Typical outlook</w:t>
            </w:r>
          </w:p>
        </w:tc>
        <w:tc>
          <w:tcPr>
            <w:tcW w:type="dxa" w:w="784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Neutral to moderately bullish, with willingness to sell shares at the strike.</w:t>
            </w:r>
          </w:p>
        </w:tc>
      </w:tr>
      <w:tr>
        <w:trPr>
          <w:cantSplit/>
        </w:trPr>
        <w:tc>
          <w:tcPr>
            <w:tcW w:type="dxa" w:w="2015"/>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Entry flow</w:t>
            </w:r>
          </w:p>
        </w:tc>
        <w:tc>
          <w:tcPr>
            <w:tcW w:type="dxa" w:w="784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Call premium collected; stock may be pre-existing or purchased with the call.</w:t>
            </w:r>
          </w:p>
        </w:tc>
      </w:tr>
      <w:tr>
        <w:trPr>
          <w:cantSplit/>
        </w:trPr>
        <w:tc>
          <w:tcPr>
            <w:tcW w:type="dxa" w:w="2015"/>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Core trade-off</w:t>
            </w:r>
          </w:p>
        </w:tc>
        <w:tc>
          <w:tcPr>
            <w:tcW w:type="dxa" w:w="784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Premium and limited downside cushion in exchange for capped upside above the strike.</w:t>
            </w:r>
          </w:p>
        </w:tc>
      </w:tr>
    </w:tbl>
    <w:p>
      <w:pPr>
        <w:spacing w:after="40"/>
      </w:pPr>
    </w:p>
    <w:p>
      <w:pPr>
        <w:pStyle w:val="Heading2"/>
        <w:keepNext/>
      </w:pPr>
      <w:r>
        <w:rPr>
          <w:rFonts w:ascii="Arimo" w:hAnsi="Arimo" w:eastAsia="Arimo"/>
          <w:b/>
          <w:color w:val="2F5597"/>
          <w:sz w:val="23"/>
        </w:rPr>
        <w:t>Expiration formulas</w:t>
      </w:r>
    </w:p>
    <w:p>
      <w:pPr>
        <w:spacing w:after="100" w:line="250" w:lineRule="auto"/>
      </w:pPr>
      <w:r>
        <w:rPr>
          <w:rFonts w:ascii="Arimo" w:hAnsi="Arimo" w:eastAsia="Arimo"/>
          <w:i w:val="0"/>
          <w:sz w:val="19"/>
        </w:rPr>
        <w:t>Let S0 be the stock cost basis per share, ST the stock price at expiration, K the call strike, C the call premium received per share, Q the number of short calls, M the contract multiplier, and F total fees. The formulas below assume exactly Q x M covered shares and exclude dividends unless explicitly added.</w:t>
      </w:r>
    </w:p>
    <w:tbl>
      <w:tblPr>
        <w:tblW w:type="auto" w:w="0"/>
        <w:jc w:val="center"/>
        <w:tblLayout w:type="fixed"/>
        <w:tblLook w:firstColumn="1" w:firstRow="1" w:lastColumn="0" w:lastRow="0" w:noHBand="0" w:noVBand="1" w:val="04A0"/>
      </w:tblPr>
      <w:tblGrid>
        <w:gridCol w:w="10166"/>
      </w:tblGrid>
      <w:tr>
        <w:tc>
          <w:tcPr>
            <w:tcW w:type="dxa" w:w="9864"/>
            <w:shd w:fill="F2F2F2"/>
            <w:tcMar>
              <w:top w:w="120" w:type="dxa"/>
              <w:start w:w="160" w:type="dxa"/>
              <w:bottom w:w="120" w:type="dxa"/>
              <w:end w:w="160" w:type="dxa"/>
            </w:tcMar>
            <w:tcBorders>
              <w:top w:val="single" w:sz="6" w:color="B7B7B7"/>
              <w:left w:val="single" w:sz="6" w:color="B7B7B7"/>
              <w:bottom w:val="single" w:sz="6" w:color="B7B7B7"/>
              <w:right w:val="single" w:sz="6" w:color="B7B7B7"/>
            </w:tcBorders>
          </w:tcPr>
          <w:p>
            <w:pPr>
              <w:spacing w:after="60"/>
            </w:pPr>
            <w:r>
              <w:rPr>
                <w:rFonts w:ascii="Arimo" w:hAnsi="Arimo" w:eastAsia="Arimo"/>
                <w:b/>
                <w:color w:val="17365D"/>
                <w:sz w:val="18"/>
              </w:rPr>
              <w:t>Covered-call expiration math</w:t>
            </w:r>
          </w:p>
          <w:p>
            <w:pPr>
              <w:spacing w:after="20"/>
            </w:pPr>
            <w:r>
              <w:rPr>
                <w:rFonts w:ascii="Cousine" w:hAnsi="Cousine" w:eastAsia="Cousine"/>
                <w:color w:val="303030"/>
                <w:sz w:val="17"/>
              </w:rPr>
              <w:t>Shares = Q * M</w:t>
            </w:r>
          </w:p>
          <w:p>
            <w:pPr>
              <w:spacing w:after="20"/>
            </w:pPr>
            <w:r>
              <w:rPr>
                <w:rFonts w:ascii="Cousine" w:hAnsi="Cousine" w:eastAsia="Cousine"/>
                <w:color w:val="303030"/>
                <w:sz w:val="17"/>
              </w:rPr>
              <w:t>Expiration P/L = (ST - S0) * Shares + [C - max(ST - K, 0)] * Q * M - F</w:t>
            </w:r>
          </w:p>
          <w:p>
            <w:pPr>
              <w:spacing w:after="20"/>
            </w:pPr>
            <w:r>
              <w:rPr>
                <w:rFonts w:ascii="Cousine" w:hAnsi="Cousine" w:eastAsia="Cousine"/>
                <w:color w:val="303030"/>
                <w:sz w:val="17"/>
              </w:rPr>
              <w:t>Net premium credit = C * Q * M - F</w:t>
            </w:r>
          </w:p>
          <w:p>
            <w:pPr>
              <w:spacing w:after="20"/>
            </w:pPr>
            <w:r>
              <w:rPr>
                <w:rFonts w:ascii="Cousine" w:hAnsi="Cousine" w:eastAsia="Cousine"/>
                <w:color w:val="303030"/>
                <w:sz w:val="17"/>
              </w:rPr>
              <w:t>Breakeven = S0 - (net premium credit / Shares)</w:t>
            </w:r>
          </w:p>
          <w:p>
            <w:pPr>
              <w:spacing w:after="20"/>
            </w:pPr>
            <w:r>
              <w:rPr>
                <w:rFonts w:ascii="Cousine" w:hAnsi="Cousine" w:eastAsia="Cousine"/>
                <w:color w:val="303030"/>
                <w:sz w:val="17"/>
              </w:rPr>
              <w:t>Maximum profit = (K - S0 + C) * Q * M - F</w:t>
            </w:r>
          </w:p>
          <w:p>
            <w:pPr>
              <w:spacing w:after="20"/>
            </w:pPr>
            <w:r>
              <w:rPr>
                <w:rFonts w:ascii="Cousine" w:hAnsi="Cousine" w:eastAsia="Cousine"/>
                <w:color w:val="303030"/>
                <w:sz w:val="17"/>
              </w:rPr>
              <w:t>Maximum loss amount = (S0 - C) * Q * M + F, if the stock falls to zero</w:t>
            </w:r>
          </w:p>
          <w:p>
            <w:pPr>
              <w:spacing w:after="20"/>
            </w:pPr>
            <w:r>
              <w:rPr>
                <w:rFonts w:ascii="Cousine" w:hAnsi="Cousine" w:eastAsia="Cousine"/>
                <w:color w:val="303030"/>
                <w:sz w:val="17"/>
              </w:rPr>
              <w:t>Stock-only crossover price = K + (net premium credit / Shares)</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9864"/>
            <w:shd w:fill="EEF4FB"/>
            <w:tcMar>
              <w:top w:w="120" w:type="dxa"/>
              <w:start w:w="150" w:type="dxa"/>
              <w:bottom w:w="120" w:type="dxa"/>
              <w:end w:w="150" w:type="dxa"/>
            </w:tcMar>
            <w:tcBorders>
              <w:top w:val="single" w:sz="10" w:color="2F5597"/>
              <w:left w:val="single" w:sz="10" w:color="2F5597"/>
              <w:bottom w:val="single" w:sz="10" w:color="2F5597"/>
              <w:right w:val="single" w:sz="10" w:color="2F5597"/>
            </w:tcBorders>
          </w:tcPr>
          <w:p>
            <w:pPr>
              <w:spacing w:after="40"/>
            </w:pPr>
            <w:r>
              <w:rPr>
                <w:rFonts w:ascii="Arimo" w:hAnsi="Arimo" w:eastAsia="Arimo"/>
                <w:b/>
                <w:color w:val="17365D"/>
                <w:sz w:val="19"/>
              </w:rPr>
              <w:t>Interpretation</w:t>
            </w:r>
          </w:p>
          <w:p>
            <w:pPr>
              <w:spacing w:after="0"/>
            </w:pPr>
            <w:r>
              <w:rPr>
                <w:rFonts w:ascii="Arimo" w:hAnsi="Arimo" w:eastAsia="Arimo"/>
                <w:color w:val="3F3F3F"/>
                <w:sz w:val="18"/>
              </w:rPr>
              <w:t>The stock-only crossover price is the expiration price above which simply owning the stock would have produced a higher result than the covered call. It is an opportunity-cost metric, not another break-even point.</w:t>
            </w:r>
          </w:p>
        </w:tc>
      </w:tr>
    </w:tbl>
    <w:p>
      <w:pPr>
        <w:spacing w:after="20"/>
      </w:pPr>
    </w:p>
    <w:p>
      <w:pPr>
        <w:jc w:val="center"/>
      </w:pPr>
      <w:r>
        <w:drawing>
          <wp:inline xmlns:a="http://schemas.openxmlformats.org/drawingml/2006/main" xmlns:pic="http://schemas.openxmlformats.org/drawingml/2006/picture">
            <wp:extent cx="5806440" cy="2571423"/>
            <wp:docPr id="1" name="Picture 1" descr="Illustrative covered call expiration payoff chart for long stock at 100 dollars and short 105 call for 2.50 dollars."/>
            <wp:cNvGraphicFramePr>
              <a:graphicFrameLocks noChangeAspect="1"/>
            </wp:cNvGraphicFramePr>
            <a:graphic>
              <a:graphicData uri="http://schemas.openxmlformats.org/drawingml/2006/picture">
                <pic:pic>
                  <pic:nvPicPr>
                    <pic:cNvPr id="0" name="covered_call_payoff.png"/>
                    <pic:cNvPicPr/>
                  </pic:nvPicPr>
                  <pic:blipFill>
                    <a:blip r:embed="rId11"/>
                    <a:stretch>
                      <a:fillRect/>
                    </a:stretch>
                  </pic:blipFill>
                  <pic:spPr>
                    <a:xfrm>
                      <a:off x="0" y="0"/>
                      <a:ext cx="5806440" cy="2571423"/>
                    </a:xfrm>
                    <a:prstGeom prst="rect"/>
                  </pic:spPr>
                </pic:pic>
              </a:graphicData>
            </a:graphic>
          </wp:inline>
        </w:drawing>
      </w:r>
    </w:p>
    <w:p>
      <w:pPr>
        <w:spacing w:after="100"/>
        <w:jc w:val="center"/>
      </w:pPr>
      <w:r>
        <w:rPr>
          <w:rFonts w:ascii="Arimo" w:hAnsi="Arimo" w:eastAsia="Arimo"/>
          <w:i/>
          <w:color w:val="666666"/>
          <w:sz w:val="15"/>
        </w:rPr>
        <w:t>Illustrative test case: long 100 shares at $100 and short one 105 call for $2.50, excluding fees and dividends.</w:t>
      </w:r>
    </w:p>
    <w:p>
      <w:pPr>
        <w:pStyle w:val="Heading2"/>
        <w:keepNext/>
      </w:pPr>
      <w:r>
        <w:rPr>
          <w:rFonts w:ascii="Arimo" w:hAnsi="Arimo" w:eastAsia="Arimo"/>
          <w:b/>
          <w:color w:val="2F5597"/>
          <w:sz w:val="23"/>
        </w:rPr>
        <w:t>Required outputs and warnings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Output</w:t>
            </w:r>
          </w:p>
        </w:tc>
        <w:tc>
          <w:tcPr>
            <w:tcW w:type="dxa" w:w="763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Requirement</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Net premium</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Per share and total dollars after fees.</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Combined P/L</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Stock plus option result at current price, target date, and expiration.</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Maximum profit</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Capped result at or above the strike.</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Maximum loss</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Near the full stock investment, reduced only by net premium and optional dividends.</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Breakeven</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Stock basis minus net premium per covered share.</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Upside given away</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Difference between selected scenario stock-only profit and covered-call profit.</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Assignment warning</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Possible before expiration for American-style calls; heightened attention around ex-dividend dates and deep ITM calls.</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Tax disclaimer</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Do not calculate personalized tax consequences; allow notes and export for a tax professional.</w:t>
            </w:r>
          </w:p>
        </w:tc>
      </w:tr>
    </w:tbl>
    <w:p>
      <w:pPr>
        <w:spacing w:after="40"/>
      </w:pPr>
    </w:p>
    <w:p>
      <w:pPr>
        <w:pStyle w:val="Heading2"/>
        <w:keepNext/>
      </w:pPr>
      <w:r>
        <w:rPr>
          <w:rFonts w:ascii="Arimo" w:hAnsi="Arimo" w:eastAsia="Arimo"/>
          <w:b/>
          <w:color w:val="2F5597"/>
          <w:sz w:val="23"/>
        </w:rPr>
        <w:t>Covered-call example acceptance values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951"/>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Input / output</w:t>
            </w:r>
          </w:p>
        </w:tc>
        <w:tc>
          <w:tcPr>
            <w:tcW w:type="dxa" w:w="691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Value</w:t>
            </w:r>
          </w:p>
        </w:tc>
      </w:tr>
      <w:tr>
        <w:trPr>
          <w:cantSplit/>
        </w:trPr>
        <w:tc>
          <w:tcPr>
            <w:tcW w:type="dxa" w:w="2951"/>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Inputs</w:t>
            </w:r>
          </w:p>
        </w:tc>
        <w:tc>
          <w:tcPr>
            <w:tcW w:type="dxa" w:w="691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S0 = $100; K = $105; C = $2.50; Q = 1; M = 100; fees = $0</w:t>
            </w:r>
          </w:p>
        </w:tc>
      </w:tr>
      <w:tr>
        <w:trPr>
          <w:cantSplit/>
        </w:trPr>
        <w:tc>
          <w:tcPr>
            <w:tcW w:type="dxa" w:w="2951"/>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Net premium credit</w:t>
            </w:r>
          </w:p>
        </w:tc>
        <w:tc>
          <w:tcPr>
            <w:tcW w:type="dxa" w:w="691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$250</w:t>
            </w:r>
          </w:p>
        </w:tc>
      </w:tr>
      <w:tr>
        <w:trPr>
          <w:cantSplit/>
        </w:trPr>
        <w:tc>
          <w:tcPr>
            <w:tcW w:type="dxa" w:w="2951"/>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Breakeven</w:t>
            </w:r>
          </w:p>
        </w:tc>
        <w:tc>
          <w:tcPr>
            <w:tcW w:type="dxa" w:w="691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$97.50</w:t>
            </w:r>
          </w:p>
        </w:tc>
      </w:tr>
      <w:tr>
        <w:trPr>
          <w:cantSplit/>
        </w:trPr>
        <w:tc>
          <w:tcPr>
            <w:tcW w:type="dxa" w:w="2951"/>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Maximum profit</w:t>
            </w:r>
          </w:p>
        </w:tc>
        <w:tc>
          <w:tcPr>
            <w:tcW w:type="dxa" w:w="691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$750</w:t>
            </w:r>
          </w:p>
        </w:tc>
      </w:tr>
      <w:tr>
        <w:trPr>
          <w:cantSplit/>
        </w:trPr>
        <w:tc>
          <w:tcPr>
            <w:tcW w:type="dxa" w:w="2951"/>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Maximum loss</w:t>
            </w:r>
          </w:p>
        </w:tc>
        <w:tc>
          <w:tcPr>
            <w:tcW w:type="dxa" w:w="691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$9,750</w:t>
            </w:r>
          </w:p>
        </w:tc>
      </w:tr>
      <w:tr>
        <w:trPr>
          <w:cantSplit/>
        </w:trPr>
        <w:tc>
          <w:tcPr>
            <w:tcW w:type="dxa" w:w="2951"/>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Stock-only crossover</w:t>
            </w:r>
          </w:p>
        </w:tc>
        <w:tc>
          <w:tcPr>
            <w:tcW w:type="dxa" w:w="691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$107.50</w:t>
            </w:r>
          </w:p>
        </w:tc>
      </w:tr>
      <w:tr>
        <w:trPr>
          <w:cantSplit/>
        </w:trPr>
        <w:tc>
          <w:tcPr>
            <w:tcW w:type="dxa" w:w="2951"/>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P/L at ST = $90</w:t>
            </w:r>
          </w:p>
        </w:tc>
        <w:tc>
          <w:tcPr>
            <w:tcW w:type="dxa" w:w="691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-$750</w:t>
            </w:r>
          </w:p>
        </w:tc>
      </w:tr>
      <w:tr>
        <w:trPr>
          <w:cantSplit/>
        </w:trPr>
        <w:tc>
          <w:tcPr>
            <w:tcW w:type="dxa" w:w="2951"/>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P/L at ST = $103</w:t>
            </w:r>
          </w:p>
        </w:tc>
        <w:tc>
          <w:tcPr>
            <w:tcW w:type="dxa" w:w="691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+$550</w:t>
            </w:r>
          </w:p>
        </w:tc>
      </w:tr>
      <w:tr>
        <w:trPr>
          <w:cantSplit/>
        </w:trPr>
        <w:tc>
          <w:tcPr>
            <w:tcW w:type="dxa" w:w="2951"/>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P/L at ST = $110</w:t>
            </w:r>
          </w:p>
        </w:tc>
        <w:tc>
          <w:tcPr>
            <w:tcW w:type="dxa" w:w="691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+$750</w:t>
            </w:r>
          </w:p>
        </w:tc>
      </w:tr>
    </w:tbl>
    <w:p>
      <w:pPr>
        <w:spacing w:after="40"/>
      </w:pPr>
    </w:p>
    <w:p>
      <w:pPr>
        <w:spacing w:before="20" w:after="100"/>
      </w:pPr>
      <w:r>
        <w:rPr>
          <w:rFonts w:ascii="Arimo" w:hAnsi="Arimo" w:eastAsia="Arimo"/>
          <w:i/>
          <w:color w:val="666666"/>
          <w:sz w:val="15"/>
        </w:rPr>
        <w:t>Source inspiration: covered-call chapters in the user-provided book, PDF pp. 17-22, and the user-provided Covered Call Cheat Sheet, p. 1. Calculations and wording above are independently specified.</w:t>
      </w:r>
    </w:p>
    <w:p>
      <w:pPr>
        <w:spacing w:after="40"/>
      </w:pPr>
    </w:p>
    <w:p>
      <w:pPr>
        <w:pStyle w:val="Heading1"/>
        <w:keepNext/>
        <w:pBdr>
          <w:bottom w:val="single" w:sz="8" w:space="1" w:color="1F6D7A"/>
        </w:pBdr>
      </w:pPr>
      <w:r>
        <w:rPr>
          <w:rFonts w:ascii="Arimo" w:hAnsi="Arimo" w:eastAsia="Arimo"/>
          <w:b/>
          <w:color w:val="1F6D7A"/>
          <w:sz w:val="31"/>
        </w:rPr>
        <w:t xml:space="preserve">5  </w:t>
      </w:r>
      <w:r>
        <w:rPr>
          <w:rFonts w:ascii="Arimo" w:hAnsi="Arimo" w:eastAsia="Arimo"/>
          <w:b/>
          <w:color w:val="17365D"/>
          <w:sz w:val="31"/>
        </w:rPr>
        <w:t>Strategy Library Requirements</w:t>
      </w:r>
    </w:p>
    <w:p>
      <w:pPr>
        <w:spacing w:after="100" w:line="250" w:lineRule="auto"/>
      </w:pPr>
      <w:r>
        <w:rPr>
          <w:rFonts w:ascii="Arimo" w:hAnsi="Arimo" w:eastAsia="Arimo"/>
          <w:i w:val="0"/>
          <w:sz w:val="19"/>
        </w:rPr>
        <w:t>The source book provides a useful sequence from basic calls and puts through stock-based income strategies, volatility trades, defined-risk spreads, and iron condors. The app should convert those topics into consistent, testable strategy cards.</w:t>
      </w:r>
    </w:p>
    <w:p>
      <w:pPr>
        <w:pStyle w:val="Heading2"/>
        <w:keepNext/>
      </w:pPr>
      <w:r>
        <w:rPr>
          <w:rFonts w:ascii="Arimo" w:hAnsi="Arimo" w:eastAsia="Arimo"/>
          <w:b/>
          <w:color w:val="2F5597"/>
          <w:sz w:val="23"/>
        </w:rPr>
        <w:t>Single-leg and stock-based strategies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296"/>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Strategy</w:t>
            </w:r>
          </w:p>
        </w:tc>
        <w:tc>
          <w:tcPr>
            <w:tcW w:type="dxa" w:w="1655"/>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Structure</w:t>
            </w:r>
          </w:p>
        </w:tc>
        <w:tc>
          <w:tcPr>
            <w:tcW w:type="dxa" w:w="1655"/>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Typical outlook</w:t>
            </w:r>
          </w:p>
        </w:tc>
        <w:tc>
          <w:tcPr>
            <w:tcW w:type="dxa" w:w="223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Profit / loss</w:t>
            </w:r>
          </w:p>
        </w:tc>
        <w:tc>
          <w:tcPr>
            <w:tcW w:type="dxa" w:w="1224"/>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Breakeven</w:t>
            </w:r>
          </w:p>
        </w:tc>
        <w:tc>
          <w:tcPr>
            <w:tcW w:type="dxa" w:w="1800"/>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Special requirement</w:t>
            </w:r>
          </w:p>
        </w:tc>
      </w:tr>
      <w:tr>
        <w:trPr>
          <w:cantSplit/>
        </w:trPr>
        <w:tc>
          <w:tcPr>
            <w:tcW w:type="dxa" w:w="129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Long call</w:t>
            </w:r>
          </w:p>
        </w:tc>
        <w:tc>
          <w:tcPr>
            <w:tcW w:type="dxa" w:w="1655"/>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Buy call</w:t>
            </w:r>
          </w:p>
        </w:tc>
        <w:tc>
          <w:tcPr>
            <w:tcW w:type="dxa" w:w="1655"/>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Bullish / upside move</w:t>
            </w:r>
          </w:p>
        </w:tc>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Profit unlimited above strike; loss limited to debit</w:t>
            </w:r>
          </w:p>
        </w:tc>
        <w:tc>
          <w:tcPr>
            <w:tcW w:type="dxa" w:w="122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K + debit</w:t>
            </w:r>
          </w:p>
        </w:tc>
        <w:tc>
          <w:tcPr>
            <w:tcW w:type="dxa" w:w="180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Negative theta; positive vega; exercise or sell-to-close choice</w:t>
            </w:r>
          </w:p>
        </w:tc>
      </w:tr>
      <w:tr>
        <w:trPr>
          <w:cantSplit/>
        </w:trPr>
        <w:tc>
          <w:tcPr>
            <w:tcW w:type="dxa" w:w="129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Long put</w:t>
            </w:r>
          </w:p>
        </w:tc>
        <w:tc>
          <w:tcPr>
            <w:tcW w:type="dxa" w:w="1655"/>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Buy put</w:t>
            </w:r>
          </w:p>
        </w:tc>
        <w:tc>
          <w:tcPr>
            <w:tcW w:type="dxa" w:w="1655"/>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Bearish / hedge</w:t>
            </w:r>
          </w:p>
        </w:tc>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Profit capped by stock reaching zero; loss limited to debit</w:t>
            </w:r>
          </w:p>
        </w:tc>
        <w:tc>
          <w:tcPr>
            <w:tcW w:type="dxa" w:w="122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K - debit</w:t>
            </w:r>
          </w:p>
        </w:tc>
        <w:tc>
          <w:tcPr>
            <w:tcW w:type="dxa" w:w="180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Negative theta; positive vega; distinguish hedge P/L from stand-alone P/L</w:t>
            </w:r>
          </w:p>
        </w:tc>
      </w:tr>
      <w:tr>
        <w:trPr>
          <w:cantSplit/>
        </w:trPr>
        <w:tc>
          <w:tcPr>
            <w:tcW w:type="dxa" w:w="129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Cash-secured put</w:t>
            </w:r>
          </w:p>
        </w:tc>
        <w:tc>
          <w:tcPr>
            <w:tcW w:type="dxa" w:w="1655"/>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Sell put with cash reserved</w:t>
            </w:r>
          </w:p>
        </w:tc>
        <w:tc>
          <w:tcPr>
            <w:tcW w:type="dxa" w:w="1655"/>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Neutral to bullish; willing to buy shares</w:t>
            </w:r>
          </w:p>
        </w:tc>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Max profit = credit; max loss = (K - credit) x M x Q plus fees</w:t>
            </w:r>
          </w:p>
        </w:tc>
        <w:tc>
          <w:tcPr>
            <w:tcW w:type="dxa" w:w="122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K - net credit per share</w:t>
            </w:r>
          </w:p>
        </w:tc>
        <w:tc>
          <w:tcPr>
            <w:tcW w:type="dxa" w:w="180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Assignment can create long shares; substantial downside remains</w:t>
            </w:r>
          </w:p>
        </w:tc>
      </w:tr>
      <w:tr>
        <w:trPr>
          <w:cantSplit/>
        </w:trPr>
        <w:tc>
          <w:tcPr>
            <w:tcW w:type="dxa" w:w="129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Wheel</w:t>
            </w:r>
          </w:p>
        </w:tc>
        <w:tc>
          <w:tcPr>
            <w:tcW w:type="dxa" w:w="1655"/>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Cash-secured put -&gt; assigned stock -&gt; covered call</w:t>
            </w:r>
          </w:p>
        </w:tc>
        <w:tc>
          <w:tcPr>
            <w:tcW w:type="dxa" w:w="1655"/>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Process, not one payoff</w:t>
            </w:r>
          </w:p>
        </w:tc>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Must be calculated as a cash-flow state machine</w:t>
            </w:r>
          </w:p>
        </w:tc>
        <w:tc>
          <w:tcPr>
            <w:tcW w:type="dxa" w:w="122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State-specific</w:t>
            </w:r>
          </w:p>
        </w:tc>
        <w:tc>
          <w:tcPr>
            <w:tcW w:type="dxa" w:w="180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Track realized losses, basis, credits, assignments, and called-away shares</w:t>
            </w:r>
          </w:p>
        </w:tc>
      </w:tr>
    </w:tbl>
    <w:p>
      <w:pPr>
        <w:spacing w:after="40"/>
      </w:pPr>
    </w:p>
    <w:p>
      <w:pPr>
        <w:pStyle w:val="Heading2"/>
        <w:keepNext/>
      </w:pPr>
      <w:r>
        <w:rPr>
          <w:rFonts w:ascii="Arimo" w:hAnsi="Arimo" w:eastAsia="Arimo"/>
          <w:b/>
          <w:color w:val="2F5597"/>
          <w:sz w:val="23"/>
        </w:rPr>
        <w:t>Volatility strategies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440"/>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Strategy</w:t>
            </w:r>
          </w:p>
        </w:tc>
        <w:tc>
          <w:tcPr>
            <w:tcW w:type="dxa" w:w="2088"/>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Structure</w:t>
            </w:r>
          </w:p>
        </w:tc>
        <w:tc>
          <w:tcPr>
            <w:tcW w:type="dxa" w:w="1800"/>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Typical outlook</w:t>
            </w:r>
          </w:p>
        </w:tc>
        <w:tc>
          <w:tcPr>
            <w:tcW w:type="dxa" w:w="223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Profit / loss</w:t>
            </w:r>
          </w:p>
        </w:tc>
        <w:tc>
          <w:tcPr>
            <w:tcW w:type="dxa" w:w="1584"/>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Break-evens</w:t>
            </w:r>
          </w:p>
        </w:tc>
        <w:tc>
          <w:tcPr>
            <w:tcW w:type="dxa" w:w="2160"/>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Special requirement</w:t>
            </w:r>
          </w:p>
        </w:tc>
      </w:tr>
      <w:tr>
        <w:trPr>
          <w:cantSplit/>
        </w:trPr>
        <w:tc>
          <w:tcPr>
            <w:tcW w:type="dxa" w:w="144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Long straddle</w:t>
            </w:r>
          </w:p>
        </w:tc>
        <w:tc>
          <w:tcPr>
            <w:tcW w:type="dxa" w:w="208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Buy call and put at same strike and expiration</w:t>
            </w:r>
          </w:p>
        </w:tc>
        <w:tc>
          <w:tcPr>
            <w:tcW w:type="dxa" w:w="180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Expect a large move; direction uncertain</w:t>
            </w:r>
          </w:p>
        </w:tc>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Max loss = total debit. Upside profit unlimited; downside profit capped by stock reaching zero.</w:t>
            </w:r>
          </w:p>
        </w:tc>
        <w:tc>
          <w:tcPr>
            <w:tcW w:type="dxa" w:w="158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Lower = K - debit; upper = K + debit</w:t>
            </w:r>
          </w:p>
        </w:tc>
        <w:tc>
          <w:tcPr>
            <w:tcW w:type="dxa" w:w="216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Positive gamma and vega; negative theta; show earnings/IV-crush scenario.</w:t>
            </w:r>
          </w:p>
        </w:tc>
      </w:tr>
      <w:tr>
        <w:trPr>
          <w:cantSplit/>
        </w:trPr>
        <w:tc>
          <w:tcPr>
            <w:tcW w:type="dxa" w:w="144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Long strangle</w:t>
            </w:r>
          </w:p>
        </w:tc>
        <w:tc>
          <w:tcPr>
            <w:tcW w:type="dxa" w:w="208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Buy lower-strike put and higher-strike call, same expiration</w:t>
            </w:r>
          </w:p>
        </w:tc>
        <w:tc>
          <w:tcPr>
            <w:tcW w:type="dxa" w:w="180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Expect a larger move; lower entry cost than comparable straddle</w:t>
            </w:r>
          </w:p>
        </w:tc>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Max loss = total debit. Upside unlimited; downside capped by stock reaching zero.</w:t>
            </w:r>
          </w:p>
        </w:tc>
        <w:tc>
          <w:tcPr>
            <w:tcW w:type="dxa" w:w="158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Lower = put strike - debit; upper = call strike + debit</w:t>
            </w:r>
          </w:p>
        </w:tc>
        <w:tc>
          <w:tcPr>
            <w:tcW w:type="dxa" w:w="216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Wider no-profit region; liquidity and skew may differ by leg.</w:t>
            </w:r>
          </w:p>
        </w:tc>
      </w:tr>
    </w:tbl>
    <w:p>
      <w:pPr>
        <w:spacing w:after="40"/>
      </w:pPr>
    </w:p>
    <w:p>
      <w:pPr>
        <w:pStyle w:val="Heading2"/>
        <w:keepNext/>
      </w:pPr>
      <w:r>
        <w:rPr>
          <w:rFonts w:ascii="Arimo" w:hAnsi="Arimo" w:eastAsia="Arimo"/>
          <w:b/>
          <w:color w:val="2F5597"/>
          <w:sz w:val="23"/>
        </w:rPr>
        <w:t>Defined-risk vertical spreads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440"/>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Strategy</w:t>
            </w:r>
          </w:p>
        </w:tc>
        <w:tc>
          <w:tcPr>
            <w:tcW w:type="dxa" w:w="1944"/>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Legs</w:t>
            </w:r>
          </w:p>
        </w:tc>
        <w:tc>
          <w:tcPr>
            <w:tcW w:type="dxa" w:w="1296"/>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Outlook</w:t>
            </w:r>
          </w:p>
        </w:tc>
        <w:tc>
          <w:tcPr>
            <w:tcW w:type="dxa" w:w="2304"/>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Max profit / loss per share</w:t>
            </w:r>
          </w:p>
        </w:tc>
        <w:tc>
          <w:tcPr>
            <w:tcW w:type="dxa" w:w="1584"/>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Breakeven</w:t>
            </w:r>
          </w:p>
        </w:tc>
        <w:tc>
          <w:tcPr>
            <w:tcW w:type="dxa" w:w="2736"/>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Validation</w:t>
            </w:r>
          </w:p>
        </w:tc>
      </w:tr>
      <w:tr>
        <w:trPr>
          <w:cantSplit/>
        </w:trPr>
        <w:tc>
          <w:tcPr>
            <w:tcW w:type="dxa" w:w="144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Bull call debit</w:t>
            </w:r>
          </w:p>
        </w:tc>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Buy lower call; sell higher call</w:t>
            </w:r>
          </w:p>
        </w:tc>
        <w:tc>
          <w:tcPr>
            <w:tcW w:type="dxa" w:w="129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Bullish</w:t>
            </w:r>
          </w:p>
        </w:tc>
        <w:tc>
          <w:tcPr>
            <w:tcW w:type="dxa" w:w="230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Max loss = debit; max profit = width - debit</w:t>
            </w:r>
          </w:p>
        </w:tc>
        <w:tc>
          <w:tcPr>
            <w:tcW w:type="dxa" w:w="158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Long-call strike + debit</w:t>
            </w:r>
          </w:p>
        </w:tc>
        <w:tc>
          <w:tcPr>
            <w:tcW w:type="dxa" w:w="273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Verify same underlying, expiration, multiplier, and equal quantity.</w:t>
            </w:r>
          </w:p>
        </w:tc>
      </w:tr>
      <w:tr>
        <w:trPr>
          <w:cantSplit/>
        </w:trPr>
        <w:tc>
          <w:tcPr>
            <w:tcW w:type="dxa" w:w="144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Bear put debit</w:t>
            </w:r>
          </w:p>
        </w:tc>
        <w:tc>
          <w:tcPr>
            <w:tcW w:type="dxa" w:w="194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Buy higher put; sell lower put</w:t>
            </w:r>
          </w:p>
        </w:tc>
        <w:tc>
          <w:tcPr>
            <w:tcW w:type="dxa" w:w="129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Bearish</w:t>
            </w:r>
          </w:p>
        </w:tc>
        <w:tc>
          <w:tcPr>
            <w:tcW w:type="dxa" w:w="230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Max loss = debit; max profit = width - debit</w:t>
            </w:r>
          </w:p>
        </w:tc>
        <w:tc>
          <w:tcPr>
            <w:tcW w:type="dxa" w:w="158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Long-put strike - debit</w:t>
            </w:r>
          </w:p>
        </w:tc>
        <w:tc>
          <w:tcPr>
            <w:tcW w:type="dxa" w:w="273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Show downside cap and exercise/assignment mismatch risk.</w:t>
            </w:r>
          </w:p>
        </w:tc>
      </w:tr>
      <w:tr>
        <w:trPr>
          <w:cantSplit/>
        </w:trPr>
        <w:tc>
          <w:tcPr>
            <w:tcW w:type="dxa" w:w="144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Bear call credit</w:t>
            </w:r>
          </w:p>
        </w:tc>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Sell lower call; buy higher call</w:t>
            </w:r>
          </w:p>
        </w:tc>
        <w:tc>
          <w:tcPr>
            <w:tcW w:type="dxa" w:w="129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Neutral to bearish</w:t>
            </w:r>
          </w:p>
        </w:tc>
        <w:tc>
          <w:tcPr>
            <w:tcW w:type="dxa" w:w="230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Max profit = credit; max loss = width - credit</w:t>
            </w:r>
          </w:p>
        </w:tc>
        <w:tc>
          <w:tcPr>
            <w:tcW w:type="dxa" w:w="158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Short-call strike + credit</w:t>
            </w:r>
          </w:p>
        </w:tc>
        <w:tc>
          <w:tcPr>
            <w:tcW w:type="dxa" w:w="273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Short call can be assigned early; long call defines upside risk.</w:t>
            </w:r>
          </w:p>
        </w:tc>
      </w:tr>
      <w:tr>
        <w:trPr>
          <w:cantSplit/>
        </w:trPr>
        <w:tc>
          <w:tcPr>
            <w:tcW w:type="dxa" w:w="144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Bull put credit</w:t>
            </w:r>
          </w:p>
        </w:tc>
        <w:tc>
          <w:tcPr>
            <w:tcW w:type="dxa" w:w="194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Sell higher put; buy lower put</w:t>
            </w:r>
          </w:p>
        </w:tc>
        <w:tc>
          <w:tcPr>
            <w:tcW w:type="dxa" w:w="129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Neutral to bullish</w:t>
            </w:r>
          </w:p>
        </w:tc>
        <w:tc>
          <w:tcPr>
            <w:tcW w:type="dxa" w:w="230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Max profit = credit; max loss = width - credit</w:t>
            </w:r>
          </w:p>
        </w:tc>
        <w:tc>
          <w:tcPr>
            <w:tcW w:type="dxa" w:w="158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Short-put strike - credit</w:t>
            </w:r>
          </w:p>
        </w:tc>
        <w:tc>
          <w:tcPr>
            <w:tcW w:type="dxa" w:w="273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Short put can be assigned; long put defines downside risk.</w:t>
            </w:r>
          </w:p>
        </w:tc>
      </w:tr>
    </w:tbl>
    <w:p>
      <w:pPr>
        <w:spacing w:after="40"/>
      </w:pPr>
    </w:p>
    <w:p>
      <w:pPr>
        <w:pStyle w:val="Heading2"/>
        <w:keepNext/>
      </w:pPr>
      <w:r>
        <w:rPr>
          <w:rFonts w:ascii="Arimo" w:hAnsi="Arimo" w:eastAsia="Arimo"/>
          <w:b/>
          <w:color w:val="2F5597"/>
          <w:sz w:val="23"/>
        </w:rPr>
        <w:t>Iron condor</w:t>
      </w:r>
    </w:p>
    <w:p>
      <w:pPr>
        <w:spacing w:after="100" w:line="250" w:lineRule="auto"/>
      </w:pPr>
      <w:r>
        <w:rPr>
          <w:rFonts w:ascii="Arimo" w:hAnsi="Arimo" w:eastAsia="Arimo"/>
          <w:i w:val="0"/>
          <w:sz w:val="19"/>
        </w:rPr>
        <w:t>An iron condor combines a bull put credit spread and a bear call credit spread with the same expiration. The app must support equal or unequal wing widths and calculate loss on each side separately.</w:t>
      </w:r>
    </w:p>
    <w:tbl>
      <w:tblPr>
        <w:tblW w:type="auto" w:w="0"/>
        <w:jc w:val="center"/>
        <w:tblLayout w:type="fixed"/>
        <w:tblLook w:firstColumn="1" w:firstRow="1" w:lastColumn="0" w:lastRow="0" w:noHBand="0" w:noVBand="1" w:val="04A0"/>
      </w:tblPr>
      <w:tblGrid>
        <w:gridCol w:w="10166"/>
      </w:tblGrid>
      <w:tr>
        <w:tc>
          <w:tcPr>
            <w:tcW w:type="dxa" w:w="9864"/>
            <w:shd w:fill="F2F2F2"/>
            <w:tcMar>
              <w:top w:w="120" w:type="dxa"/>
              <w:start w:w="160" w:type="dxa"/>
              <w:bottom w:w="120" w:type="dxa"/>
              <w:end w:w="160" w:type="dxa"/>
            </w:tcMar>
            <w:tcBorders>
              <w:top w:val="single" w:sz="6" w:color="B7B7B7"/>
              <w:left w:val="single" w:sz="6" w:color="B7B7B7"/>
              <w:bottom w:val="single" w:sz="6" w:color="B7B7B7"/>
              <w:right w:val="single" w:sz="6" w:color="B7B7B7"/>
            </w:tcBorders>
          </w:tcPr>
          <w:p>
            <w:pPr>
              <w:spacing w:after="60"/>
            </w:pPr>
            <w:r>
              <w:rPr>
                <w:rFonts w:ascii="Arimo" w:hAnsi="Arimo" w:eastAsia="Arimo"/>
                <w:b/>
                <w:color w:val="17365D"/>
                <w:sz w:val="18"/>
              </w:rPr>
              <w:t>Iron-condor expiration math</w:t>
            </w:r>
          </w:p>
          <w:p>
            <w:pPr>
              <w:spacing w:after="20"/>
            </w:pPr>
            <w:r>
              <w:rPr>
                <w:rFonts w:ascii="Cousine" w:hAnsi="Cousine" w:eastAsia="Cousine"/>
                <w:color w:val="303030"/>
                <w:sz w:val="17"/>
              </w:rPr>
              <w:t>Total credit = put-spread credit + call-spread credit</w:t>
            </w:r>
          </w:p>
          <w:p>
            <w:pPr>
              <w:spacing w:after="20"/>
            </w:pPr>
            <w:r>
              <w:rPr>
                <w:rFonts w:ascii="Cousine" w:hAnsi="Cousine" w:eastAsia="Cousine"/>
                <w:color w:val="303030"/>
                <w:sz w:val="17"/>
              </w:rPr>
              <w:t>Lower breakeven = short put strike - total credit per share</w:t>
            </w:r>
          </w:p>
          <w:p>
            <w:pPr>
              <w:spacing w:after="20"/>
            </w:pPr>
            <w:r>
              <w:rPr>
                <w:rFonts w:ascii="Cousine" w:hAnsi="Cousine" w:eastAsia="Cousine"/>
                <w:color w:val="303030"/>
                <w:sz w:val="17"/>
              </w:rPr>
              <w:t>Upper breakeven = short call strike + total credit per share</w:t>
            </w:r>
          </w:p>
          <w:p>
            <w:pPr>
              <w:spacing w:after="20"/>
            </w:pPr>
            <w:r>
              <w:rPr>
                <w:rFonts w:ascii="Cousine" w:hAnsi="Cousine" w:eastAsia="Cousine"/>
                <w:color w:val="303030"/>
                <w:sz w:val="17"/>
              </w:rPr>
              <w:t>Put-side max loss = put wing width - total credit</w:t>
            </w:r>
          </w:p>
          <w:p>
            <w:pPr>
              <w:spacing w:after="20"/>
            </w:pPr>
            <w:r>
              <w:rPr>
                <w:rFonts w:ascii="Cousine" w:hAnsi="Cousine" w:eastAsia="Cousine"/>
                <w:color w:val="303030"/>
                <w:sz w:val="17"/>
              </w:rPr>
              <w:t>Call-side max loss = call wing width - total credit</w:t>
            </w:r>
          </w:p>
          <w:p>
            <w:pPr>
              <w:spacing w:after="20"/>
            </w:pPr>
            <w:r>
              <w:rPr>
                <w:rFonts w:ascii="Cousine" w:hAnsi="Cousine" w:eastAsia="Cousine"/>
                <w:color w:val="303030"/>
                <w:sz w:val="17"/>
              </w:rPr>
              <w:t>Overall max loss = max(put-side max loss, call-side max loss) * M * Q + fees</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9864"/>
            <w:shd w:fill="FCE8E6"/>
            <w:tcMar>
              <w:top w:w="120" w:type="dxa"/>
              <w:start w:w="150" w:type="dxa"/>
              <w:bottom w:w="120" w:type="dxa"/>
              <w:end w:w="150" w:type="dxa"/>
            </w:tcMar>
            <w:tcBorders>
              <w:top w:val="single" w:sz="10" w:color="9C2F2F"/>
              <w:left w:val="single" w:sz="10" w:color="9C2F2F"/>
              <w:bottom w:val="single" w:sz="10" w:color="9C2F2F"/>
              <w:right w:val="single" w:sz="10" w:color="9C2F2F"/>
            </w:tcBorders>
          </w:tcPr>
          <w:p>
            <w:pPr>
              <w:spacing w:after="40"/>
            </w:pPr>
            <w:r>
              <w:rPr>
                <w:rFonts w:ascii="Arimo" w:hAnsi="Arimo" w:eastAsia="Arimo"/>
                <w:b/>
                <w:color w:val="9C2F2F"/>
                <w:sz w:val="19"/>
              </w:rPr>
              <w:t>Range does not mean low risk</w:t>
            </w:r>
          </w:p>
          <w:p>
            <w:pPr>
              <w:spacing w:after="0"/>
            </w:pPr>
            <w:r>
              <w:rPr>
                <w:rFonts w:ascii="Arimo" w:hAnsi="Arimo" w:eastAsia="Arimo"/>
                <w:color w:val="3F3F3F"/>
                <w:sz w:val="18"/>
              </w:rPr>
              <w:t>A wide estimated profit zone does not eliminate gap risk, volatility expansion, liquidity problems, early assignment, or expiration pin risk. Probability of profit and expected value must be displayed together.</w:t>
            </w:r>
          </w:p>
        </w:tc>
      </w:tr>
    </w:tbl>
    <w:p>
      <w:pPr>
        <w:spacing w:after="20"/>
      </w:pPr>
    </w:p>
    <w:p>
      <w:pPr>
        <w:spacing w:after="40"/>
      </w:pPr>
    </w:p>
    <w:p>
      <w:pPr>
        <w:pStyle w:val="Heading1"/>
        <w:keepNext/>
        <w:pBdr>
          <w:bottom w:val="single" w:sz="8" w:space="1" w:color="1F6D7A"/>
        </w:pBdr>
      </w:pPr>
      <w:r>
        <w:rPr>
          <w:rFonts w:ascii="Arimo" w:hAnsi="Arimo" w:eastAsia="Arimo"/>
          <w:b/>
          <w:color w:val="1F6D7A"/>
          <w:sz w:val="31"/>
        </w:rPr>
        <w:t xml:space="preserve">6  </w:t>
      </w:r>
      <w:r>
        <w:rPr>
          <w:rFonts w:ascii="Arimo" w:hAnsi="Arimo" w:eastAsia="Arimo"/>
          <w:b/>
          <w:color w:val="17365D"/>
          <w:sz w:val="31"/>
        </w:rPr>
        <w:t>Probability, Valuation, and Greeks Rules</w:t>
      </w:r>
    </w:p>
    <w:p>
      <w:pPr>
        <w:spacing w:after="100" w:line="250" w:lineRule="auto"/>
      </w:pPr>
      <w:r>
        <w:rPr>
          <w:rFonts w:ascii="Arimo" w:hAnsi="Arimo" w:eastAsia="Arimo"/>
          <w:i w:val="0"/>
          <w:sz w:val="19"/>
        </w:rPr>
        <w:t>The app's central promise is to estimate win/loss probability and scenario outcomes. Those estimates must be mathematically defined, reproducible, and separated from shorthand heuristics in educational materials.</w:t>
      </w:r>
    </w:p>
    <w:p>
      <w:pPr>
        <w:pStyle w:val="Heading2"/>
        <w:keepNext/>
      </w:pPr>
      <w:r>
        <w:rPr>
          <w:rFonts w:ascii="Arimo" w:hAnsi="Arimo" w:eastAsia="Arimo"/>
          <w:b/>
          <w:color w:val="2F5597"/>
          <w:sz w:val="23"/>
        </w:rPr>
        <w:t>Probability definitions</w:t>
      </w:r>
    </w:p>
    <w:tbl>
      <w:tblPr>
        <w:tblW w:type="auto" w:w="0"/>
        <w:jc w:val="center"/>
        <w:tblLayout w:type="fixed"/>
        <w:tblLook w:firstColumn="1" w:firstRow="1" w:lastColumn="0" w:lastRow="0" w:noHBand="0" w:noVBand="1" w:val="04A0"/>
      </w:tblPr>
      <w:tblGrid>
        <w:gridCol w:w="10166"/>
      </w:tblGrid>
      <w:tr>
        <w:tc>
          <w:tcPr>
            <w:tcW w:type="dxa" w:w="9864"/>
            <w:shd w:fill="F2F2F2"/>
            <w:tcMar>
              <w:top w:w="120" w:type="dxa"/>
              <w:start w:w="160" w:type="dxa"/>
              <w:bottom w:w="120" w:type="dxa"/>
              <w:end w:w="160" w:type="dxa"/>
            </w:tcMar>
            <w:tcBorders>
              <w:top w:val="single" w:sz="6" w:color="B7B7B7"/>
              <w:left w:val="single" w:sz="6" w:color="B7B7B7"/>
              <w:bottom w:val="single" w:sz="6" w:color="B7B7B7"/>
              <w:right w:val="single" w:sz="6" w:color="B7B7B7"/>
            </w:tcBorders>
          </w:tcPr>
          <w:p>
            <w:pPr>
              <w:spacing w:after="60"/>
            </w:pPr>
            <w:r>
              <w:rPr>
                <w:rFonts w:ascii="Arimo" w:hAnsi="Arimo" w:eastAsia="Arimo"/>
                <w:b/>
                <w:color w:val="17365D"/>
                <w:sz w:val="18"/>
              </w:rPr>
              <w:t>Required probability outputs</w:t>
            </w:r>
          </w:p>
          <w:p>
            <w:pPr>
              <w:spacing w:after="20"/>
            </w:pPr>
            <w:r>
              <w:rPr>
                <w:rFonts w:ascii="Cousine" w:hAnsi="Cousine" w:eastAsia="Cousine"/>
                <w:color w:val="303030"/>
                <w:sz w:val="17"/>
              </w:rPr>
              <w:t>Probability of profit = count(simulated strategy P/L &gt; 0) / valid simulations</w:t>
            </w:r>
          </w:p>
          <w:p>
            <w:pPr>
              <w:spacing w:after="20"/>
            </w:pPr>
            <w:r>
              <w:rPr>
                <w:rFonts w:ascii="Cousine" w:hAnsi="Cousine" w:eastAsia="Cousine"/>
                <w:color w:val="303030"/>
                <w:sz w:val="17"/>
              </w:rPr>
              <w:t>Probability of loss = count(simulated strategy P/L &lt; 0) / valid simulations</w:t>
            </w:r>
          </w:p>
          <w:p>
            <w:pPr>
              <w:spacing w:after="20"/>
            </w:pPr>
            <w:r>
              <w:rPr>
                <w:rFonts w:ascii="Cousine" w:hAnsi="Cousine" w:eastAsia="Cousine"/>
                <w:color w:val="303030"/>
                <w:sz w:val="17"/>
              </w:rPr>
              <w:t>Probability of exactly zero = count(simulated strategy P/L = 0) / valid simulations</w:t>
            </w:r>
          </w:p>
          <w:p>
            <w:pPr>
              <w:spacing w:after="20"/>
            </w:pPr>
            <w:r>
              <w:rPr>
                <w:rFonts w:ascii="Cousine" w:hAnsi="Cousine" w:eastAsia="Cousine"/>
                <w:color w:val="303030"/>
                <w:sz w:val="17"/>
              </w:rPr>
              <w:t>Expected value = mean(simulated strategy P/L)</w:t>
            </w:r>
          </w:p>
          <w:p>
            <w:pPr>
              <w:spacing w:after="20"/>
            </w:pPr>
            <w:r>
              <w:rPr>
                <w:rFonts w:ascii="Cousine" w:hAnsi="Cousine" w:eastAsia="Cousine"/>
                <w:color w:val="303030"/>
                <w:sz w:val="17"/>
              </w:rPr>
              <w:t>Monte Carlo standard error for p = sqrt[p * (1 - p) / N]</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Rule</w:t>
            </w:r>
          </w:p>
        </w:tc>
        <w:tc>
          <w:tcPr>
            <w:tcW w:type="dxa" w:w="763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Implementation requirement</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Full-strategy P/L</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For a covered call, count stock plus option P/L. An option expiring worthless does not automatically mean the combined position made money.</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Two probability modes</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Market-implied risk-neutral distribution and user-assumption distribution with an explicit expected return/drift.</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Target date</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Before expiration, reprice remaining options under the selected IV scenario; do not use intrinsic value alone.</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Confidence interval</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Show sampling uncertainty for Monte Carlo estimates and preserve a reproducible seed.</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Separate concepts</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Probability of profit, probability of touch, probability of expiring ITM, and probability of assignment are different metrics.</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Data timestamp</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Every probability result must show underlying price time, option quote time, IV source, and delayed/manual status.</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864"/>
            <w:shd w:fill="FFF4D6"/>
            <w:tcMar>
              <w:top w:w="120" w:type="dxa"/>
              <w:start w:w="150" w:type="dxa"/>
              <w:bottom w:w="120" w:type="dxa"/>
              <w:end w:w="150" w:type="dxa"/>
            </w:tcMar>
            <w:tcBorders>
              <w:top w:val="single" w:sz="10" w:color="8A5A00"/>
              <w:left w:val="single" w:sz="10" w:color="8A5A00"/>
              <w:bottom w:val="single" w:sz="10" w:color="8A5A00"/>
              <w:right w:val="single" w:sz="10" w:color="8A5A00"/>
            </w:tcBorders>
          </w:tcPr>
          <w:p>
            <w:pPr>
              <w:spacing w:after="40"/>
            </w:pPr>
            <w:r>
              <w:rPr>
                <w:rFonts w:ascii="Arimo" w:hAnsi="Arimo" w:eastAsia="Arimo"/>
                <w:b/>
                <w:color w:val="8A5A00"/>
                <w:sz w:val="19"/>
              </w:rPr>
              <w:t>Delta correction</w:t>
            </w:r>
          </w:p>
          <w:p>
            <w:pPr>
              <w:spacing w:after="0"/>
            </w:pPr>
            <w:r>
              <w:rPr>
                <w:rFonts w:ascii="Arimo" w:hAnsi="Arimo" w:eastAsia="Arimo"/>
                <w:color w:val="3F3F3F"/>
                <w:sz w:val="18"/>
              </w:rPr>
              <w:t>Delta is a price-sensitivity measure. Under certain assumptions it may be used as a rough proxy for risk-neutral probability of expiring in the money, but it is not the exact probability of profit, touch, or assignment. Never display 1 - delta as a complete trade win probability.</w:t>
            </w:r>
          </w:p>
        </w:tc>
      </w:tr>
    </w:tbl>
    <w:p>
      <w:pPr>
        <w:spacing w:after="20"/>
      </w:pPr>
    </w:p>
    <w:p>
      <w:pPr>
        <w:pStyle w:val="Heading2"/>
        <w:keepNext/>
      </w:pPr>
      <w:r>
        <w:rPr>
          <w:rFonts w:ascii="Arimo" w:hAnsi="Arimo" w:eastAsia="Arimo"/>
          <w:b/>
          <w:color w:val="2F5597"/>
          <w:sz w:val="23"/>
        </w:rPr>
        <w:t>Greeks and scenario behavior</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440"/>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Metric</w:t>
            </w:r>
          </w:p>
        </w:tc>
        <w:tc>
          <w:tcPr>
            <w:tcW w:type="dxa" w:w="8424"/>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Display rule</w:t>
            </w:r>
          </w:p>
        </w:tc>
      </w:tr>
      <w:tr>
        <w:trPr>
          <w:cantSplit/>
        </w:trPr>
        <w:tc>
          <w:tcPr>
            <w:tcW w:type="dxa" w:w="144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Delta</w:t>
            </w:r>
          </w:p>
        </w:tc>
        <w:tc>
          <w:tcPr>
            <w:tcW w:type="dxa" w:w="842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Dollar sensitivity to a small underlying-price move, aggregated across all legs and share quantity.</w:t>
            </w:r>
          </w:p>
        </w:tc>
      </w:tr>
      <w:tr>
        <w:trPr>
          <w:cantSplit/>
        </w:trPr>
        <w:tc>
          <w:tcPr>
            <w:tcW w:type="dxa" w:w="144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Gamma</w:t>
            </w:r>
          </w:p>
        </w:tc>
        <w:tc>
          <w:tcPr>
            <w:tcW w:type="dxa" w:w="842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Rate of delta change; highlights nonlinear risk near strikes and expiration.</w:t>
            </w:r>
          </w:p>
        </w:tc>
      </w:tr>
      <w:tr>
        <w:trPr>
          <w:cantSplit/>
        </w:trPr>
        <w:tc>
          <w:tcPr>
            <w:tcW w:type="dxa" w:w="144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Theta</w:t>
            </w:r>
          </w:p>
        </w:tc>
        <w:tc>
          <w:tcPr>
            <w:tcW w:type="dxa" w:w="842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Model-estimated change from one day passing, holding modeled inputs constant. Not guaranteed realized income.</w:t>
            </w:r>
          </w:p>
        </w:tc>
      </w:tr>
      <w:tr>
        <w:trPr>
          <w:cantSplit/>
        </w:trPr>
        <w:tc>
          <w:tcPr>
            <w:tcW w:type="dxa" w:w="144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Vega</w:t>
            </w:r>
          </w:p>
        </w:tc>
        <w:tc>
          <w:tcPr>
            <w:tcW w:type="dxa" w:w="842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Sensitivity to a one-volatility-point change. Show per leg and aggregate.</w:t>
            </w:r>
          </w:p>
        </w:tc>
      </w:tr>
      <w:tr>
        <w:trPr>
          <w:cantSplit/>
        </w:trPr>
        <w:tc>
          <w:tcPr>
            <w:tcW w:type="dxa" w:w="144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Rho</w:t>
            </w:r>
          </w:p>
        </w:tc>
        <w:tc>
          <w:tcPr>
            <w:tcW w:type="dxa" w:w="842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Optional rate sensitivity; label as usually smaller for short-dated equity options but model-dependent.</w:t>
            </w:r>
          </w:p>
        </w:tc>
      </w:tr>
    </w:tbl>
    <w:p>
      <w:pPr>
        <w:spacing w:after="40"/>
      </w:pPr>
    </w:p>
    <w:p>
      <w:pPr>
        <w:pStyle w:val="Heading2"/>
        <w:keepNext/>
      </w:pPr>
      <w:r>
        <w:rPr>
          <w:rFonts w:ascii="Arimo" w:hAnsi="Arimo" w:eastAsia="Arimo"/>
          <w:b/>
          <w:color w:val="2F5597"/>
          <w:sz w:val="23"/>
        </w:rPr>
        <w:t>Valuation assumptions</w:t>
      </w:r>
    </w:p>
    <w:p>
      <w:pPr>
        <w:pStyle w:val="ListBullet"/>
        <w:spacing w:after="50"/>
        <w:ind w:left="259" w:hanging="173"/>
      </w:pPr>
      <w:r>
        <w:rPr>
          <w:rFonts w:ascii="Arimo" w:hAnsi="Arimo" w:eastAsia="Arimo"/>
          <w:sz w:val="18"/>
        </w:rPr>
        <w:t>At expiration, use intrinsic payoff directly.</w:t>
      </w:r>
    </w:p>
    <w:p>
      <w:pPr>
        <w:pStyle w:val="ListBullet"/>
        <w:spacing w:after="50"/>
        <w:ind w:left="259" w:hanging="173"/>
      </w:pPr>
      <w:r>
        <w:rPr>
          <w:rFonts w:ascii="Arimo" w:hAnsi="Arimo" w:eastAsia="Arimo"/>
          <w:sz w:val="18"/>
        </w:rPr>
        <w:t>Before expiration, select the valuation model from exercise-style and product metadata. Use a tested American-style model for American contracts and a tested European model for European contracts.</w:t>
      </w:r>
    </w:p>
    <w:p>
      <w:pPr>
        <w:pStyle w:val="ListBullet"/>
        <w:spacing w:after="50"/>
        <w:ind w:left="259" w:hanging="173"/>
      </w:pPr>
      <w:r>
        <w:rPr>
          <w:rFonts w:ascii="Arimo" w:hAnsi="Arimo" w:eastAsia="Arimo"/>
          <w:sz w:val="18"/>
        </w:rPr>
        <w:t>Include interest rate, dividend yield, time to expiration, and leg-specific or surface-derived implied volatility.</w:t>
      </w:r>
    </w:p>
    <w:p>
      <w:pPr>
        <w:pStyle w:val="ListBullet"/>
        <w:spacing w:after="50"/>
        <w:ind w:left="259" w:hanging="173"/>
      </w:pPr>
      <w:r>
        <w:rPr>
          <w:rFonts w:ascii="Arimo" w:hAnsi="Arimo" w:eastAsia="Arimo"/>
          <w:sz w:val="18"/>
        </w:rPr>
        <w:t>Allow fixed IV, parallel IV shift, and user-defined IV scenario. Clearly state that real IV may change non-uniformly across strikes and maturities.</w:t>
      </w:r>
    </w:p>
    <w:p>
      <w:pPr>
        <w:pStyle w:val="ListBullet"/>
        <w:spacing w:after="50"/>
        <w:ind w:left="259" w:hanging="173"/>
      </w:pPr>
      <w:r>
        <w:rPr>
          <w:rFonts w:ascii="Arimo" w:hAnsi="Arimo" w:eastAsia="Arimo"/>
          <w:sz w:val="18"/>
        </w:rPr>
        <w:t>Use decimal-safe money handling and consistent rounding only at the presentation layer.</w:t>
      </w:r>
    </w:p>
    <w:p>
      <w:pPr>
        <w:spacing w:after="40"/>
      </w:pPr>
    </w:p>
    <w:p>
      <w:pPr>
        <w:pStyle w:val="Heading1"/>
        <w:keepNext/>
        <w:pBdr>
          <w:bottom w:val="single" w:sz="8" w:space="1" w:color="1F6D7A"/>
        </w:pBdr>
      </w:pPr>
      <w:r>
        <w:rPr>
          <w:rFonts w:ascii="Arimo" w:hAnsi="Arimo" w:eastAsia="Arimo"/>
          <w:b/>
          <w:color w:val="1F6D7A"/>
          <w:sz w:val="31"/>
        </w:rPr>
        <w:t xml:space="preserve">7  </w:t>
      </w:r>
      <w:r>
        <w:rPr>
          <w:rFonts w:ascii="Arimo" w:hAnsi="Arimo" w:eastAsia="Arimo"/>
          <w:b/>
          <w:color w:val="17365D"/>
          <w:sz w:val="31"/>
        </w:rPr>
        <w:t>Trade Lifecycle, Rolling, Assignment, and Expiration</w:t>
      </w:r>
    </w:p>
    <w:p>
      <w:pPr>
        <w:spacing w:after="100" w:line="250" w:lineRule="auto"/>
      </w:pPr>
      <w:r>
        <w:rPr>
          <w:rFonts w:ascii="Arimo" w:hAnsi="Arimo" w:eastAsia="Arimo"/>
          <w:i w:val="0"/>
          <w:sz w:val="19"/>
        </w:rPr>
        <w:t>The app should support the full lifecycle of a planned trade, not only the entry payoff chart. Management actions must be modeled as new cash flows and new risk, with the original trade preserved for auditability.</w:t>
      </w:r>
    </w:p>
    <w:p>
      <w:pPr>
        <w:pStyle w:val="Heading2"/>
        <w:keepNext/>
      </w:pPr>
      <w:r>
        <w:rPr>
          <w:rFonts w:ascii="Arimo" w:hAnsi="Arimo" w:eastAsia="Arimo"/>
          <w:b/>
          <w:color w:val="2F5597"/>
          <w:sz w:val="23"/>
        </w:rPr>
        <w:t>Lifecycle states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State</w:t>
            </w:r>
          </w:p>
        </w:tc>
        <w:tc>
          <w:tcPr>
            <w:tcW w:type="dxa" w:w="7920"/>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Required behavior</w:t>
            </w:r>
          </w:p>
        </w:tc>
      </w:tr>
      <w:tr>
        <w:trPr>
          <w:cantSplit/>
        </w:trPr>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Planned</w:t>
            </w:r>
          </w:p>
        </w:tc>
        <w:tc>
          <w:tcPr>
            <w:tcW w:type="dxa" w:w="792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Store proposed legs, quotes, assumptions, probability distribution, and exit plan.</w:t>
            </w:r>
          </w:p>
        </w:tc>
      </w:tr>
      <w:tr>
        <w:trPr>
          <w:cantSplit/>
        </w:trPr>
        <w:tc>
          <w:tcPr>
            <w:tcW w:type="dxa" w:w="194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Opened</w:t>
            </w:r>
          </w:p>
        </w:tc>
        <w:tc>
          <w:tcPr>
            <w:tcW w:type="dxa" w:w="792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Replace estimates with actual fills, fees, timestamps, and current position quantities.</w:t>
            </w:r>
          </w:p>
        </w:tc>
      </w:tr>
      <w:tr>
        <w:trPr>
          <w:cantSplit/>
        </w:trPr>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Adjusted / rolled</w:t>
            </w:r>
          </w:p>
        </w:tc>
        <w:tc>
          <w:tcPr>
            <w:tcW w:type="dxa" w:w="792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Close or alter old legs, record realized P/L, open replacement legs, and recalculate total/cumulative risk.</w:t>
            </w:r>
          </w:p>
        </w:tc>
      </w:tr>
      <w:tr>
        <w:trPr>
          <w:cantSplit/>
        </w:trPr>
        <w:tc>
          <w:tcPr>
            <w:tcW w:type="dxa" w:w="194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Closed</w:t>
            </w:r>
          </w:p>
        </w:tc>
        <w:tc>
          <w:tcPr>
            <w:tcW w:type="dxa" w:w="792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Record closing fills and final realized P/L, including stock and option components.</w:t>
            </w:r>
          </w:p>
        </w:tc>
      </w:tr>
      <w:tr>
        <w:trPr>
          <w:cantSplit/>
        </w:trPr>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Expired</w:t>
            </w:r>
          </w:p>
        </w:tc>
        <w:tc>
          <w:tcPr>
            <w:tcW w:type="dxa" w:w="792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Determine worthless, ITM, auto-exercise, or assignment result according to contract and broker rules.</w:t>
            </w:r>
          </w:p>
        </w:tc>
      </w:tr>
      <w:tr>
        <w:trPr>
          <w:cantSplit/>
        </w:trPr>
        <w:tc>
          <w:tcPr>
            <w:tcW w:type="dxa" w:w="194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7"/>
              </w:rPr>
              <w:t>Exercised / assigned</w:t>
            </w:r>
          </w:p>
        </w:tc>
        <w:tc>
          <w:tcPr>
            <w:tcW w:type="dxa" w:w="792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7"/>
              </w:rPr>
              <w:t>Create or remove the underlying share position and record cash movement and basis.</w:t>
            </w:r>
          </w:p>
        </w:tc>
      </w:tr>
    </w:tbl>
    <w:p>
      <w:pPr>
        <w:spacing w:after="40"/>
      </w:pPr>
    </w:p>
    <w:p>
      <w:pPr>
        <w:pStyle w:val="Heading2"/>
        <w:keepNext/>
      </w:pPr>
      <w:r>
        <w:rPr>
          <w:rFonts w:ascii="Arimo" w:hAnsi="Arimo" w:eastAsia="Arimo"/>
          <w:b/>
          <w:color w:val="2F5597"/>
          <w:sz w:val="23"/>
        </w:rPr>
        <w:t>Rolling rule</w:t>
      </w:r>
    </w:p>
    <w:tbl>
      <w:tblPr>
        <w:tblW w:type="auto" w:w="0"/>
        <w:jc w:val="center"/>
        <w:tblLayout w:type="fixed"/>
        <w:tblLook w:firstColumn="1" w:firstRow="1" w:lastColumn="0" w:lastRow="0" w:noHBand="0" w:noVBand="1" w:val="04A0"/>
      </w:tblPr>
      <w:tblGrid>
        <w:gridCol w:w="10166"/>
      </w:tblGrid>
      <w:tr>
        <w:tc>
          <w:tcPr>
            <w:tcW w:type="dxa" w:w="9864"/>
            <w:shd w:fill="EEF4FB"/>
            <w:tcMar>
              <w:top w:w="120" w:type="dxa"/>
              <w:start w:w="150" w:type="dxa"/>
              <w:bottom w:w="120" w:type="dxa"/>
              <w:end w:w="150" w:type="dxa"/>
            </w:tcMar>
            <w:tcBorders>
              <w:top w:val="single" w:sz="10" w:color="2F5597"/>
              <w:left w:val="single" w:sz="10" w:color="2F5597"/>
              <w:bottom w:val="single" w:sz="10" w:color="2F5597"/>
              <w:right w:val="single" w:sz="10" w:color="2F5597"/>
            </w:tcBorders>
          </w:tcPr>
          <w:p>
            <w:pPr>
              <w:spacing w:after="40"/>
            </w:pPr>
            <w:r>
              <w:rPr>
                <w:rFonts w:ascii="Arimo" w:hAnsi="Arimo" w:eastAsia="Arimo"/>
                <w:b/>
                <w:color w:val="17365D"/>
                <w:sz w:val="19"/>
              </w:rPr>
              <w:t>A roll is two trades</w:t>
            </w:r>
          </w:p>
          <w:p>
            <w:pPr>
              <w:spacing w:after="0"/>
            </w:pPr>
            <w:r>
              <w:rPr>
                <w:rFonts w:ascii="Arimo" w:hAnsi="Arimo" w:eastAsia="Arimo"/>
                <w:color w:val="3F3F3F"/>
                <w:sz w:val="18"/>
              </w:rPr>
              <w:t>Buying or selling back the old option realizes a gain or loss. Opening the new option creates a separate credit or debit and a new risk profile. The app must show old-leg realized P/L, new-leg entry cash flow, cumulative net premium, new break-even, and new maximum risk. A new credit must not be displayed as if the prior loss disappeared.</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9864"/>
            <w:shd w:fill="F2F2F2"/>
            <w:tcMar>
              <w:top w:w="120" w:type="dxa"/>
              <w:start w:w="160" w:type="dxa"/>
              <w:bottom w:w="120" w:type="dxa"/>
              <w:end w:w="160" w:type="dxa"/>
            </w:tcMar>
            <w:tcBorders>
              <w:top w:val="single" w:sz="6" w:color="B7B7B7"/>
              <w:left w:val="single" w:sz="6" w:color="B7B7B7"/>
              <w:bottom w:val="single" w:sz="6" w:color="B7B7B7"/>
              <w:right w:val="single" w:sz="6" w:color="B7B7B7"/>
            </w:tcBorders>
          </w:tcPr>
          <w:p>
            <w:pPr>
              <w:spacing w:after="60"/>
            </w:pPr>
            <w:r>
              <w:rPr>
                <w:rFonts w:ascii="Arimo" w:hAnsi="Arimo" w:eastAsia="Arimo"/>
                <w:b/>
                <w:color w:val="17365D"/>
                <w:sz w:val="18"/>
              </w:rPr>
              <w:t>Rolling and campaign accounting</w:t>
            </w:r>
          </w:p>
          <w:p>
            <w:pPr>
              <w:spacing w:after="20"/>
            </w:pPr>
            <w:r>
              <w:rPr>
                <w:rFonts w:ascii="Cousine" w:hAnsi="Cousine" w:eastAsia="Cousine"/>
                <w:color w:val="303030"/>
                <w:sz w:val="17"/>
              </w:rPr>
              <w:t>Cumulative option cash flow = sum(all option sale proceeds) - sum(all option purchase costs) - fees</w:t>
            </w:r>
          </w:p>
          <w:p>
            <w:pPr>
              <w:spacing w:after="20"/>
            </w:pPr>
            <w:r>
              <w:rPr>
                <w:rFonts w:ascii="Cousine" w:hAnsi="Cousine" w:eastAsia="Cousine"/>
                <w:color w:val="303030"/>
                <w:sz w:val="17"/>
              </w:rPr>
              <w:t>Current open-position risk = payoff of currently open legs only</w:t>
            </w:r>
          </w:p>
          <w:p>
            <w:pPr>
              <w:spacing w:after="20"/>
            </w:pPr>
            <w:r>
              <w:rPr>
                <w:rFonts w:ascii="Cousine" w:hAnsi="Cousine" w:eastAsia="Cousine"/>
                <w:color w:val="303030"/>
                <w:sz w:val="17"/>
              </w:rPr>
              <w:t>Total campaign P/L = realized P/L from closed legs + unrealized P/L from open legs + stock P/L</w:t>
            </w:r>
          </w:p>
        </w:tc>
      </w:tr>
    </w:tbl>
    <w:p>
      <w:pPr>
        <w:spacing w:after="20"/>
      </w:pPr>
    </w:p>
    <w:p>
      <w:pPr>
        <w:pStyle w:val="Heading2"/>
        <w:keepNext/>
      </w:pPr>
      <w:r>
        <w:rPr>
          <w:rFonts w:ascii="Arimo" w:hAnsi="Arimo" w:eastAsia="Arimo"/>
          <w:b/>
          <w:color w:val="2F5597"/>
          <w:sz w:val="23"/>
        </w:rPr>
        <w:t>Wheel state machine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7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From</w:t>
            </w:r>
          </w:p>
        </w:tc>
        <w:tc>
          <w:tcPr>
            <w:tcW w:type="dxa" w:w="1655"/>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Trigger</w:t>
            </w:r>
          </w:p>
        </w:tc>
        <w:tc>
          <w:tcPr>
            <w:tcW w:type="dxa" w:w="1944"/>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To</w:t>
            </w:r>
          </w:p>
        </w:tc>
        <w:tc>
          <w:tcPr>
            <w:tcW w:type="dxa" w:w="439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Accounting requirement</w:t>
            </w:r>
          </w:p>
        </w:tc>
      </w:tr>
      <w:tr>
        <w:trPr>
          <w:cantSplit/>
        </w:trPr>
        <w:tc>
          <w:tcPr>
            <w:tcW w:type="dxa" w:w="187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Cash-secured put</w:t>
            </w:r>
          </w:p>
        </w:tc>
        <w:tc>
          <w:tcPr>
            <w:tcW w:type="dxa" w:w="1655"/>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Put expires OTM or is closed</w:t>
            </w:r>
          </w:p>
        </w:tc>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New put or campaign complete</w:t>
            </w:r>
          </w:p>
        </w:tc>
        <w:tc>
          <w:tcPr>
            <w:tcW w:type="dxa" w:w="439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Keep realized premium/loss and do not create shares.</w:t>
            </w:r>
          </w:p>
        </w:tc>
      </w:tr>
      <w:tr>
        <w:trPr>
          <w:cantSplit/>
        </w:trPr>
        <w:tc>
          <w:tcPr>
            <w:tcW w:type="dxa" w:w="187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Cash-secured put</w:t>
            </w:r>
          </w:p>
        </w:tc>
        <w:tc>
          <w:tcPr>
            <w:tcW w:type="dxa" w:w="1655"/>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Assignment</w:t>
            </w:r>
          </w:p>
        </w:tc>
        <w:tc>
          <w:tcPr>
            <w:tcW w:type="dxa" w:w="194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Long shares</w:t>
            </w:r>
          </w:p>
        </w:tc>
        <w:tc>
          <w:tcPr>
            <w:tcW w:type="dxa" w:w="439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Record purchase at strike, put premium, fees, and effective economic basis.</w:t>
            </w:r>
          </w:p>
        </w:tc>
      </w:tr>
      <w:tr>
        <w:trPr>
          <w:cantSplit/>
        </w:trPr>
        <w:tc>
          <w:tcPr>
            <w:tcW w:type="dxa" w:w="187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Long shares</w:t>
            </w:r>
          </w:p>
        </w:tc>
        <w:tc>
          <w:tcPr>
            <w:tcW w:type="dxa" w:w="1655"/>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Sell covered call</w:t>
            </w:r>
          </w:p>
        </w:tc>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Covered call</w:t>
            </w:r>
          </w:p>
        </w:tc>
        <w:tc>
          <w:tcPr>
            <w:tcW w:type="dxa" w:w="439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Preserve actual share basis; call premium is a separate cash flow.</w:t>
            </w:r>
          </w:p>
        </w:tc>
      </w:tr>
      <w:tr>
        <w:trPr>
          <w:cantSplit/>
        </w:trPr>
        <w:tc>
          <w:tcPr>
            <w:tcW w:type="dxa" w:w="187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Covered call</w:t>
            </w:r>
          </w:p>
        </w:tc>
        <w:tc>
          <w:tcPr>
            <w:tcW w:type="dxa" w:w="1655"/>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Call expires OTM or is closed</w:t>
            </w:r>
          </w:p>
        </w:tc>
        <w:tc>
          <w:tcPr>
            <w:tcW w:type="dxa" w:w="1944"/>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Long shares or new covered call</w:t>
            </w:r>
          </w:p>
        </w:tc>
        <w:tc>
          <w:tcPr>
            <w:tcW w:type="dxa" w:w="439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Record call result and retain shares.</w:t>
            </w:r>
          </w:p>
        </w:tc>
      </w:tr>
      <w:tr>
        <w:trPr>
          <w:cantSplit/>
        </w:trPr>
        <w:tc>
          <w:tcPr>
            <w:tcW w:type="dxa" w:w="187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Covered call</w:t>
            </w:r>
          </w:p>
        </w:tc>
        <w:tc>
          <w:tcPr>
            <w:tcW w:type="dxa" w:w="1655"/>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Assignment / called away</w:t>
            </w:r>
          </w:p>
        </w:tc>
        <w:tc>
          <w:tcPr>
            <w:tcW w:type="dxa" w:w="1944"/>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Campaign complete or new put</w:t>
            </w:r>
          </w:p>
        </w:tc>
        <w:tc>
          <w:tcPr>
            <w:tcW w:type="dxa" w:w="439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Record stock sale at strike and complete total campaign P/L.</w:t>
            </w:r>
          </w:p>
        </w:tc>
      </w:tr>
    </w:tbl>
    <w:p>
      <w:pPr>
        <w:spacing w:after="40"/>
      </w:pPr>
    </w:p>
    <w:p>
      <w:pPr>
        <w:pStyle w:val="Heading2"/>
        <w:keepNext/>
      </w:pPr>
      <w:r>
        <w:rPr>
          <w:rFonts w:ascii="Arimo" w:hAnsi="Arimo" w:eastAsia="Arimo"/>
          <w:b/>
          <w:color w:val="2F5597"/>
          <w:sz w:val="23"/>
        </w:rPr>
        <w:t>Mandatory warnings</w:t>
      </w:r>
    </w:p>
    <w:p>
      <w:pPr>
        <w:pStyle w:val="ListBullet"/>
        <w:spacing w:after="50"/>
        <w:ind w:left="259" w:hanging="173"/>
      </w:pPr>
      <w:r>
        <w:rPr>
          <w:rFonts w:ascii="Arimo" w:hAnsi="Arimo" w:eastAsia="Arimo"/>
          <w:sz w:val="18"/>
        </w:rPr>
        <w:t>American-style options may be assigned before expiration.</w:t>
      </w:r>
    </w:p>
    <w:p>
      <w:pPr>
        <w:pStyle w:val="ListBullet"/>
        <w:spacing w:after="50"/>
        <w:ind w:left="259" w:hanging="173"/>
      </w:pPr>
      <w:r>
        <w:rPr>
          <w:rFonts w:ascii="Arimo" w:hAnsi="Arimo" w:eastAsia="Arimo"/>
          <w:sz w:val="18"/>
        </w:rPr>
        <w:t>Deep ITM short calls near an ex-dividend date may have elevated early-assignment attention.</w:t>
      </w:r>
    </w:p>
    <w:p>
      <w:pPr>
        <w:pStyle w:val="ListBullet"/>
        <w:spacing w:after="50"/>
        <w:ind w:left="259" w:hanging="173"/>
      </w:pPr>
      <w:r>
        <w:rPr>
          <w:rFonts w:ascii="Arimo" w:hAnsi="Arimo" w:eastAsia="Arimo"/>
          <w:sz w:val="18"/>
        </w:rPr>
        <w:t>Multi-leg spreads can experience assignment on one leg before the protective leg is exercised or closed.</w:t>
      </w:r>
    </w:p>
    <w:p>
      <w:pPr>
        <w:pStyle w:val="ListBullet"/>
        <w:spacing w:after="50"/>
        <w:ind w:left="259" w:hanging="173"/>
      </w:pPr>
      <w:r>
        <w:rPr>
          <w:rFonts w:ascii="Arimo" w:hAnsi="Arimo" w:eastAsia="Arimo"/>
          <w:sz w:val="18"/>
        </w:rPr>
        <w:t>Near expiration, small price changes can produce large gamma changes and pin-risk outcomes.</w:t>
      </w:r>
    </w:p>
    <w:p>
      <w:pPr>
        <w:pStyle w:val="ListBullet"/>
        <w:spacing w:after="50"/>
        <w:ind w:left="259" w:hanging="173"/>
      </w:pPr>
      <w:r>
        <w:rPr>
          <w:rFonts w:ascii="Arimo" w:hAnsi="Arimo" w:eastAsia="Arimo"/>
          <w:sz w:val="18"/>
        </w:rPr>
        <w:t>After-hours movement can affect exercise and assignment results even after regular-session trading ends.</w:t>
      </w:r>
    </w:p>
    <w:p>
      <w:pPr>
        <w:pStyle w:val="ListBullet"/>
        <w:spacing w:after="50"/>
        <w:ind w:left="259" w:hanging="173"/>
      </w:pPr>
      <w:r>
        <w:rPr>
          <w:rFonts w:ascii="Arimo" w:hAnsi="Arimo" w:eastAsia="Arimo"/>
          <w:sz w:val="18"/>
        </w:rPr>
        <w:t>Stop orders and limit orders are not guaranteed to execute at the modeled price.</w:t>
      </w:r>
    </w:p>
    <w:p>
      <w:pPr>
        <w:spacing w:after="40"/>
      </w:pPr>
    </w:p>
    <w:p>
      <w:pPr>
        <w:pStyle w:val="Heading1"/>
        <w:keepNext/>
        <w:pBdr>
          <w:bottom w:val="single" w:sz="8" w:space="1" w:color="1F6D7A"/>
        </w:pBdr>
      </w:pPr>
      <w:r>
        <w:rPr>
          <w:rFonts w:ascii="Arimo" w:hAnsi="Arimo" w:eastAsia="Arimo"/>
          <w:b/>
          <w:color w:val="1F6D7A"/>
          <w:sz w:val="31"/>
        </w:rPr>
        <w:t xml:space="preserve">8  </w:t>
      </w:r>
      <w:r>
        <w:rPr>
          <w:rFonts w:ascii="Arimo" w:hAnsi="Arimo" w:eastAsia="Arimo"/>
          <w:b/>
          <w:color w:val="17365D"/>
          <w:sz w:val="31"/>
        </w:rPr>
        <w:t>Journal and Probability Calibration</w:t>
      </w:r>
    </w:p>
    <w:p>
      <w:pPr>
        <w:spacing w:after="100" w:line="250" w:lineRule="auto"/>
      </w:pPr>
      <w:r>
        <w:rPr>
          <w:rFonts w:ascii="Arimo" w:hAnsi="Arimo" w:eastAsia="Arimo"/>
          <w:i w:val="0"/>
          <w:sz w:val="19"/>
        </w:rPr>
        <w:t>The journal turns the app from a one-time calculator into a feedback system. It should compare what the model predicted with what actually happened, while avoiding conclusions from small samples.</w:t>
      </w:r>
    </w:p>
    <w:p>
      <w:pPr>
        <w:pStyle w:val="Heading2"/>
        <w:keepNext/>
      </w:pPr>
      <w:r>
        <w:rPr>
          <w:rFonts w:ascii="Arimo" w:hAnsi="Arimo" w:eastAsia="Arimo"/>
          <w:b/>
          <w:color w:val="2F5597"/>
          <w:sz w:val="23"/>
        </w:rPr>
        <w:t>Fields to preserve at entry</w:t>
      </w:r>
    </w:p>
    <w:p>
      <w:pPr>
        <w:pStyle w:val="ListBullet"/>
        <w:spacing w:after="50"/>
        <w:ind w:left="259" w:hanging="173"/>
      </w:pPr>
      <w:r>
        <w:rPr>
          <w:rFonts w:ascii="Arimo" w:hAnsi="Arimo" w:eastAsia="Arimo"/>
          <w:sz w:val="18"/>
        </w:rPr>
        <w:t>Strategy, ticker, exact legs, quotes, expected fill, actual fill, fees, and quote timestamps.</w:t>
      </w:r>
    </w:p>
    <w:p>
      <w:pPr>
        <w:pStyle w:val="ListBullet"/>
        <w:spacing w:after="50"/>
        <w:ind w:left="259" w:hanging="173"/>
      </w:pPr>
      <w:r>
        <w:rPr>
          <w:rFonts w:ascii="Arimo" w:hAnsi="Arimo" w:eastAsia="Arimo"/>
          <w:sz w:val="18"/>
        </w:rPr>
        <w:t>Underlying price, IV inputs, interest rate, dividend yield, model, target date, simulation count, seed, and drift mode.</w:t>
      </w:r>
    </w:p>
    <w:p>
      <w:pPr>
        <w:pStyle w:val="ListBullet"/>
        <w:spacing w:after="50"/>
        <w:ind w:left="259" w:hanging="173"/>
      </w:pPr>
      <w:r>
        <w:rPr>
          <w:rFonts w:ascii="Arimo" w:hAnsi="Arimo" w:eastAsia="Arimo"/>
          <w:sz w:val="18"/>
        </w:rPr>
        <w:t>Probability of profit/loss, expected value, median, fifth percentile, ninety-fifth percentile, max profit/loss, and break-evens.</w:t>
      </w:r>
    </w:p>
    <w:p>
      <w:pPr>
        <w:pStyle w:val="ListBullet"/>
        <w:spacing w:after="50"/>
        <w:ind w:left="259" w:hanging="173"/>
      </w:pPr>
      <w:r>
        <w:rPr>
          <w:rFonts w:ascii="Arimo" w:hAnsi="Arimo" w:eastAsia="Arimo"/>
          <w:sz w:val="18"/>
        </w:rPr>
        <w:t>Planned profit target, planned loss limit, planned exit date, assignment willingness, and written trade thesis.</w:t>
      </w:r>
    </w:p>
    <w:p>
      <w:pPr>
        <w:pStyle w:val="ListBullet"/>
        <w:spacing w:after="50"/>
        <w:ind w:left="259" w:hanging="173"/>
      </w:pPr>
      <w:r>
        <w:rPr>
          <w:rFonts w:ascii="Arimo" w:hAnsi="Arimo" w:eastAsia="Arimo"/>
          <w:sz w:val="18"/>
        </w:rPr>
        <w:t>Upcoming earnings, ex-dividend date, liquidity warnings, and any manual overrides.</w:t>
      </w:r>
    </w:p>
    <w:p>
      <w:pPr>
        <w:pStyle w:val="Heading2"/>
        <w:keepNext/>
      </w:pPr>
      <w:r>
        <w:rPr>
          <w:rFonts w:ascii="Arimo" w:hAnsi="Arimo" w:eastAsia="Arimo"/>
          <w:b/>
          <w:color w:val="2F5597"/>
          <w:sz w:val="23"/>
        </w:rPr>
        <w:t>Outcome and calibration dashboard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Dashboard element</w:t>
            </w:r>
          </w:p>
        </w:tc>
        <w:tc>
          <w:tcPr>
            <w:tcW w:type="dxa" w:w="7632"/>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Requirement</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Outcome</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Realized P/L, holding period, exit reason, assignment/exercise status, and all adjustment cash flows.</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Probability bins</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Group trades into ranges such as 0-20%, 20-40%, 40-60%, 60-80%, and 80-100%; compare predicted vs observed profit frequency.</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Expected value</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Compare average predicted EV with average realized P/L by strategy and regime.</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Distribution review</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Track how often outcomes fell below the modeled fifth percentile or above the ninety-fifth percentile.</w:t>
            </w:r>
          </w:p>
        </w:tc>
      </w:tr>
      <w:tr>
        <w:trPr>
          <w:cantSplit/>
        </w:trPr>
        <w:tc>
          <w:tcPr>
            <w:tcW w:type="dxa" w:w="22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Sample-size warning</w:t>
            </w:r>
          </w:p>
        </w:tc>
        <w:tc>
          <w:tcPr>
            <w:tcW w:type="dxa" w:w="7632"/>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Display trade count and uncertainty; do not declare a model accurate from a small number of trades.</w:t>
            </w:r>
          </w:p>
        </w:tc>
      </w:tr>
      <w:tr>
        <w:trPr>
          <w:cantSplit/>
        </w:trPr>
        <w:tc>
          <w:tcPr>
            <w:tcW w:type="dxa" w:w="22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6"/>
              </w:rPr>
              <w:t>No survivorship filtering</w:t>
            </w:r>
          </w:p>
        </w:tc>
        <w:tc>
          <w:tcPr>
            <w:tcW w:type="dxa" w:w="7632"/>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6"/>
              </w:rPr>
              <w:t>Include expired, assigned, rolled, partially closed, and losing trades; do not exclude inconvenient outcomes.</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864"/>
            <w:shd w:fill="FFF4D6"/>
            <w:tcMar>
              <w:top w:w="120" w:type="dxa"/>
              <w:start w:w="150" w:type="dxa"/>
              <w:bottom w:w="120" w:type="dxa"/>
              <w:end w:w="150" w:type="dxa"/>
            </w:tcMar>
            <w:tcBorders>
              <w:top w:val="single" w:sz="10" w:color="8A5A00"/>
              <w:left w:val="single" w:sz="10" w:color="8A5A00"/>
              <w:bottom w:val="single" w:sz="10" w:color="8A5A00"/>
              <w:right w:val="single" w:sz="10" w:color="8A5A00"/>
            </w:tcBorders>
          </w:tcPr>
          <w:p>
            <w:pPr>
              <w:spacing w:after="40"/>
            </w:pPr>
            <w:r>
              <w:rPr>
                <w:rFonts w:ascii="Arimo" w:hAnsi="Arimo" w:eastAsia="Arimo"/>
                <w:b/>
                <w:color w:val="8A5A00"/>
                <w:sz w:val="19"/>
              </w:rPr>
              <w:t>Campaign and trade views</w:t>
            </w:r>
          </w:p>
          <w:p>
            <w:pPr>
              <w:spacing w:after="0"/>
            </w:pPr>
            <w:r>
              <w:rPr>
                <w:rFonts w:ascii="Arimo" w:hAnsi="Arimo" w:eastAsia="Arimo"/>
                <w:color w:val="3F3F3F"/>
                <w:sz w:val="18"/>
              </w:rPr>
              <w:t>For wheels and rolled positions, show both the individual-trade ledger and the complete campaign result. A profitable final covered call must not hide losses from earlier puts, stock declines, or roll debits.</w:t>
            </w:r>
          </w:p>
        </w:tc>
      </w:tr>
    </w:tbl>
    <w:p>
      <w:pPr>
        <w:spacing w:after="20"/>
      </w:pPr>
    </w:p>
    <w:p>
      <w:pPr>
        <w:spacing w:after="40"/>
      </w:pPr>
    </w:p>
    <w:p>
      <w:pPr>
        <w:pStyle w:val="Heading1"/>
        <w:keepNext/>
        <w:pBdr>
          <w:bottom w:val="single" w:sz="8" w:space="1" w:color="1F6D7A"/>
        </w:pBdr>
      </w:pPr>
      <w:r>
        <w:rPr>
          <w:rFonts w:ascii="Arimo" w:hAnsi="Arimo" w:eastAsia="Arimo"/>
          <w:b/>
          <w:color w:val="1F6D7A"/>
          <w:sz w:val="31"/>
        </w:rPr>
        <w:t xml:space="preserve">9  </w:t>
      </w:r>
      <w:r>
        <w:rPr>
          <w:rFonts w:ascii="Arimo" w:hAnsi="Arimo" w:eastAsia="Arimo"/>
          <w:b/>
          <w:color w:val="17365D"/>
          <w:sz w:val="31"/>
        </w:rPr>
        <w:t>Acceptance-Test Pack</w:t>
      </w:r>
    </w:p>
    <w:p>
      <w:pPr>
        <w:spacing w:after="100" w:line="250" w:lineRule="auto"/>
      </w:pPr>
      <w:r>
        <w:rPr>
          <w:rFonts w:ascii="Arimo" w:hAnsi="Arimo" w:eastAsia="Arimo"/>
          <w:i w:val="0"/>
          <w:sz w:val="19"/>
        </w:rPr>
        <w:t>These deterministic examples should be implemented as unit tests. All amounts exclude fees unless stated. Multiply per-share values by 100 for a standard one-contract test.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Test</w:t>
            </w:r>
          </w:p>
        </w:tc>
        <w:tc>
          <w:tcPr>
            <w:tcW w:type="dxa" w:w="4320"/>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Legs</w:t>
            </w:r>
          </w:p>
        </w:tc>
        <w:tc>
          <w:tcPr>
            <w:tcW w:type="dxa" w:w="3816"/>
            <w:shd w:fill="17365D"/>
            <w:tcMar>
              <w:top w:w="80" w:type="dxa"/>
              <w:start w:w="80" w:type="dxa"/>
              <w:bottom w:w="80" w:type="dxa"/>
              <w:end w:w="80" w:type="dxa"/>
            </w:tcMar>
            <w:vAlign w:val="center"/>
            <w:tcBorders>
              <w:top w:val="single" w:sz="4" w:color="D0D7DE"/>
              <w:left w:val="single" w:sz="4" w:color="D0D7DE"/>
              <w:bottom w:val="single" w:sz="4" w:color="D0D7DE"/>
              <w:right w:val="single" w:sz="4" w:color="D0D7DE"/>
            </w:tcBorders>
          </w:tcPr>
          <w:p>
            <w:pPr>
              <w:spacing w:after="0"/>
              <w:jc w:val="left"/>
            </w:pPr>
            <w:r>
              <w:rPr>
                <w:rFonts w:ascii="Arimo" w:hAnsi="Arimo" w:eastAsia="Arimo"/>
                <w:b/>
                <w:color w:val="FFFFFF"/>
                <w:sz w:val="17"/>
              </w:rPr>
              <w:t>Expected results</w:t>
            </w:r>
          </w:p>
        </w:tc>
      </w:tr>
      <w:tr>
        <w:trPr>
          <w:cantSplit/>
        </w:trPr>
        <w:tc>
          <w:tcPr>
            <w:tcW w:type="dxa" w:w="172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Covered call</w:t>
            </w:r>
          </w:p>
        </w:tc>
        <w:tc>
          <w:tcPr>
            <w:tcW w:type="dxa" w:w="432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Long 100 shares at 100; short 105 call for 2.50</w:t>
            </w:r>
          </w:p>
        </w:tc>
        <w:tc>
          <w:tcPr>
            <w:tcW w:type="dxa" w:w="381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Credit 250; BE 97.50; max profit 750; max loss 9,750; crossover 107.50</w:t>
            </w:r>
          </w:p>
        </w:tc>
      </w:tr>
      <w:tr>
        <w:trPr>
          <w:cantSplit/>
        </w:trPr>
        <w:tc>
          <w:tcPr>
            <w:tcW w:type="dxa" w:w="172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Cash-secured put</w:t>
            </w:r>
          </w:p>
        </w:tc>
        <w:tc>
          <w:tcPr>
            <w:tcW w:type="dxa" w:w="432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Short 95 put for 2.00</w:t>
            </w:r>
          </w:p>
        </w:tc>
        <w:tc>
          <w:tcPr>
            <w:tcW w:type="dxa" w:w="381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Max profit 200; BE 93.00; max loss 9,300; P/L at 90 = -300</w:t>
            </w:r>
          </w:p>
        </w:tc>
      </w:tr>
      <w:tr>
        <w:trPr>
          <w:cantSplit/>
        </w:trPr>
        <w:tc>
          <w:tcPr>
            <w:tcW w:type="dxa" w:w="172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Bull call debit spread</w:t>
            </w:r>
          </w:p>
        </w:tc>
        <w:tc>
          <w:tcPr>
            <w:tcW w:type="dxa" w:w="432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Buy 100 call for 6.00; sell 110 call for 2.00</w:t>
            </w:r>
          </w:p>
        </w:tc>
        <w:tc>
          <w:tcPr>
            <w:tcW w:type="dxa" w:w="381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Debit 400; BE 104.00; max profit 600; max loss 400</w:t>
            </w:r>
          </w:p>
        </w:tc>
      </w:tr>
      <w:tr>
        <w:trPr>
          <w:cantSplit/>
        </w:trPr>
        <w:tc>
          <w:tcPr>
            <w:tcW w:type="dxa" w:w="172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Bear call credit spread</w:t>
            </w:r>
          </w:p>
        </w:tc>
        <w:tc>
          <w:tcPr>
            <w:tcW w:type="dxa" w:w="432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Sell 105 call for 3.00; buy 110 call for 1.20</w:t>
            </w:r>
          </w:p>
        </w:tc>
        <w:tc>
          <w:tcPr>
            <w:tcW w:type="dxa" w:w="381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Credit 180; BE 106.80; max profit 180; max loss 320</w:t>
            </w:r>
          </w:p>
        </w:tc>
      </w:tr>
      <w:tr>
        <w:trPr>
          <w:cantSplit/>
        </w:trPr>
        <w:tc>
          <w:tcPr>
            <w:tcW w:type="dxa" w:w="172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Bull put credit spread</w:t>
            </w:r>
          </w:p>
        </w:tc>
        <w:tc>
          <w:tcPr>
            <w:tcW w:type="dxa" w:w="432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Sell 95 put for 2.70; buy 90 put for 1.10</w:t>
            </w:r>
          </w:p>
        </w:tc>
        <w:tc>
          <w:tcPr>
            <w:tcW w:type="dxa" w:w="381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Credit 160; BE 93.40; max profit 160; max loss 340</w:t>
            </w:r>
          </w:p>
        </w:tc>
      </w:tr>
      <w:tr>
        <w:trPr>
          <w:cantSplit/>
        </w:trPr>
        <w:tc>
          <w:tcPr>
            <w:tcW w:type="dxa" w:w="1728"/>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Long straddle</w:t>
            </w:r>
          </w:p>
        </w:tc>
        <w:tc>
          <w:tcPr>
            <w:tcW w:type="dxa" w:w="4320"/>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Buy 100 call for 4.00; buy 100 put for 3.50</w:t>
            </w:r>
          </w:p>
        </w:tc>
        <w:tc>
          <w:tcPr>
            <w:tcW w:type="dxa" w:w="3816"/>
            <w:shd w:fill="F8FAFC"/>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Debit/max loss 750; BEs 92.50 and 107.50; P/L at 80 or 120 = 1,250</w:t>
            </w:r>
          </w:p>
        </w:tc>
      </w:tr>
      <w:tr>
        <w:trPr>
          <w:cantSplit/>
        </w:trPr>
        <w:tc>
          <w:tcPr>
            <w:tcW w:type="dxa" w:w="1728"/>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color w:val="202020"/>
                <w:sz w:val="15"/>
              </w:rPr>
              <w:t>Iron condor</w:t>
            </w:r>
          </w:p>
        </w:tc>
        <w:tc>
          <w:tcPr>
            <w:tcW w:type="dxa" w:w="4320"/>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Long 85 put 0.50; short 90 put 1.20; short 110 call 1.10; long 115 call 0.40</w:t>
            </w:r>
          </w:p>
        </w:tc>
        <w:tc>
          <w:tcPr>
            <w:tcW w:type="dxa" w:w="3816"/>
            <w:tcMar>
              <w:top w:w="80" w:type="dxa"/>
              <w:start w:w="80" w:type="dxa"/>
              <w:bottom w:w="80" w:type="dxa"/>
              <w:end w:w="80" w:type="dxa"/>
            </w:tcMar>
            <w:vAlign w:val="top"/>
            <w:tcBorders>
              <w:top w:val="single" w:sz="4" w:color="D0D7DE"/>
              <w:left w:val="single" w:sz="4" w:color="D0D7DE"/>
              <w:bottom w:val="single" w:sz="4" w:color="D0D7DE"/>
              <w:right w:val="single" w:sz="4" w:color="D0D7DE"/>
            </w:tcBorders>
          </w:tcPr>
          <w:p>
            <w:pPr>
              <w:spacing w:after="0"/>
            </w:pPr>
            <w:r>
              <w:rPr>
                <w:rFonts w:ascii="Arimo" w:hAnsi="Arimo" w:eastAsia="Arimo"/>
                <w:b w:val="0"/>
                <w:color w:val="202020"/>
                <w:sz w:val="15"/>
              </w:rPr>
              <w:t>Credit 140; BEs 88.60 and 111.40; max profit 140; max loss 360</w:t>
            </w:r>
          </w:p>
        </w:tc>
      </w:tr>
    </w:tbl>
    <w:p>
      <w:pPr>
        <w:spacing w:after="40"/>
      </w:pPr>
    </w:p>
    <w:p>
      <w:pPr>
        <w:pStyle w:val="Heading2"/>
        <w:keepNext/>
      </w:pPr>
      <w:r>
        <w:rPr>
          <w:rFonts w:ascii="Arimo" w:hAnsi="Arimo" w:eastAsia="Arimo"/>
          <w:b/>
          <w:color w:val="2F5597"/>
          <w:sz w:val="23"/>
        </w:rPr>
        <w:t>Wheel cash-flow test</w:t>
      </w:r>
    </w:p>
    <w:tbl>
      <w:tblPr>
        <w:tblW w:type="auto" w:w="0"/>
        <w:jc w:val="center"/>
        <w:tblLayout w:type="fixed"/>
        <w:tblLook w:firstColumn="1" w:firstRow="1" w:lastColumn="0" w:lastRow="0" w:noHBand="0" w:noVBand="1" w:val="04A0"/>
      </w:tblPr>
      <w:tblGrid>
        <w:gridCol w:w="10166"/>
      </w:tblGrid>
      <w:tr>
        <w:tc>
          <w:tcPr>
            <w:tcW w:type="dxa" w:w="9864"/>
            <w:shd w:fill="F2F2F2"/>
            <w:tcMar>
              <w:top w:w="120" w:type="dxa"/>
              <w:start w:w="160" w:type="dxa"/>
              <w:bottom w:w="120" w:type="dxa"/>
              <w:end w:w="160" w:type="dxa"/>
            </w:tcMar>
            <w:tcBorders>
              <w:top w:val="single" w:sz="6" w:color="B7B7B7"/>
              <w:left w:val="single" w:sz="6" w:color="B7B7B7"/>
              <w:bottom w:val="single" w:sz="6" w:color="B7B7B7"/>
              <w:right w:val="single" w:sz="6" w:color="B7B7B7"/>
            </w:tcBorders>
          </w:tcPr>
          <w:p>
            <w:pPr>
              <w:spacing w:after="60"/>
            </w:pPr>
            <w:r>
              <w:rPr>
                <w:rFonts w:ascii="Arimo" w:hAnsi="Arimo" w:eastAsia="Arimo"/>
                <w:b/>
                <w:color w:val="17365D"/>
                <w:sz w:val="18"/>
              </w:rPr>
              <w:t>Wheel state-machine fixture</w:t>
            </w:r>
          </w:p>
          <w:p>
            <w:pPr>
              <w:spacing w:after="20"/>
            </w:pPr>
            <w:r>
              <w:rPr>
                <w:rFonts w:ascii="Cousine" w:hAnsi="Cousine" w:eastAsia="Cousine"/>
                <w:color w:val="303030"/>
                <w:sz w:val="17"/>
              </w:rPr>
              <w:t>1. Sell one 95 put for 2.00: +$200</w:t>
            </w:r>
          </w:p>
          <w:p>
            <w:pPr>
              <w:spacing w:after="20"/>
            </w:pPr>
            <w:r>
              <w:rPr>
                <w:rFonts w:ascii="Cousine" w:hAnsi="Cousine" w:eastAsia="Cousine"/>
                <w:color w:val="303030"/>
                <w:sz w:val="17"/>
              </w:rPr>
              <w:t>2. Assigned: buy 100 shares at $95: -$9,500</w:t>
            </w:r>
          </w:p>
          <w:p>
            <w:pPr>
              <w:spacing w:after="20"/>
            </w:pPr>
            <w:r>
              <w:rPr>
                <w:rFonts w:ascii="Cousine" w:hAnsi="Cousine" w:eastAsia="Cousine"/>
                <w:color w:val="303030"/>
                <w:sz w:val="17"/>
              </w:rPr>
              <w:t>3. Sell one 96 covered call for 1.50: +$150</w:t>
            </w:r>
          </w:p>
          <w:p>
            <w:pPr>
              <w:spacing w:after="20"/>
            </w:pPr>
            <w:r>
              <w:rPr>
                <w:rFonts w:ascii="Cousine" w:hAnsi="Cousine" w:eastAsia="Cousine"/>
                <w:color w:val="303030"/>
                <w:sz w:val="17"/>
              </w:rPr>
              <w:t>4. Called away at $96: +$9,600</w:t>
            </w:r>
          </w:p>
          <w:p>
            <w:pPr>
              <w:spacing w:after="20"/>
            </w:pPr>
            <w:r>
              <w:rPr>
                <w:rFonts w:ascii="Cousine" w:hAnsi="Cousine" w:eastAsia="Cousine"/>
                <w:color w:val="303030"/>
                <w:sz w:val="17"/>
              </w:rPr>
              <w:t>Expected complete campaign P/L = +$450 before fees</w:t>
            </w:r>
          </w:p>
        </w:tc>
      </w:tr>
    </w:tbl>
    <w:p>
      <w:pPr>
        <w:spacing w:after="20"/>
      </w:pPr>
    </w:p>
    <w:p>
      <w:pPr>
        <w:pStyle w:val="Heading2"/>
        <w:keepNext/>
      </w:pPr>
      <w:r>
        <w:rPr>
          <w:rFonts w:ascii="Arimo" w:hAnsi="Arimo" w:eastAsia="Arimo"/>
          <w:b/>
          <w:color w:val="2F5597"/>
          <w:sz w:val="23"/>
        </w:rPr>
        <w:t>Rolling-accounting test</w:t>
      </w:r>
    </w:p>
    <w:tbl>
      <w:tblPr>
        <w:tblW w:type="auto" w:w="0"/>
        <w:jc w:val="center"/>
        <w:tblLayout w:type="fixed"/>
        <w:tblLook w:firstColumn="1" w:firstRow="1" w:lastColumn="0" w:lastRow="0" w:noHBand="0" w:noVBand="1" w:val="04A0"/>
      </w:tblPr>
      <w:tblGrid>
        <w:gridCol w:w="10166"/>
      </w:tblGrid>
      <w:tr>
        <w:tc>
          <w:tcPr>
            <w:tcW w:type="dxa" w:w="9864"/>
            <w:shd w:fill="F2F2F2"/>
            <w:tcMar>
              <w:top w:w="120" w:type="dxa"/>
              <w:start w:w="160" w:type="dxa"/>
              <w:bottom w:w="120" w:type="dxa"/>
              <w:end w:w="160" w:type="dxa"/>
            </w:tcMar>
            <w:tcBorders>
              <w:top w:val="single" w:sz="6" w:color="B7B7B7"/>
              <w:left w:val="single" w:sz="6" w:color="B7B7B7"/>
              <w:bottom w:val="single" w:sz="6" w:color="B7B7B7"/>
              <w:right w:val="single" w:sz="6" w:color="B7B7B7"/>
            </w:tcBorders>
          </w:tcPr>
          <w:p>
            <w:pPr>
              <w:spacing w:after="60"/>
            </w:pPr>
            <w:r>
              <w:rPr>
                <w:rFonts w:ascii="Arimo" w:hAnsi="Arimo" w:eastAsia="Arimo"/>
                <w:b/>
                <w:color w:val="17365D"/>
                <w:sz w:val="18"/>
              </w:rPr>
              <w:t>Roll fixture</w:t>
            </w:r>
          </w:p>
          <w:p>
            <w:pPr>
              <w:spacing w:after="20"/>
            </w:pPr>
            <w:r>
              <w:rPr>
                <w:rFonts w:ascii="Cousine" w:hAnsi="Cousine" w:eastAsia="Cousine"/>
                <w:color w:val="303030"/>
                <w:sz w:val="17"/>
              </w:rPr>
              <w:t>Initial short call sale: +$200</w:t>
            </w:r>
          </w:p>
          <w:p>
            <w:pPr>
              <w:spacing w:after="20"/>
            </w:pPr>
            <w:r>
              <w:rPr>
                <w:rFonts w:ascii="Cousine" w:hAnsi="Cousine" w:eastAsia="Cousine"/>
                <w:color w:val="303030"/>
                <w:sz w:val="17"/>
              </w:rPr>
              <w:t>Buy back old call: -$350</w:t>
            </w:r>
          </w:p>
          <w:p>
            <w:pPr>
              <w:spacing w:after="20"/>
            </w:pPr>
            <w:r>
              <w:rPr>
                <w:rFonts w:ascii="Cousine" w:hAnsi="Cousine" w:eastAsia="Cousine"/>
                <w:color w:val="303030"/>
                <w:sz w:val="17"/>
              </w:rPr>
              <w:t>Realized P/L on old call: -$150</w:t>
            </w:r>
          </w:p>
          <w:p>
            <w:pPr>
              <w:spacing w:after="20"/>
            </w:pPr>
            <w:r>
              <w:rPr>
                <w:rFonts w:ascii="Cousine" w:hAnsi="Cousine" w:eastAsia="Cousine"/>
                <w:color w:val="303030"/>
                <w:sz w:val="17"/>
              </w:rPr>
              <w:t>Sell replacement call: +$450</w:t>
            </w:r>
          </w:p>
          <w:p>
            <w:pPr>
              <w:spacing w:after="20"/>
            </w:pPr>
            <w:r>
              <w:rPr>
                <w:rFonts w:ascii="Cousine" w:hAnsi="Cousine" w:eastAsia="Cousine"/>
                <w:color w:val="303030"/>
                <w:sz w:val="17"/>
              </w:rPr>
              <w:t>Cumulative option cash flow: +$300, not +$450</w:t>
            </w:r>
          </w:p>
          <w:p>
            <w:pPr>
              <w:spacing w:after="20"/>
            </w:pPr>
            <w:r>
              <w:rPr>
                <w:rFonts w:ascii="Cousine" w:hAnsi="Cousine" w:eastAsia="Cousine"/>
                <w:color w:val="303030"/>
                <w:sz w:val="17"/>
              </w:rPr>
              <w:t>New open-position risk must use the replacement strike, expiration, and current stock basis</w:t>
            </w:r>
          </w:p>
        </w:tc>
      </w:tr>
    </w:tbl>
    <w:p>
      <w:pPr>
        <w:spacing w:after="20"/>
      </w:pPr>
    </w:p>
    <w:p>
      <w:pPr>
        <w:pStyle w:val="Heading2"/>
        <w:keepNext/>
      </w:pPr>
      <w:r>
        <w:rPr>
          <w:rFonts w:ascii="Arimo" w:hAnsi="Arimo" w:eastAsia="Arimo"/>
          <w:b/>
          <w:color w:val="2F5597"/>
          <w:sz w:val="23"/>
        </w:rPr>
        <w:t>Required edge-case tests</w:t>
      </w:r>
    </w:p>
    <w:p>
      <w:pPr>
        <w:pStyle w:val="ListBullet"/>
        <w:spacing w:after="50"/>
        <w:ind w:left="259" w:hanging="173"/>
      </w:pPr>
      <w:r>
        <w:rPr>
          <w:rFonts w:ascii="Arimo" w:hAnsi="Arimo" w:eastAsia="Arimo"/>
          <w:sz w:val="18"/>
        </w:rPr>
        <w:t>Multiple contracts, partial share coverage, adjusted multiplier, and fractional stock quantity.</w:t>
      </w:r>
    </w:p>
    <w:p>
      <w:pPr>
        <w:pStyle w:val="ListBullet"/>
        <w:spacing w:after="50"/>
        <w:ind w:left="259" w:hanging="173"/>
      </w:pPr>
      <w:r>
        <w:rPr>
          <w:rFonts w:ascii="Arimo" w:hAnsi="Arimo" w:eastAsia="Arimo"/>
          <w:sz w:val="18"/>
        </w:rPr>
        <w:t>Fees, slippage, negative net credit, and decimal rounding near zero P/L.</w:t>
      </w:r>
    </w:p>
    <w:p>
      <w:pPr>
        <w:pStyle w:val="ListBullet"/>
        <w:spacing w:after="50"/>
        <w:ind w:left="259" w:hanging="173"/>
      </w:pPr>
      <w:r>
        <w:rPr>
          <w:rFonts w:ascii="Arimo" w:hAnsi="Arimo" w:eastAsia="Arimo"/>
          <w:sz w:val="18"/>
        </w:rPr>
        <w:t>Expired contract, zero days to expiration, and target date after expiration.</w:t>
      </w:r>
    </w:p>
    <w:p>
      <w:pPr>
        <w:pStyle w:val="ListBullet"/>
        <w:spacing w:after="50"/>
        <w:ind w:left="259" w:hanging="173"/>
      </w:pPr>
      <w:r>
        <w:rPr>
          <w:rFonts w:ascii="Arimo" w:hAnsi="Arimo" w:eastAsia="Arimo"/>
          <w:sz w:val="18"/>
        </w:rPr>
        <w:t>Missing bid or ask, crossed market, stale quote, no-bid option, and manually overridden mark.</w:t>
      </w:r>
    </w:p>
    <w:p>
      <w:pPr>
        <w:pStyle w:val="ListBullet"/>
        <w:spacing w:after="50"/>
        <w:ind w:left="259" w:hanging="173"/>
      </w:pPr>
      <w:r>
        <w:rPr>
          <w:rFonts w:ascii="Arimo" w:hAnsi="Arimo" w:eastAsia="Arimo"/>
          <w:sz w:val="18"/>
        </w:rPr>
        <w:t>Unequal iron-condor wing widths and more than two break-even points in a custom strategy.</w:t>
      </w:r>
    </w:p>
    <w:p>
      <w:pPr>
        <w:pStyle w:val="ListBullet"/>
        <w:spacing w:after="50"/>
        <w:ind w:left="259" w:hanging="173"/>
      </w:pPr>
      <w:r>
        <w:rPr>
          <w:rFonts w:ascii="Arimo" w:hAnsi="Arimo" w:eastAsia="Arimo"/>
          <w:sz w:val="18"/>
        </w:rPr>
        <w:t>American vs European exercise style, early assignment event, ex-dividend warning, and index cash settlement.</w:t>
      </w:r>
    </w:p>
    <w:p>
      <w:pPr>
        <w:pStyle w:val="ListBullet"/>
        <w:spacing w:after="50"/>
        <w:ind w:left="259" w:hanging="173"/>
      </w:pPr>
      <w:r>
        <w:rPr>
          <w:rFonts w:ascii="Arimo" w:hAnsi="Arimo" w:eastAsia="Arimo"/>
          <w:sz w:val="18"/>
        </w:rPr>
        <w:t>Reproducible Monte Carlo output with a fixed seed and confidence interval.</w:t>
      </w:r>
    </w:p>
    <w:p>
      <w:pPr>
        <w:pStyle w:val="ListBullet"/>
        <w:spacing w:after="50"/>
        <w:ind w:left="259" w:hanging="173"/>
      </w:pPr>
      <w:r>
        <w:rPr>
          <w:rFonts w:ascii="Arimo" w:hAnsi="Arimo" w:eastAsia="Arimo"/>
          <w:sz w:val="18"/>
        </w:rPr>
        <w:t>Unlimited/undefined risk detection that does not depend on the plotted price range.</w:t>
      </w:r>
    </w:p>
    <w:p>
      <w:pPr>
        <w:spacing w:after="40"/>
      </w:pPr>
    </w:p>
    <w:p>
      <w:pPr>
        <w:pStyle w:val="Heading1"/>
        <w:keepNext/>
        <w:pBdr>
          <w:bottom w:val="single" w:sz="8" w:space="1" w:color="1F6D7A"/>
        </w:pBdr>
      </w:pPr>
      <w:r>
        <w:rPr>
          <w:rFonts w:ascii="Arimo" w:hAnsi="Arimo" w:eastAsia="Arimo"/>
          <w:b/>
          <w:color w:val="1F6D7A"/>
          <w:sz w:val="31"/>
        </w:rPr>
        <w:t xml:space="preserve">10  </w:t>
      </w:r>
      <w:r>
        <w:rPr>
          <w:rFonts w:ascii="Arimo" w:hAnsi="Arimo" w:eastAsia="Arimo"/>
          <w:b/>
          <w:color w:val="17365D"/>
          <w:sz w:val="31"/>
        </w:rPr>
        <w:t>Copy-Paste Instruction Block for the Main Prompt</w:t>
      </w:r>
    </w:p>
    <w:p>
      <w:pPr>
        <w:spacing w:after="100" w:line="250" w:lineRule="auto"/>
      </w:pPr>
      <w:r>
        <w:rPr>
          <w:rFonts w:ascii="Arimo" w:hAnsi="Arimo" w:eastAsia="Arimo"/>
          <w:i w:val="0"/>
          <w:sz w:val="19"/>
        </w:rPr>
        <w:t>Place the following block near the end of Document 1, immediately before its deliverables section. Attach this companion document to the same app-builder conversation or project workspace.</w:t>
      </w:r>
    </w:p>
    <w:tbl>
      <w:tblPr>
        <w:tblW w:type="auto" w:w="0"/>
        <w:jc w:val="center"/>
        <w:tblLayout w:type="fixed"/>
        <w:tblLook w:firstColumn="1" w:firstRow="1" w:lastColumn="0" w:lastRow="0" w:noHBand="0" w:noVBand="1" w:val="04A0"/>
      </w:tblPr>
      <w:tblGrid>
        <w:gridCol w:w="10166"/>
      </w:tblGrid>
      <w:tr>
        <w:tc>
          <w:tcPr>
            <w:tcW w:type="dxa" w:w="9864"/>
            <w:shd w:fill="F2F2F2"/>
            <w:tcMar>
              <w:top w:w="120" w:type="dxa"/>
              <w:start w:w="160" w:type="dxa"/>
              <w:bottom w:w="120" w:type="dxa"/>
              <w:end w:w="160" w:type="dxa"/>
            </w:tcMar>
            <w:tcBorders>
              <w:top w:val="single" w:sz="6" w:color="B7B7B7"/>
              <w:left w:val="single" w:sz="6" w:color="B7B7B7"/>
              <w:bottom w:val="single" w:sz="6" w:color="B7B7B7"/>
              <w:right w:val="single" w:sz="6" w:color="B7B7B7"/>
            </w:tcBorders>
          </w:tcPr>
          <w:p>
            <w:pPr>
              <w:spacing w:after="60"/>
            </w:pPr>
            <w:r>
              <w:rPr>
                <w:rFonts w:ascii="Arimo" w:hAnsi="Arimo" w:eastAsia="Arimo"/>
                <w:b/>
                <w:color w:val="17365D"/>
                <w:sz w:val="18"/>
              </w:rPr>
              <w:t>Append this block to Document 1</w:t>
            </w:r>
          </w:p>
          <w:p>
            <w:pPr>
              <w:spacing w:after="20"/>
            </w:pPr>
            <w:r>
              <w:rPr>
                <w:rFonts w:ascii="Cousine" w:hAnsi="Cousine" w:eastAsia="Cousine"/>
                <w:color w:val="303030"/>
                <w:sz w:val="17"/>
              </w:rPr>
              <w:t>SECOND DOCUMENT - NORMATIVE DOMAIN ADDENDUM</w:t>
            </w:r>
          </w:p>
          <w:p>
            <w:pPr>
              <w:spacing w:after="20"/>
            </w:pPr>
            <w:r>
              <w:rPr>
                <w:rFonts w:ascii="Cousine" w:hAnsi="Cousine" w:eastAsia="Cousine"/>
                <w:color w:val="303030"/>
                <w:sz w:val="17"/>
              </w:rPr>
            </w:r>
          </w:p>
          <w:p>
            <w:pPr>
              <w:spacing w:after="20"/>
            </w:pPr>
            <w:r>
              <w:rPr>
                <w:rFonts w:ascii="Cousine" w:hAnsi="Cousine" w:eastAsia="Cousine"/>
                <w:color w:val="303030"/>
                <w:sz w:val="17"/>
              </w:rPr>
              <w:t>Use the attached "OptionScope Companion Specification: Strategy Knowledge,</w:t>
            </w:r>
          </w:p>
          <w:p>
            <w:pPr>
              <w:spacing w:after="20"/>
            </w:pPr>
            <w:r>
              <w:rPr>
                <w:rFonts w:ascii="Cousine" w:hAnsi="Cousine" w:eastAsia="Cousine"/>
                <w:color w:val="303030"/>
                <w:sz w:val="17"/>
              </w:rPr>
              <w:t>Calculations, Education, and Risk Rules" as Document 2 of this project.</w:t>
            </w:r>
          </w:p>
          <w:p>
            <w:pPr>
              <w:spacing w:after="20"/>
            </w:pPr>
            <w:r>
              <w:rPr>
                <w:rFonts w:ascii="Cousine" w:hAnsi="Cousine" w:eastAsia="Cousine"/>
                <w:color w:val="303030"/>
                <w:sz w:val="17"/>
              </w:rPr>
            </w:r>
          </w:p>
          <w:p>
            <w:pPr>
              <w:spacing w:after="20"/>
            </w:pPr>
            <w:r>
              <w:rPr>
                <w:rFonts w:ascii="Cousine" w:hAnsi="Cousine" w:eastAsia="Cousine"/>
                <w:color w:val="303030"/>
                <w:sz w:val="17"/>
              </w:rPr>
              <w:t>1. Treat its formulas, strategy-card fields, lifecycle rules, warnings, and</w:t>
            </w:r>
          </w:p>
          <w:p>
            <w:pPr>
              <w:spacing w:after="20"/>
            </w:pPr>
            <w:r>
              <w:rPr>
                <w:rFonts w:ascii="Cousine" w:hAnsi="Cousine" w:eastAsia="Cousine"/>
                <w:color w:val="303030"/>
                <w:sz w:val="17"/>
              </w:rPr>
              <w:t xml:space="preserve">   acceptance tests as required implementation criteria.</w:t>
            </w:r>
          </w:p>
          <w:p>
            <w:pPr>
              <w:spacing w:after="20"/>
            </w:pPr>
            <w:r>
              <w:rPr>
                <w:rFonts w:ascii="Cousine" w:hAnsi="Cousine" w:eastAsia="Cousine"/>
                <w:color w:val="303030"/>
                <w:sz w:val="17"/>
              </w:rPr>
              <w:t>2. Keep the calculation engine separate from educational prose.</w:t>
            </w:r>
          </w:p>
          <w:p>
            <w:pPr>
              <w:spacing w:after="20"/>
            </w:pPr>
            <w:r>
              <w:rPr>
                <w:rFonts w:ascii="Cousine" w:hAnsi="Cousine" w:eastAsia="Cousine"/>
                <w:color w:val="303030"/>
                <w:sz w:val="17"/>
              </w:rPr>
              <w:t>3. Use the user-provided source PDFs only as background references. Paraphrase</w:t>
            </w:r>
          </w:p>
          <w:p>
            <w:pPr>
              <w:spacing w:after="20"/>
            </w:pPr>
            <w:r>
              <w:rPr>
                <w:rFonts w:ascii="Cousine" w:hAnsi="Cousine" w:eastAsia="Cousine"/>
                <w:color w:val="303030"/>
                <w:sz w:val="17"/>
              </w:rPr>
              <w:t xml:space="preserve">   useful concepts; do not copy source artwork, promotional claims, anecdotes,</w:t>
            </w:r>
          </w:p>
          <w:p>
            <w:pPr>
              <w:spacing w:after="20"/>
            </w:pPr>
            <w:r>
              <w:rPr>
                <w:rFonts w:ascii="Cousine" w:hAnsi="Cousine" w:eastAsia="Cousine"/>
                <w:color w:val="303030"/>
                <w:sz w:val="17"/>
              </w:rPr>
              <w:t xml:space="preserve">   or extended passages into the application.</w:t>
            </w:r>
          </w:p>
          <w:p>
            <w:pPr>
              <w:spacing w:after="20"/>
            </w:pPr>
            <w:r>
              <w:rPr>
                <w:rFonts w:ascii="Cousine" w:hAnsi="Cousine" w:eastAsia="Cousine"/>
                <w:color w:val="303030"/>
                <w:sz w:val="17"/>
              </w:rPr>
              <w:t>4. Where descriptive source language conflicts with a tested formula, contract</w:t>
            </w:r>
          </w:p>
          <w:p>
            <w:pPr>
              <w:spacing w:after="20"/>
            </w:pPr>
            <w:r>
              <w:rPr>
                <w:rFonts w:ascii="Cousine" w:hAnsi="Cousine" w:eastAsia="Cousine"/>
                <w:color w:val="303030"/>
                <w:sz w:val="17"/>
              </w:rPr>
              <w:t xml:space="preserve">   metadata, market data, or a risk disclosure, the tested and documented rule wins.</w:t>
            </w:r>
          </w:p>
          <w:p>
            <w:pPr>
              <w:spacing w:after="20"/>
            </w:pPr>
            <w:r>
              <w:rPr>
                <w:rFonts w:ascii="Cousine" w:hAnsi="Cousine" w:eastAsia="Cousine"/>
                <w:color w:val="303030"/>
                <w:sz w:val="17"/>
              </w:rPr>
              <w:t>5. Do not describe delta as exact probability of profit. Calculate probability from</w:t>
            </w:r>
          </w:p>
          <w:p>
            <w:pPr>
              <w:spacing w:after="20"/>
            </w:pPr>
            <w:r>
              <w:rPr>
                <w:rFonts w:ascii="Cousine" w:hAnsi="Cousine" w:eastAsia="Cousine"/>
                <w:color w:val="303030"/>
                <w:sz w:val="17"/>
              </w:rPr>
              <w:t xml:space="preserve">   the complete strategy P/L distribution and show assumptions and uncertainty.</w:t>
            </w:r>
          </w:p>
          <w:p>
            <w:pPr>
              <w:spacing w:after="20"/>
            </w:pPr>
            <w:r>
              <w:rPr>
                <w:rFonts w:ascii="Cousine" w:hAnsi="Cousine" w:eastAsia="Cousine"/>
                <w:color w:val="303030"/>
                <w:sz w:val="17"/>
              </w:rPr>
              <w:t>6. For covered calls, cash-secured puts, wheels, spreads, and iron condors,</w:t>
            </w:r>
          </w:p>
          <w:p>
            <w:pPr>
              <w:spacing w:after="20"/>
            </w:pPr>
            <w:r>
              <w:rPr>
                <w:rFonts w:ascii="Cousine" w:hAnsi="Cousine" w:eastAsia="Cousine"/>
                <w:color w:val="303030"/>
                <w:sz w:val="17"/>
              </w:rPr>
              <w:t xml:space="preserve">   implement every deterministic test fixture in Document 2.</w:t>
            </w:r>
          </w:p>
          <w:p>
            <w:pPr>
              <w:spacing w:after="20"/>
            </w:pPr>
            <w:r>
              <w:rPr>
                <w:rFonts w:ascii="Cousine" w:hAnsi="Cousine" w:eastAsia="Cousine"/>
                <w:color w:val="303030"/>
                <w:sz w:val="17"/>
              </w:rPr>
              <w:t>7. Model rolling as closing an old trade and opening a new one, with realized and</w:t>
            </w:r>
          </w:p>
          <w:p>
            <w:pPr>
              <w:spacing w:after="20"/>
            </w:pPr>
            <w:r>
              <w:rPr>
                <w:rFonts w:ascii="Cousine" w:hAnsi="Cousine" w:eastAsia="Cousine"/>
                <w:color w:val="303030"/>
                <w:sz w:val="17"/>
              </w:rPr>
              <w:t xml:space="preserve">   cumulative P/L shown separately.</w:t>
            </w:r>
          </w:p>
          <w:p>
            <w:pPr>
              <w:spacing w:after="20"/>
            </w:pPr>
            <w:r>
              <w:rPr>
                <w:rFonts w:ascii="Cousine" w:hAnsi="Cousine" w:eastAsia="Cousine"/>
                <w:color w:val="303030"/>
                <w:sz w:val="17"/>
              </w:rPr>
              <w:t>8. Do not add a live brokerage-order button in the MVP. Produce a reviewable</w:t>
            </w:r>
          </w:p>
          <w:p>
            <w:pPr>
              <w:spacing w:after="20"/>
            </w:pPr>
            <w:r>
              <w:rPr>
                <w:rFonts w:ascii="Cousine" w:hAnsi="Cousine" w:eastAsia="Cousine"/>
                <w:color w:val="303030"/>
                <w:sz w:val="17"/>
              </w:rPr>
              <w:t xml:space="preserve">   order checklist for manual entry in Robinhood.</w:t>
            </w:r>
          </w:p>
        </w:tc>
      </w:tr>
    </w:tbl>
    <w:p>
      <w:pPr>
        <w:spacing w:after="20"/>
      </w:pPr>
    </w:p>
    <w:p>
      <w:pPr>
        <w:pStyle w:val="Heading2"/>
        <w:keepNext/>
      </w:pPr>
      <w:r>
        <w:rPr>
          <w:rFonts w:ascii="Arimo" w:hAnsi="Arimo" w:eastAsia="Arimo"/>
          <w:b/>
          <w:color w:val="2F5597"/>
          <w:sz w:val="23"/>
        </w:rPr>
        <w:t>Recommended project folder treatment</w:t>
      </w:r>
    </w:p>
    <w:tbl>
      <w:tblPr>
        <w:tblW w:type="auto" w:w="0"/>
        <w:jc w:val="center"/>
        <w:tblLayout w:type="fixed"/>
        <w:tblLook w:firstColumn="1" w:firstRow="1" w:lastColumn="0" w:lastRow="0" w:noHBand="0" w:noVBand="1" w:val="04A0"/>
      </w:tblPr>
      <w:tblGrid>
        <w:gridCol w:w="10166"/>
      </w:tblGrid>
      <w:tr>
        <w:tc>
          <w:tcPr>
            <w:tcW w:type="dxa" w:w="9864"/>
            <w:shd w:fill="F2F2F2"/>
            <w:tcMar>
              <w:top w:w="120" w:type="dxa"/>
              <w:start w:w="160" w:type="dxa"/>
              <w:bottom w:w="120" w:type="dxa"/>
              <w:end w:w="160" w:type="dxa"/>
            </w:tcMar>
            <w:tcBorders>
              <w:top w:val="single" w:sz="6" w:color="B7B7B7"/>
              <w:left w:val="single" w:sz="6" w:color="B7B7B7"/>
              <w:bottom w:val="single" w:sz="6" w:color="B7B7B7"/>
              <w:right w:val="single" w:sz="6" w:color="B7B7B7"/>
            </w:tcBorders>
          </w:tcPr>
          <w:p>
            <w:pPr>
              <w:spacing w:after="60"/>
            </w:pPr>
            <w:r>
              <w:rPr>
                <w:rFonts w:ascii="Arimo" w:hAnsi="Arimo" w:eastAsia="Arimo"/>
                <w:b/>
                <w:color w:val="17365D"/>
                <w:sz w:val="18"/>
              </w:rPr>
              <w:t>Illustrative repository structure</w:t>
            </w:r>
          </w:p>
          <w:p>
            <w:pPr>
              <w:spacing w:after="20"/>
            </w:pPr>
            <w:r>
              <w:rPr>
                <w:rFonts w:ascii="Cousine" w:hAnsi="Cousine" w:eastAsia="Cousine"/>
                <w:color w:val="303030"/>
                <w:sz w:val="17"/>
              </w:rPr>
              <w:t>/docs/</w:t>
            </w:r>
          </w:p>
          <w:p>
            <w:pPr>
              <w:spacing w:after="20"/>
            </w:pPr>
            <w:r>
              <w:rPr>
                <w:rFonts w:ascii="Cousine" w:hAnsi="Cousine" w:eastAsia="Cousine"/>
                <w:color w:val="303030"/>
                <w:sz w:val="17"/>
              </w:rPr>
              <w:t xml:space="preserve">  main-build-prompt.md</w:t>
            </w:r>
          </w:p>
          <w:p>
            <w:pPr>
              <w:spacing w:after="20"/>
            </w:pPr>
            <w:r>
              <w:rPr>
                <w:rFonts w:ascii="Cousine" w:hAnsi="Cousine" w:eastAsia="Cousine"/>
                <w:color w:val="303030"/>
                <w:sz w:val="17"/>
              </w:rPr>
              <w:t xml:space="preserve">  optionscope-companion-specification.pdf</w:t>
            </w:r>
          </w:p>
          <w:p>
            <w:pPr>
              <w:spacing w:after="20"/>
            </w:pPr>
            <w:r>
              <w:rPr>
                <w:rFonts w:ascii="Cousine" w:hAnsi="Cousine" w:eastAsia="Cousine"/>
                <w:color w:val="303030"/>
                <w:sz w:val="17"/>
              </w:rPr>
              <w:t xml:space="preserve">  references/</w:t>
            </w:r>
          </w:p>
          <w:p>
            <w:pPr>
              <w:spacing w:after="20"/>
            </w:pPr>
            <w:r>
              <w:rPr>
                <w:rFonts w:ascii="Cousine" w:hAnsi="Cousine" w:eastAsia="Cousine"/>
                <w:color w:val="303030"/>
                <w:sz w:val="17"/>
              </w:rPr>
              <w:t xml:space="preserve">    henrys-optionbook.pdf              # internal reference only</w:t>
            </w:r>
          </w:p>
          <w:p>
            <w:pPr>
              <w:spacing w:after="20"/>
            </w:pPr>
            <w:r>
              <w:rPr>
                <w:rFonts w:ascii="Cousine" w:hAnsi="Cousine" w:eastAsia="Cousine"/>
                <w:color w:val="303030"/>
                <w:sz w:val="17"/>
              </w:rPr>
              <w:t xml:space="preserve">    covered-call-cheat-sheet.pdf        # internal reference only</w:t>
            </w:r>
          </w:p>
          <w:p>
            <w:pPr>
              <w:spacing w:after="20"/>
            </w:pPr>
            <w:r>
              <w:rPr>
                <w:rFonts w:ascii="Cousine" w:hAnsi="Cousine" w:eastAsia="Cousine"/>
                <w:color w:val="303030"/>
                <w:sz w:val="17"/>
              </w:rPr>
              <w:t>/src/domain/</w:t>
            </w:r>
          </w:p>
          <w:p>
            <w:pPr>
              <w:spacing w:after="20"/>
            </w:pPr>
            <w:r>
              <w:rPr>
                <w:rFonts w:ascii="Cousine" w:hAnsi="Cousine" w:eastAsia="Cousine"/>
                <w:color w:val="303030"/>
                <w:sz w:val="17"/>
              </w:rPr>
              <w:t xml:space="preserve">  strategyDefinitions.ts</w:t>
            </w:r>
          </w:p>
          <w:p>
            <w:pPr>
              <w:spacing w:after="20"/>
            </w:pPr>
            <w:r>
              <w:rPr>
                <w:rFonts w:ascii="Cousine" w:hAnsi="Cousine" w:eastAsia="Cousine"/>
                <w:color w:val="303030"/>
                <w:sz w:val="17"/>
              </w:rPr>
              <w:t xml:space="preserve">  calculationEngine.ts</w:t>
            </w:r>
          </w:p>
          <w:p>
            <w:pPr>
              <w:spacing w:after="20"/>
            </w:pPr>
            <w:r>
              <w:rPr>
                <w:rFonts w:ascii="Cousine" w:hAnsi="Cousine" w:eastAsia="Cousine"/>
                <w:color w:val="303030"/>
                <w:sz w:val="17"/>
              </w:rPr>
              <w:t xml:space="preserve">  probabilityEngine.worker.ts</w:t>
            </w:r>
          </w:p>
          <w:p>
            <w:pPr>
              <w:spacing w:after="20"/>
            </w:pPr>
            <w:r>
              <w:rPr>
                <w:rFonts w:ascii="Cousine" w:hAnsi="Cousine" w:eastAsia="Cousine"/>
                <w:color w:val="303030"/>
                <w:sz w:val="17"/>
              </w:rPr>
              <w:t xml:space="preserve">  tradeLifecycle.ts</w:t>
            </w:r>
          </w:p>
          <w:p>
            <w:pPr>
              <w:spacing w:after="20"/>
            </w:pPr>
            <w:r>
              <w:rPr>
                <w:rFonts w:ascii="Cousine" w:hAnsi="Cousine" w:eastAsia="Cousine"/>
                <w:color w:val="303030"/>
                <w:sz w:val="17"/>
              </w:rPr>
              <w:t>/tests/domain/</w:t>
            </w:r>
          </w:p>
          <w:p>
            <w:pPr>
              <w:spacing w:after="20"/>
            </w:pPr>
            <w:r>
              <w:rPr>
                <w:rFonts w:ascii="Cousine" w:hAnsi="Cousine" w:eastAsia="Cousine"/>
                <w:color w:val="303030"/>
                <w:sz w:val="17"/>
              </w:rPr>
              <w:t xml:space="preserve">  strategyPayoffs.test.ts</w:t>
            </w:r>
          </w:p>
          <w:p>
            <w:pPr>
              <w:spacing w:after="20"/>
            </w:pPr>
            <w:r>
              <w:rPr>
                <w:rFonts w:ascii="Cousine" w:hAnsi="Cousine" w:eastAsia="Cousine"/>
                <w:color w:val="303030"/>
                <w:sz w:val="17"/>
              </w:rPr>
              <w:t xml:space="preserve">  rollingLedger.test.ts</w:t>
            </w:r>
          </w:p>
          <w:p>
            <w:pPr>
              <w:spacing w:after="20"/>
            </w:pPr>
            <w:r>
              <w:rPr>
                <w:rFonts w:ascii="Cousine" w:hAnsi="Cousine" w:eastAsia="Cousine"/>
                <w:color w:val="303030"/>
                <w:sz w:val="17"/>
              </w:rPr>
              <w:t xml:space="preserve">  monteCarloReproducibility.test.ts</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9864"/>
            <w:shd w:fill="FFF4D6"/>
            <w:tcMar>
              <w:top w:w="120" w:type="dxa"/>
              <w:start w:w="150" w:type="dxa"/>
              <w:bottom w:w="120" w:type="dxa"/>
              <w:end w:w="150" w:type="dxa"/>
            </w:tcMar>
            <w:tcBorders>
              <w:top w:val="single" w:sz="10" w:color="8A5A00"/>
              <w:left w:val="single" w:sz="10" w:color="8A5A00"/>
              <w:bottom w:val="single" w:sz="10" w:color="8A5A00"/>
              <w:right w:val="single" w:sz="10" w:color="8A5A00"/>
            </w:tcBorders>
          </w:tcPr>
          <w:p>
            <w:pPr>
              <w:spacing w:after="40"/>
            </w:pPr>
            <w:r>
              <w:rPr>
                <w:rFonts w:ascii="Arimo" w:hAnsi="Arimo" w:eastAsia="Arimo"/>
                <w:b/>
                <w:color w:val="8A5A00"/>
                <w:sz w:val="19"/>
              </w:rPr>
              <w:t>Distribution and licensing</w:t>
            </w:r>
          </w:p>
          <w:p>
            <w:pPr>
              <w:spacing w:after="0"/>
            </w:pPr>
            <w:r>
              <w:rPr>
                <w:rFonts w:ascii="Arimo" w:hAnsi="Arimo" w:eastAsia="Arimo"/>
                <w:color w:val="3F3F3F"/>
                <w:sz w:val="18"/>
              </w:rPr>
              <w:t>Keep the original PDFs in a private project reference folder unless the user has documented permission to redistribute them. The public app should contain original explanations and calculations, not downloadable copies of the source materials.</w:t>
            </w:r>
          </w:p>
        </w:tc>
      </w:tr>
    </w:tbl>
    <w:p>
      <w:pPr>
        <w:spacing w:after="20"/>
      </w:pPr>
    </w:p>
    <w:p>
      <w:pPr>
        <w:pStyle w:val="Heading2"/>
        <w:keepNext/>
      </w:pPr>
      <w:r>
        <w:rPr>
          <w:rFonts w:ascii="Arimo" w:hAnsi="Arimo" w:eastAsia="Arimo"/>
          <w:b/>
          <w:color w:val="2F5597"/>
          <w:sz w:val="23"/>
        </w:rPr>
        <w:t>Source notes</w:t>
      </w:r>
    </w:p>
    <w:p>
      <w:pPr>
        <w:spacing w:after="100" w:line="250" w:lineRule="auto"/>
      </w:pPr>
      <w:r>
        <w:rPr>
          <w:rFonts w:ascii="Arimo" w:hAnsi="Arimo" w:eastAsia="Arimo"/>
          <w:i w:val="0"/>
          <w:sz w:val="19"/>
        </w:rPr>
        <w:t>1. The Steadiest Option Trader: How to Build a Consistent Income Trading Safely From An Ex-Goldman Sachs Analyst Who Only Sells Options. User-provided PDF, 69 pages. Used as a topic map for strategy education; not treated as an authoritative calculation source.</w:t>
      </w:r>
    </w:p>
    <w:p>
      <w:pPr>
        <w:spacing w:after="100" w:line="250" w:lineRule="auto"/>
      </w:pPr>
      <w:r>
        <w:rPr>
          <w:rFonts w:ascii="Arimo" w:hAnsi="Arimo" w:eastAsia="Arimo"/>
          <w:i w:val="0"/>
          <w:sz w:val="19"/>
        </w:rPr>
        <w:t>2. OptionMath.com - Covered Call Cheat Sheet. User-provided PDF, one page. Used as inspiration for the compact strategy-card categories and covered-call formula checks.</w:t>
      </w:r>
    </w:p>
    <w:p>
      <w:pPr>
        <w:spacing w:after="100" w:line="250" w:lineRule="auto"/>
      </w:pPr>
      <w:r>
        <w:rPr>
          <w:rFonts w:ascii="Arimo" w:hAnsi="Arimo" w:eastAsia="Arimo"/>
          <w:i w:val="0"/>
          <w:sz w:val="19"/>
        </w:rPr>
        <w:t>This companion specification is an original transformation and summary. It does not reproduce source artwork or extended passages. Options involve significant risk, and model outputs are estimates rather than guarantees or personalized investment advice.</w:t>
      </w:r>
    </w:p>
    <w:sectPr w:rsidR="00FC693F" w:rsidRPr="0006063C" w:rsidSect="00034616">
      <w:headerReference w:type="default" r:id="rId9"/>
      <w:footerReference w:type="default" r:id="rId10"/>
      <w:pgSz w:w="12240" w:h="15840"/>
      <w:pgMar w:top="893" w:right="1037" w:bottom="835" w:left="1037"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jc w:val="left"/>
    </w:pPr>
    <w:r>
      <w:rPr>
        <w:rFonts w:ascii="Arimo" w:hAnsi="Arimo" w:eastAsia="Arimo"/>
        <w:color w:val="666666"/>
        <w:sz w:val="14"/>
      </w:rPr>
      <w:t>Document 2 of 2 - Strategy, calculation, education, and risk rules</w:t>
    </w:r>
    <w:r>
      <w:rPr>
        <w:rFonts w:ascii="Arimo" w:hAnsi="Arimo" w:eastAsia="Arimo"/>
        <w:sz w:val="14"/>
      </w:rPr>
      <w:tab/>
    </w:r>
    <w:r>
      <w:rPr>
        <w:rFonts w:ascii="Arimo" w:hAnsi="Arimo" w:eastAsia="Arimo"/>
        <w:color w:val="666666"/>
        <w:sz w:val="14"/>
      </w:rPr>
      <w:t xml:space="preserve">Page </w:t>
    </w:r>
    <w:r>
      <w:rPr>
        <w:rFonts w:ascii="Arimo" w:hAnsi="Arimo" w:eastAsia="Arimo"/>
        <w:color w:val="666666"/>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9E1F2"/>
      </w:pBdr>
    </w:pPr>
    <w:r>
      <w:rPr>
        <w:rFonts w:ascii="Arimo" w:hAnsi="Arimo" w:eastAsia="Arimo"/>
        <w:b/>
        <w:color w:val="1F6D7A"/>
        <w:sz w:val="15"/>
      </w:rPr>
      <w:t>OPTIONSCOPE  |  COMPANION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rimo" w:hAnsi="Arim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mo" w:hAnsi="Arimo"/>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mo" w:hAnsi="Arimo"/>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mo" w:hAnsi="Arimo"/>
      <w:b/>
      <w:bCs/>
      <w:color w:val="1F6D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Arimo" w:hAnsi="Arimo"/>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mo" w:hAnsi="Arimo"/>
      <w:sz w:val="18"/>
    </w:rPr>
  </w:style>
  <w:style w:type="paragraph" w:styleId="ListBullet2">
    <w:name w:val="List Bullet 2"/>
    <w:basedOn w:val="Normal"/>
    <w:uiPriority w:val="99"/>
    <w:unhideWhenUsed/>
    <w:rsid w:val="00326F90"/>
    <w:pPr>
      <w:numPr>
        <w:numId w:val="2"/>
      </w:numPr>
      <w:contextualSpacing/>
    </w:pPr>
    <w:rPr>
      <w:rFonts w:ascii="Arimo" w:hAnsi="Arimo"/>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mo" w:hAnsi="Arimo"/>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OptionScope Companion Specification</dc:title>
  <dc:subject>Options strategy calculations, educational rules, risk controls, and acceptance tests</dc:subject>
  <dc:creator>OptionScope Project</dc:creator>
  <cp:keywords>options, covered call, probability, Robinhood companion, strategy calculator, risk</cp:keywords>
  <dc:description>Original domain addendum based on user-provided references.</dc:description>
  <cp:lastModifiedBy>OptionScope Project</cp:lastModifiedBy>
  <cp:revision>1</cp:revision>
  <dcterms:created xsi:type="dcterms:W3CDTF">2013-12-23T23:15:00Z</dcterms:created>
  <dcterms:modified xsi:type="dcterms:W3CDTF">2013-12-23T23:15:00Z</dcterms:modified>
  <cp:category/>
</cp:coreProperties>
</file>