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2026-07-25 to 2026-07-31 · Office of the Senior Vice President for Research</w:t>
      </w:r>
    </w:p>
    <w:p>
      <w:pPr>
        <w:pStyle w:val="Heading1"/>
      </w:pPr>
      <w:r>
        <w:rPr>
          <w:color w:val="012169"/>
        </w:rPr>
        <w:t>Weekly summary — ready to copy into email</w:t>
      </w:r>
    </w:p>
    <w:p>
      <w:r>
        <w:rPr>
          <w:b/>
        </w:rPr>
        <w:t>Bottom line:</w:t>
      </w:r>
      <w:r>
        <w:t xml:space="preserve"> Federal research funding contracted sharply this week as NIH resumed terminating disfavored grants and AHRQ effectively collapsed, while court records exposed the automated keyword lists driving cancellations. NIH award odds are falling and new compliance risks around foreign collaborations and high-risk life sciences are emerging. Several developments—terminations, the Harvard freeze litigation, and a DoD China blacklist—carry direct exposure for Emory's active and pending portfolio.</w:t>
      </w:r>
    </w:p>
    <w:p>
      <w:r>
        <w:rPr>
          <w:b/>
        </w:rPr>
        <w:t>Top developments:</w:t>
      </w:r>
    </w:p>
    <w:p>
      <w:pPr>
        <w:pStyle w:val="ListBullet"/>
      </w:pPr>
      <w:r>
        <w:rPr>
          <w:b/>
        </w:rPr>
        <w:t>NIH grant terminations resume</w:t>
      </w:r>
      <w:r>
        <w:t xml:space="preserve"> — NIH is again canceling grants that conflict with administration priorities despite prior court rulings, putting any active or pending awards on sensitive topics at renewed termination risk. Investigators should assess exposure now. (</w:t>
      </w:r>
      <w:hyperlink r:id="rId9">
        <w:r>
          <w:rPr>
            <w:color w:val="007dba"/>
            <w:u w:val="single"/>
          </w:rPr>
          <w:t>https://www.science.org/content/article/nih-again-terminating-grants-trump-administration-dislikes</w:t>
        </w:r>
      </w:hyperlink>
      <w:r>
        <w:t>)</w:t>
      </w:r>
    </w:p>
    <w:p>
      <w:pPr>
        <w:pStyle w:val="ListBullet"/>
      </w:pPr>
      <w:r>
        <w:rPr>
          <w:b/>
        </w:rPr>
        <w:t>AHRQ funding collapse</w:t>
      </w:r>
      <w:r>
        <w:t xml:space="preserve"> — AHRQ has terminated 80+ awards worth $200M+ across 28 states, issued no new grants since April 2025, and lost roughly 80% of staff, halting patient-safety and health-services research nationwide. Check exposure for any AHRQ-funded projects and prepare for stalled reimbursements. (</w:t>
      </w:r>
      <w:hyperlink r:id="rId10">
        <w:r>
          <w:rPr>
            <w:color w:val="007dba"/>
            <w:u w:val="single"/>
          </w:rPr>
          <w:t>https://www.hcinnovationgroup.com/policy-value-based-care/article/55394555/ahrq-grant-cancellations-escalate-fears-over-future-of-us-health-services-research</w:t>
        </w:r>
      </w:hyperlink>
      <w:r>
        <w:t>)</w:t>
      </w:r>
    </w:p>
    <w:p>
      <w:pPr>
        <w:pStyle w:val="ListBullet"/>
      </w:pPr>
      <w:r>
        <w:rPr>
          <w:b/>
        </w:rPr>
        <w:t>Keyword cancellation lists exposed</w:t>
      </w:r>
      <w:r>
        <w:t xml:space="preserve"> — Court records reveal the specific automated search terms agencies used to cut billions in grants. This lets us proactively audit our portfolio and proposal language for exposure. (</w:t>
      </w:r>
      <w:hyperlink r:id="rId11">
        <w:r>
          <w:rPr>
            <w:color w:val="007dba"/>
            <w:u w:val="single"/>
          </w:rPr>
          <w:t>https://www.highereddive.com/news/inside-the-federal-keyword-lists-that-canceled-billions-in-research-funding/826203/</w:t>
        </w:r>
      </w:hyperlink>
      <w:r>
        <w:t>)</w:t>
      </w:r>
    </w:p>
    <w:p>
      <w:pPr>
        <w:pStyle w:val="ListBullet"/>
      </w:pPr>
      <w:r>
        <w:rPr>
          <w:b/>
        </w:rPr>
        <w:t>NIH success rates plummet</w:t>
      </w:r>
      <w:r>
        <w:t xml:space="preserve"> — A new lump-sum funding policy plus spending delays have sharply cut success rates (NCI from ~1-in-10 to 1-in-25), so plan for far tougher odds and delayed awards across NIH submissions. (</w:t>
      </w:r>
      <w:hyperlink r:id="rId12">
        <w:r>
          <w:rPr>
            <w:color w:val="007dba"/>
            <w:u w:val="single"/>
          </w:rPr>
          <w:t>https://www.science.org/content/article/odds-winning-nih-grants-plummet-new-funding-policy-and-spending-delays-bite</w:t>
        </w:r>
      </w:hyperlink>
      <w:r>
        <w:t>)</w:t>
      </w:r>
    </w:p>
    <w:p>
      <w:pPr>
        <w:pStyle w:val="ListBullet"/>
      </w:pPr>
      <w:r>
        <w:rPr>
          <w:b/>
        </w:rPr>
        <w:t>Harvard funding fight</w:t>
      </w:r>
      <w:r>
        <w:t xml:space="preserve"> — About three dozen universities backed Harvard's court challenge to a $2.2B funding freeze, with the administration also threatening its tax-exempt status and grant-derived patents. The outcome could set precedent for peer institutions, including whether Emory joins future filings. (</w:t>
      </w:r>
      <w:hyperlink r:id="rId13">
        <w:r>
          <w:rPr>
            <w:color w:val="007dba"/>
            <w:u w:val="single"/>
          </w:rPr>
          <w:t>https://www.highereddive.com/news/3-dozen-of-harvards-peers-back-its-court-fight-against-the-trump-administr/826300/</w:t>
        </w:r>
      </w:hyperlink>
      <w:r>
        <w:t>)</w:t>
      </w:r>
    </w:p>
    <w:p>
      <w:pPr>
        <w:pStyle w:val="ListBullet"/>
      </w:pPr>
      <w:r>
        <w:rPr>
          <w:b/>
        </w:rPr>
        <w:t>China sanctions list</w:t>
      </w:r>
      <w:r>
        <w:t xml:space="preserve"> — DoD's July 23 blacklist names 130 institutions, including Fudan and Shanghai Jiao Tong, so review active collaborations and pending partnerships for compliance exposure. (</w:t>
      </w:r>
      <w:hyperlink r:id="rId14">
        <w:r>
          <w:rPr>
            <w:color w:val="007dba"/>
            <w:u w:val="single"/>
          </w:rPr>
          <w:t>https://breakthroughnews.org/2026/07/29/us-sanctions-top-chinese-universities-and-research-institutes-citing-national-security-threat/</w:t>
        </w:r>
      </w:hyperlink>
      <w:r>
        <w:t>)</w:t>
      </w:r>
    </w:p>
    <w:p>
      <w:pPr>
        <w:pStyle w:val="ListBullet"/>
      </w:pPr>
      <w:r>
        <w:rPr>
          <w:b/>
        </w:rPr>
        <w:t>High-risk life sciences policy</w:t>
      </w:r>
      <w:r>
        <w:t xml:space="preserve"> — NIH notice NOT-OD-26-101 establishes USG policy for stopping high-risk life sciences research; oversight, biosafety, and compliance offices should assess implications for affected labs and awards. (</w:t>
      </w:r>
      <w:hyperlink r:id="rId15">
        <w:r>
          <w:rPr>
            <w:color w:val="007dba"/>
            <w:u w:val="single"/>
          </w:rPr>
          <w:t>https://grants.nih.gov/grants/guide/notice-files/NOT-OD-26-101.html</w:t>
        </w:r>
      </w:hyperlink>
      <w:r>
        <w:t>)</w:t>
      </w:r>
    </w:p>
    <w:p>
      <w:r>
        <w:rPr>
          <w:b/>
        </w:rPr>
        <w:t>What to watch:</w:t>
      </w:r>
      <w:r>
        <w:t xml:space="preserve"> Whether the Harvard litigation yields injunctive relief applicable to peers, and how quickly NIH's keyword-driven terminations and DMSP implementation update (NOT-OD-26-100) affect Emory's active awards.</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AHRQ grant terminations</w:t>
      </w:r>
    </w:p>
    <w:p>
      <w:r>
        <w:t>Beginning July 20, 2026, reports emerged that AHRQ had terminated dozens of patient care research grants, with cancellations initially reported at $109 million and subsequently escalating to over $131 million across 28 states. The freeze has reportedly halted patient safety research nationwide and raised broader fears about the future of U.S. health services research. For the research office, this represents a significant and growing threat to funding for healthcare quality and patient safety work spanning multiple states.</w:t>
      </w:r>
    </w:p>
    <w:p>
      <w:r>
        <w:rPr>
          <w:b/>
          <w:color w:val="012169"/>
        </w:rPr>
        <w:t>Keyword-based research grant terminations</w:t>
      </w:r>
    </w:p>
    <w:p>
      <w:r>
        <w:t>The White House has admitted to using keyword-based lists to terminate billions of dollars' worth of California research grants, with subsequent reporting exposing the contents of these federal keyword lists. The revelations show that grant cancellations were driven by automated or list-based screening rather than case-by-case review, raising significant concerns for institutions whose funding may have been flagged by targeted terms.</w:t>
      </w:r>
    </w:p>
    <w:p>
      <w:r>
        <w:rPr>
          <w:b/>
          <w:color w:val="012169"/>
        </w:rPr>
        <w:t>Harvard research funding freeze and legal challenge</w:t>
      </w:r>
    </w:p>
    <w:p>
      <w:r>
        <w:t>As of July 27, 2026, three dozen of Harvard's peer institutions have filed to back its court fight against the Trump administration over its research funding freeze. The case remains in litigation, and the broad support signals that other universities view the outcome as consequential for the wider research community.</w:t>
      </w:r>
    </w:p>
    <w:p>
      <w:r>
        <w:rPr>
          <w:b/>
          <w:color w:val="012169"/>
        </w:rPr>
        <w:t>USG policy for stopping high-risk life sciences research</w:t>
      </w:r>
    </w:p>
    <w:p>
      <w:r>
        <w:t>On July 28, 2026, the U.S. Government issued a policy for stopping high-risk life sciences research. The policy currently stands as newly announced, and its implementation details and scope of application remain to be clarified. For the research office, this signals a need to review affected life sciences projects for compliance with the new federal requirements.</w:t>
      </w:r>
    </w:p>
    <w:p>
      <w:r>
        <w:rPr>
          <w:b/>
          <w:color w:val="012169"/>
        </w:rPr>
        <w:t>NIH grant terminations under Trump priorities</w:t>
      </w:r>
    </w:p>
    <w:p>
      <w:r>
        <w:t>In late July 2026, NIH resumed terminating grants disfavored by the Trump administration, while new funding policies and spending delays sharply reduced the odds of winning NIH awards. The situation signals both active cancellations and a tightening funding environment that could substantially affect the office's ability to secure and retain NIH support.</w:t>
      </w:r>
    </w:p>
    <w:p>
      <w:r>
        <w:rPr>
          <w:b/>
          <w:color w:val="012169"/>
        </w:rPr>
        <w:t>Pentagon blacklist of foreign universities</w:t>
      </w:r>
    </w:p>
    <w:p>
      <w:r>
        <w:t>In late July 2026, the Pentagon expanded its blacklist to include China's top civilian universities and research institutes, with sanctions justified on national security grounds. This escalation could complicate or restrict research collaborations and partnerships involving the named Chinese institutions.</w:t>
      </w:r>
    </w:p>
    <w:p>
      <w:pPr>
        <w:pStyle w:val="Heading1"/>
      </w:pPr>
      <w:r>
        <w:rPr>
          <w:color w:val="012169"/>
        </w:rPr>
        <w:t>This week's items</w:t>
      </w:r>
    </w:p>
    <w:p>
      <w:r>
        <w:rPr>
          <w:b/>
          <w:color w:val="6D6E71"/>
        </w:rPr>
        <w:t>2026-07-27</w:t>
      </w:r>
    </w:p>
    <w:p>
      <w:pPr>
        <w:pStyle w:val="ListBullet"/>
      </w:pPr>
      <w:r>
        <w:rPr>
          <w:b/>
        </w:rPr>
        <w:t xml:space="preserve">[MODERATE] </w:t>
      </w:r>
      <w:hyperlink r:id="rId16">
        <w:r>
          <w:rPr>
            <w:color w:val="007dba"/>
            <w:u w:val="single"/>
          </w:rPr>
          <w:t>NIH Is Replacing Letters of Support with Letters of Collaboration to Reduce Administrative Burden</w:t>
        </w:r>
      </w:hyperlink>
      <w:r>
        <w:rPr>
          <w:color w:val="6D6E71"/>
        </w:rPr>
        <w:t xml:space="preserve">  (National Institutes of Health)</w:t>
      </w:r>
    </w:p>
    <w:p>
      <w:pPr>
        <w:pStyle w:val="ListBullet"/>
      </w:pPr>
      <w:r>
        <w:rPr>
          <w:b/>
        </w:rPr>
        <w:t xml:space="preserve">[MODERATE] </w:t>
      </w:r>
      <w:hyperlink r:id="rId17">
        <w:r>
          <w:rPr>
            <w:color w:val="007dba"/>
            <w:u w:val="single"/>
          </w:rPr>
          <w:t>NIH Is Replacing Letters of Support with Letters of Collaboration to Reduce Administrative Burden</w:t>
        </w:r>
      </w:hyperlink>
      <w:r>
        <w:rPr>
          <w:color w:val="6D6E71"/>
        </w:rPr>
        <w:t xml:space="preserve">  (National Institutes of Health)</w:t>
      </w:r>
    </w:p>
    <w:p>
      <w:pPr>
        <w:pStyle w:val="ListBullet"/>
      </w:pPr>
      <w:r>
        <w:rPr>
          <w:b/>
        </w:rPr>
        <w:t xml:space="preserve">[press] </w:t>
      </w:r>
      <w:hyperlink r:id="rId9">
        <w:r>
          <w:rPr>
            <w:color w:val="007dba"/>
            <w:u w:val="single"/>
          </w:rPr>
          <w:t>NIH is again terminating grants that the Trump administration dislikes</w:t>
        </w:r>
      </w:hyperlink>
      <w:r>
        <w:rPr>
          <w:color w:val="6D6E71"/>
        </w:rPr>
        <w:t xml:space="preserve">  (Science)</w:t>
      </w:r>
    </w:p>
    <w:p>
      <w:pPr>
        <w:pStyle w:val="ListBullet"/>
      </w:pPr>
      <w:r>
        <w:rPr>
          <w:b/>
        </w:rPr>
        <w:t xml:space="preserve">[press] </w:t>
      </w:r>
      <w:hyperlink r:id="rId11">
        <w:r>
          <w:rPr>
            <w:color w:val="007dba"/>
            <w:u w:val="single"/>
          </w:rPr>
          <w:t>Inside the federal keyword lists that canceled billions in research funding</w:t>
        </w:r>
      </w:hyperlink>
      <w:r>
        <w:rPr>
          <w:color w:val="6D6E71"/>
        </w:rPr>
        <w:t xml:space="preserve">  (Higher Ed Dive)</w:t>
      </w:r>
    </w:p>
    <w:p>
      <w:pPr>
        <w:pStyle w:val="ListBullet"/>
      </w:pPr>
      <w:r>
        <w:rPr>
          <w:b/>
        </w:rPr>
        <w:t xml:space="preserve">[press] </w:t>
      </w:r>
      <w:hyperlink r:id="rId18">
        <w:r>
          <w:rPr>
            <w:color w:val="007dba"/>
            <w:u w:val="single"/>
          </w:rPr>
          <w:t>White House rolls out AI funding — and signals a new era for US science</w:t>
        </w:r>
      </w:hyperlink>
      <w:r>
        <w:rPr>
          <w:color w:val="6D6E71"/>
        </w:rPr>
        <w:t xml:space="preserve">  (Nature)</w:t>
      </w:r>
    </w:p>
    <w:p>
      <w:r>
        <w:rPr>
          <w:b/>
          <w:color w:val="6D6E71"/>
        </w:rPr>
        <w:t>2026-07-28</w:t>
      </w:r>
    </w:p>
    <w:p>
      <w:pPr>
        <w:pStyle w:val="ListBullet"/>
      </w:pPr>
      <w:r>
        <w:rPr>
          <w:b/>
        </w:rPr>
        <w:t xml:space="preserve">[HIGH] </w:t>
      </w:r>
      <w:hyperlink r:id="rId15">
        <w:r>
          <w:rPr>
            <w:color w:val="007dba"/>
            <w:u w:val="single"/>
          </w:rPr>
          <w:t>USG Policy for Stopping High-Risk Life Sciences Research</w:t>
        </w:r>
      </w:hyperlink>
      <w:r>
        <w:rPr>
          <w:color w:val="6D6E71"/>
        </w:rPr>
        <w:t xml:space="preserve">  (National Institutes of Health)</w:t>
      </w:r>
    </w:p>
    <w:p>
      <w:pPr>
        <w:pStyle w:val="ListBullet"/>
      </w:pPr>
      <w:r>
        <w:rPr>
          <w:b/>
        </w:rPr>
        <w:t xml:space="preserve">[HIGH] </w:t>
      </w:r>
      <w:hyperlink r:id="rId19">
        <w:r>
          <w:rPr>
            <w:color w:val="007dba"/>
            <w:u w:val="single"/>
          </w:rPr>
          <w:t>USG Policy for Stopping High-Risk Life Sciences Research</w:t>
        </w:r>
      </w:hyperlink>
      <w:r>
        <w:rPr>
          <w:color w:val="6D6E71"/>
        </w:rPr>
        <w:t xml:space="preserve">  (National Institutes of Health)</w:t>
      </w:r>
    </w:p>
    <w:p>
      <w:pPr>
        <w:pStyle w:val="ListBullet"/>
      </w:pPr>
      <w:r>
        <w:rPr>
          <w:b/>
        </w:rPr>
        <w:t xml:space="preserve">[MODERATE] </w:t>
      </w:r>
      <w:hyperlink r:id="rId20">
        <w:r>
          <w:rPr>
            <w:color w:val="007dba"/>
            <w:u w:val="single"/>
          </w:rPr>
          <w:t>Cancer Clinical Trial Eligibility Criteria: Laboratory Values; Guidance for Industry, Institutional Review Boards, and Clinical Investigators; Availability</w:t>
        </w:r>
      </w:hyperlink>
      <w:r>
        <w:rPr>
          <w:color w:val="6D6E71"/>
        </w:rPr>
        <w:t xml:space="preserve">  (Health and Human Services Department)</w:t>
      </w:r>
    </w:p>
    <w:p>
      <w:pPr>
        <w:pStyle w:val="ListBullet"/>
      </w:pPr>
      <w:r>
        <w:rPr>
          <w:b/>
        </w:rPr>
        <w:t xml:space="preserve">[MODERATE] </w:t>
      </w:r>
      <w:hyperlink r:id="rId21">
        <w:r>
          <w:rPr>
            <w:color w:val="007dba"/>
            <w:u w:val="single"/>
          </w:rPr>
          <w:t>Cancer Clinical Trial Eligibility Criteria: Washout Periods and Concomitant Medications; Guidance for Industry, Institutional Review Boards, and Clinical Investigators; Availability</w:t>
        </w:r>
      </w:hyperlink>
      <w:r>
        <w:rPr>
          <w:color w:val="6D6E71"/>
        </w:rPr>
        <w:t xml:space="preserve">  (Health and Human Services Department)</w:t>
      </w:r>
    </w:p>
    <w:p>
      <w:pPr>
        <w:pStyle w:val="ListBullet"/>
      </w:pPr>
      <w:r>
        <w:rPr>
          <w:b/>
        </w:rPr>
        <w:t xml:space="preserve">[MODERATE] </w:t>
      </w:r>
      <w:hyperlink r:id="rId22">
        <w:r>
          <w:rPr>
            <w:color w:val="007dba"/>
            <w:u w:val="single"/>
          </w:rPr>
          <w:t>Cancer Clinical Trial Eligibility Criteria: Performance Status; Guidance for Industry, Institutional Review Boards, and Clinical Investigators; Availability</w:t>
        </w:r>
      </w:hyperlink>
      <w:r>
        <w:rPr>
          <w:color w:val="6D6E71"/>
        </w:rPr>
        <w:t xml:space="preserve">  (Health and Human Services Department)</w:t>
      </w:r>
    </w:p>
    <w:p>
      <w:r>
        <w:rPr>
          <w:b/>
          <w:color w:val="6D6E71"/>
        </w:rPr>
        <w:t>2026-07-29</w:t>
      </w:r>
    </w:p>
    <w:p>
      <w:pPr>
        <w:pStyle w:val="ListBullet"/>
      </w:pPr>
      <w:r>
        <w:rPr>
          <w:b/>
        </w:rPr>
        <w:t xml:space="preserve">[HIGH] </w:t>
      </w:r>
      <w:hyperlink r:id="rId23">
        <w:r>
          <w:rPr>
            <w:color w:val="007dba"/>
            <w:u w:val="single"/>
          </w:rPr>
          <w:t>Implementation Update: NIH Data Management and Sharing Plan Requirements</w:t>
        </w:r>
      </w:hyperlink>
      <w:r>
        <w:rPr>
          <w:color w:val="6D6E71"/>
        </w:rPr>
        <w:t xml:space="preserve">  (National Institutes of Health)</w:t>
      </w:r>
    </w:p>
    <w:p>
      <w:pPr>
        <w:pStyle w:val="ListBullet"/>
      </w:pPr>
      <w:r>
        <w:rPr>
          <w:b/>
        </w:rPr>
        <w:t xml:space="preserve">[HIGH] </w:t>
      </w:r>
      <w:hyperlink r:id="rId24">
        <w:r>
          <w:rPr>
            <w:color w:val="007dba"/>
            <w:u w:val="single"/>
          </w:rPr>
          <w:t>Implementation Update: NIH Data Management and Sharing Plan Requirements</w:t>
        </w:r>
      </w:hyperlink>
      <w:r>
        <w:rPr>
          <w:color w:val="6D6E71"/>
        </w:rPr>
        <w:t xml:space="preserve">  (National Institutes of Health)</w:t>
      </w:r>
    </w:p>
    <w:p>
      <w:r>
        <w:rPr>
          <w:b/>
          <w:color w:val="6D6E71"/>
        </w:rPr>
        <w:t>2026-07-30</w:t>
      </w:r>
    </w:p>
    <w:p>
      <w:pPr>
        <w:pStyle w:val="ListBullet"/>
      </w:pPr>
      <w:r>
        <w:rPr>
          <w:b/>
        </w:rPr>
        <w:t xml:space="preserve">[press] </w:t>
      </w:r>
      <w:hyperlink r:id="rId13">
        <w:r>
          <w:rPr>
            <w:color w:val="007dba"/>
            <w:u w:val="single"/>
          </w:rPr>
          <w:t>3 dozen of Harvard's peers back its court fight against the Trump administration</w:t>
        </w:r>
      </w:hyperlink>
      <w:r>
        <w:rPr>
          <w:color w:val="6D6E71"/>
        </w:rPr>
        <w:t xml:space="preserve">  (Higher Ed Dive)</w:t>
      </w:r>
    </w:p>
    <w:p>
      <w:pPr>
        <w:pStyle w:val="ListBullet"/>
      </w:pPr>
      <w:r>
        <w:rPr>
          <w:b/>
        </w:rPr>
        <w:t xml:space="preserve">[press] </w:t>
      </w:r>
      <w:hyperlink r:id="rId25">
        <w:r>
          <w:rPr>
            <w:color w:val="007dba"/>
            <w:u w:val="single"/>
          </w:rPr>
          <w:t>Group Says AHRQ Grant Cancellations Top $131M Across 28 States</w:t>
        </w:r>
      </w:hyperlink>
      <w:r>
        <w:rPr>
          <w:color w:val="6D6E71"/>
        </w:rPr>
        <w:t xml:space="preserve">  (Inside Higher Ed)</w:t>
      </w:r>
    </w:p>
    <w:p>
      <w:pPr>
        <w:pStyle w:val="ListBullet"/>
      </w:pPr>
      <w:r>
        <w:rPr>
          <w:b/>
        </w:rPr>
        <w:t xml:space="preserve">[press] </w:t>
      </w:r>
      <w:hyperlink r:id="rId26">
        <w:r>
          <w:rPr>
            <w:color w:val="007dba"/>
            <w:u w:val="single"/>
          </w:rPr>
          <w:t>Trump administration has quietly throttled an agency devoted to the safety of American healthcare</w:t>
        </w:r>
      </w:hyperlink>
      <w:r>
        <w:rPr>
          <w:color w:val="6D6E71"/>
        </w:rPr>
        <w:t xml:space="preserve">  (CBS News)</w:t>
      </w:r>
    </w:p>
    <w:p>
      <w:pPr>
        <w:pStyle w:val="ListBullet"/>
      </w:pPr>
      <w:r>
        <w:rPr>
          <w:b/>
        </w:rPr>
        <w:t xml:space="preserve">[press] </w:t>
      </w:r>
      <w:hyperlink r:id="rId27">
        <w:r>
          <w:rPr>
            <w:color w:val="007dba"/>
            <w:u w:val="single"/>
          </w:rPr>
          <w:t>AHRQ Grant Freeze Halts Patient Safety Research Nationwide</w:t>
        </w:r>
      </w:hyperlink>
      <w:r>
        <w:rPr>
          <w:color w:val="6D6E71"/>
        </w:rPr>
        <w:t xml:space="preserve">  (AJMC (American Journal of Managed Care))</w:t>
      </w:r>
    </w:p>
    <w:p>
      <w:pPr>
        <w:pStyle w:val="ListBullet"/>
      </w:pPr>
      <w:r>
        <w:rPr>
          <w:b/>
        </w:rPr>
        <w:t xml:space="preserve">[press] </w:t>
      </w:r>
      <w:hyperlink r:id="rId28">
        <w:r>
          <w:rPr>
            <w:color w:val="007dba"/>
            <w:u w:val="single"/>
          </w:rPr>
          <w:t>$131M in AHRQ grant cancellations by state</w:t>
        </w:r>
      </w:hyperlink>
      <w:r>
        <w:rPr>
          <w:color w:val="6D6E71"/>
        </w:rPr>
        <w:t xml:space="preserve">  (Becker's Hospital Review)</w:t>
      </w:r>
    </w:p>
    <w:p>
      <w:r>
        <w:rPr>
          <w:b/>
          <w:color w:val="6D6E71"/>
        </w:rPr>
        <w:t>2026-07-31</w:t>
      </w:r>
    </w:p>
    <w:p>
      <w:pPr>
        <w:pStyle w:val="ListBullet"/>
      </w:pPr>
      <w:r>
        <w:rPr>
          <w:b/>
        </w:rPr>
        <w:t xml:space="preserve">[press] </w:t>
      </w:r>
      <w:hyperlink r:id="rId10">
        <w:r>
          <w:rPr>
            <w:color w:val="007dba"/>
            <w:u w:val="single"/>
          </w:rPr>
          <w:t>AHRQ Grant Cancellations Escalate Fears Over Future of U.S. Health Services Research</w:t>
        </w:r>
      </w:hyperlink>
      <w:r>
        <w:rPr>
          <w:color w:val="6D6E71"/>
        </w:rPr>
        <w:t xml:space="preserve">  (Healthcare Innovation (HCI Innovation Group))</w:t>
      </w:r>
    </w:p>
    <w:p>
      <w:pPr>
        <w:pStyle w:val="ListBullet"/>
      </w:pPr>
      <w:r>
        <w:rPr>
          <w:b/>
        </w:rPr>
        <w:t xml:space="preserve">[press] </w:t>
      </w:r>
      <w:hyperlink r:id="rId12">
        <w:r>
          <w:rPr>
            <w:color w:val="007dba"/>
            <w:u w:val="single"/>
          </w:rPr>
          <w:t>Odds of winning NIH grants plummet as new funding policy and spending delays bite</w:t>
        </w:r>
      </w:hyperlink>
      <w:r>
        <w:rPr>
          <w:color w:val="6D6E71"/>
        </w:rPr>
        <w:t xml:space="preserve">  (Science (AAAS))</w:t>
      </w:r>
    </w:p>
    <w:p>
      <w:pPr>
        <w:pStyle w:val="ListBullet"/>
      </w:pPr>
      <w:r>
        <w:rPr>
          <w:b/>
        </w:rPr>
        <w:t xml:space="preserve">[press] </w:t>
      </w:r>
      <w:hyperlink r:id="rId14">
        <w:r>
          <w:rPr>
            <w:color w:val="007dba"/>
            <w:u w:val="single"/>
          </w:rPr>
          <w:t>US sanctions top Chinese universities and research institutes, citing national security threat</w:t>
        </w:r>
      </w:hyperlink>
      <w:r>
        <w:rPr>
          <w:color w:val="6D6E71"/>
        </w:rPr>
        <w:t xml:space="preserve">  (Breakthrough News)</w:t>
      </w:r>
    </w:p>
    <w:p>
      <w:pPr>
        <w:pStyle w:val="ListBullet"/>
      </w:pPr>
      <w:r>
        <w:rPr>
          <w:b/>
        </w:rPr>
        <w:t xml:space="preserve">[press] </w:t>
      </w:r>
      <w:hyperlink r:id="rId29">
        <w:r>
          <w:rPr>
            <w:color w:val="007dba"/>
            <w:u w:val="single"/>
          </w:rPr>
          <w:t>$47 million program offers hybrid university-industry Ph.D. training</w:t>
        </w:r>
      </w:hyperlink>
      <w:r>
        <w:rPr>
          <w:color w:val="6D6E71"/>
        </w:rPr>
        <w:t xml:space="preserve">  (STAT News)</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org/content/article/nih-again-terminating-grants-trump-administration-dislikes" TargetMode="External"/><Relationship Id="rId10" Type="http://schemas.openxmlformats.org/officeDocument/2006/relationships/hyperlink" Target="https://www.hcinnovationgroup.com/policy-value-based-care/article/55394555/ahrq-grant-cancellations-escalate-fears-over-future-of-us-health-services-research" TargetMode="External"/><Relationship Id="rId11" Type="http://schemas.openxmlformats.org/officeDocument/2006/relationships/hyperlink" Target="https://www.highereddive.com/news/inside-the-federal-keyword-lists-that-canceled-billions-in-research-funding/826203/" TargetMode="External"/><Relationship Id="rId12" Type="http://schemas.openxmlformats.org/officeDocument/2006/relationships/hyperlink" Target="https://www.science.org/content/article/odds-winning-nih-grants-plummet-new-funding-policy-and-spending-delays-bite" TargetMode="External"/><Relationship Id="rId13" Type="http://schemas.openxmlformats.org/officeDocument/2006/relationships/hyperlink" Target="https://www.highereddive.com/news/3-dozen-of-harvards-peers-back-its-court-fight-against-the-trump-administr/826300/" TargetMode="External"/><Relationship Id="rId14" Type="http://schemas.openxmlformats.org/officeDocument/2006/relationships/hyperlink" Target="https://breakthroughnews.org/2026/07/29/us-sanctions-top-chinese-universities-and-research-institutes-citing-national-security-threat/" TargetMode="External"/><Relationship Id="rId15" Type="http://schemas.openxmlformats.org/officeDocument/2006/relationships/hyperlink" Target="https://grants.nih.gov/grants/guide/notice-files/NOT-OD-26-101.html" TargetMode="External"/><Relationship Id="rId16" Type="http://schemas.openxmlformats.org/officeDocument/2006/relationships/hyperlink" Target="https://grants.nih.gov/grants/guide/notice-files/NOT-OD-26-094.html" TargetMode="External"/><Relationship Id="rId17" Type="http://schemas.openxmlformats.org/officeDocument/2006/relationships/hyperlink" Target="http://grants.nih.gov/grants/guide/notice-files/NOT-OD-26-094.html" TargetMode="External"/><Relationship Id="rId18" Type="http://schemas.openxmlformats.org/officeDocument/2006/relationships/hyperlink" Target="https://www.nature.com/articles/d41586-026-02332-8" TargetMode="External"/><Relationship Id="rId19" Type="http://schemas.openxmlformats.org/officeDocument/2006/relationships/hyperlink" Target="http://grants.nih.gov/grants/guide/notice-files/NOT-OD-26-101.html" TargetMode="External"/><Relationship Id="rId20" Type="http://schemas.openxmlformats.org/officeDocument/2006/relationships/hyperlink" Target="https://www.federalregister.gov/documents/2026/07/28/2026-15187/cancer-clinical-trial-eligibility-criteria-laboratory-values-guidance-for-industry-institutional" TargetMode="External"/><Relationship Id="rId21" Type="http://schemas.openxmlformats.org/officeDocument/2006/relationships/hyperlink" Target="https://www.federalregister.gov/documents/2026/07/28/2026-15186/cancer-clinical-trial-eligibility-criteria-washout-periods-and-concomitant-medications-guidance-for" TargetMode="External"/><Relationship Id="rId22" Type="http://schemas.openxmlformats.org/officeDocument/2006/relationships/hyperlink" Target="https://www.federalregister.gov/documents/2026/07/28/2026-15185/cancer-clinical-trial-eligibility-criteria-performance-status-guidance-for-industry-institutional" TargetMode="External"/><Relationship Id="rId23" Type="http://schemas.openxmlformats.org/officeDocument/2006/relationships/hyperlink" Target="https://grants.nih.gov/grants/guide/notice-files/NOT-OD-26-100.html" TargetMode="External"/><Relationship Id="rId24" Type="http://schemas.openxmlformats.org/officeDocument/2006/relationships/hyperlink" Target="http://grants.nih.gov/grants/guide/notice-files/NOT-OD-26-100.html" TargetMode="External"/><Relationship Id="rId25" Type="http://schemas.openxmlformats.org/officeDocument/2006/relationships/hyperlink" Target="https://www.insidehighered.com/news/quick-takes/2026/07/29/group-says-canceled-ahrq-grants-top-131m-across-28-states" TargetMode="External"/><Relationship Id="rId26" Type="http://schemas.openxmlformats.org/officeDocument/2006/relationships/hyperlink" Target="https://www.cbsnews.com/news/trump-healthcare-safety-agency-ahrq/" TargetMode="External"/><Relationship Id="rId27" Type="http://schemas.openxmlformats.org/officeDocument/2006/relationships/hyperlink" Target="https://www.ajmc.com/view/ahrq-grant-freeze-halts-patient-safety-research-nationwide" TargetMode="External"/><Relationship Id="rId28" Type="http://schemas.openxmlformats.org/officeDocument/2006/relationships/hyperlink" Target="https://www.beckershospitalreview.com/quality/patient-safety-outcomes/131m-in-ahrq-grant-cancellations-by-state/" TargetMode="External"/><Relationship Id="rId29" Type="http://schemas.openxmlformats.org/officeDocument/2006/relationships/hyperlink" Target="https://www.statnews.com/2026/07/29/hybrid-academia-industry-phd-program-announced-ui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