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2026-09-12 to 2026-09-18 · Office of the Senior Vice President for Research</w:t>
      </w:r>
    </w:p>
    <w:p>
      <w:pPr>
        <w:pStyle w:val="Heading1"/>
      </w:pPr>
      <w:r>
        <w:rPr>
          <w:color w:val="012169"/>
        </w:rPr>
        <w:t>Weekly summary — ready to copy into email</w:t>
      </w:r>
    </w:p>
    <w:p>
      <w:r>
        <w:rPr>
          <w:b/>
        </w:rPr>
        <w:t>Bottom line:</w:t>
      </w:r>
      <w:r>
        <w:t xml:space="preserve"> This week centered on mounting pressure across NIH and NSF funding practices, with litigation and a proposed NSF retreat from investigator-driven grants raising direct risks to our submissions and training pipelines. NIH also advanced a draft biosafety policy that would replace the longstanding NIH Guidelines, and ongoing AHRQ grant terminations remain the sharpest near-term exposure. Several developments are open for public comment, giving us windows to weigh in.</w:t>
      </w:r>
    </w:p>
    <w:p>
      <w:r>
        <w:rPr>
          <w:b/>
        </w:rPr>
        <w:t>Top developments:</w:t>
      </w:r>
    </w:p>
    <w:p>
      <w:pPr>
        <w:pStyle w:val="ListBullet"/>
      </w:pPr>
      <w:r>
        <w:rPr>
          <w:b/>
        </w:rPr>
        <w:t>NIH keyword screening lawsuit</w:t>
      </w:r>
      <w:r>
        <w:t xml:space="preserve"> — An ACLU-backed class action alleges NIH unconstitutionally screens applications for disfavored terms such as DEI, gender identity, and climate even after peer review, and seeks to halt the practice. This bears directly on the fate of our pending and future submissions and warrants close tracking of the case's progress (</w:t>
      </w:r>
      <w:hyperlink r:id="rId9">
        <w:r>
          <w:rPr>
            <w:color w:val="007dba"/>
            <w:u w:val="single"/>
          </w:rPr>
          <w:t>https://www.statnews.com/2026/09/16/lawsuit-argues-nih-violated-researcher-first-amendment-rights-aclu/</w:t>
        </w:r>
      </w:hyperlink>
      <w:r>
        <w:t>).</w:t>
      </w:r>
    </w:p>
    <w:p>
      <w:pPr>
        <w:pStyle w:val="ListBullet"/>
      </w:pPr>
      <w:r>
        <w:rPr>
          <w:b/>
        </w:rPr>
        <w:t>NSF 'golden age' memo</w:t>
      </w:r>
      <w:r>
        <w:t xml:space="preserve"> — A Sept. 10 NSF memo signals a retreat from funding individual investigator-driven grants and a rethink of graduate and postdoc training support. If implemented, this threatens our labs' training pipelines and could reshape how our researchers structure NSF proposals (</w:t>
      </w:r>
      <w:hyperlink r:id="rId10">
        <w:r>
          <w:rPr>
            <w:color w:val="007dba"/>
            <w:u w:val="single"/>
          </w:rPr>
          <w:t>https://www.science.org/content/article/nsf-memo-implementing-trump-s-golden-age-science-unsettles-researchers</w:t>
        </w:r>
      </w:hyperlink>
      <w:r>
        <w:t>).</w:t>
      </w:r>
    </w:p>
    <w:p>
      <w:pPr>
        <w:pStyle w:val="ListBullet"/>
      </w:pPr>
      <w:r>
        <w:rPr>
          <w:b/>
        </w:rPr>
        <w:t>AHRQ grant terminations</w:t>
      </w:r>
      <w:r>
        <w:t xml:space="preserve"> — Senators McCormick and Fetterman are pressing HHS to justify the summer cancellation of 150+ peer-reviewed health research grants affecting Pitt and CHOP. The episode signals continued instability for federally funded health portfolios and remains our sharpest current exposure (</w:t>
      </w:r>
      <w:hyperlink r:id="rId11">
        <w:r>
          <w:rPr>
            <w:color w:val="007dba"/>
            <w:u w:val="single"/>
          </w:rPr>
          <w:t>https://radio.wpsu.org/2026-09-15/mccormick-fetterman-question-termination-of-more-than-150-health-research-grants</w:t>
        </w:r>
      </w:hyperlink>
      <w:r>
        <w:t>).</w:t>
      </w:r>
    </w:p>
    <w:p>
      <w:pPr>
        <w:pStyle w:val="ListBullet"/>
      </w:pPr>
      <w:r>
        <w:rPr>
          <w:b/>
        </w:rPr>
        <w:t>NIH draft biosafety policy</w:t>
      </w:r>
      <w:r>
        <w:t xml:space="preserve"> — NIH released a draft policy that, once finalized, would supersede the existing NIH Guidelines governing recombinant/synthetic nucleic acid research, and public comment is open now. Affected labs and our biosafety committees should review the draft and submit input before it reshapes compliance requirements (</w:t>
      </w:r>
      <w:hyperlink r:id="rId12">
        <w:r>
          <w:rPr>
            <w:color w:val="007dba"/>
            <w:u w:val="single"/>
          </w:rPr>
          <w:t>https://www.federalregister.gov/documents/2026/09/14/2026-18646/draft-nih-biosafety-policy-for-research-involving-biohazards</w:t>
        </w:r>
      </w:hyperlink>
      <w:r>
        <w:t>).</w:t>
      </w:r>
    </w:p>
    <w:p>
      <w:pPr>
        <w:pStyle w:val="ListBullet"/>
      </w:pPr>
      <w:r>
        <w:rPr>
          <w:b/>
        </w:rPr>
        <w:t>NSF metascience office</w:t>
      </w:r>
      <w:r>
        <w:t xml:space="preserve"> — Acting Director Brian Stone announced a proposed NSF metascience office, drawing expert concern over threats to peer review and potential political interference in grantmaking. The initiative is early and contested, but its trajectory could affect future NSF funding practices (</w:t>
      </w:r>
      <w:hyperlink r:id="rId13">
        <w:r>
          <w:rPr>
            <w:color w:val="007dba"/>
            <w:u w:val="single"/>
          </w:rPr>
          <w:t>https://www.aip.org/fyi/researchers-skeptical-of-nsf-metascience-plan</w:t>
        </w:r>
      </w:hyperlink>
      <w:r>
        <w:t>).</w:t>
      </w:r>
    </w:p>
    <w:p>
      <w:r>
        <w:rPr>
          <w:b/>
        </w:rPr>
        <w:t>What to watch:</w:t>
      </w:r>
      <w:r>
        <w:t xml:space="preserve"> Track the NIH keyword-screening litigation and comment deadlines on the draft biosafety policy, and monitor whether the NSF memo and metascience proposal move toward implementation.</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Keyword-based research grant terminations</w:t>
      </w:r>
    </w:p>
    <w:p>
      <w:r>
        <w:t>Starting in July 2026, the White House acknowledged using keyword lists to cancel billions in research grants, including in California, prompting scrutiny of those federal keyword lists. By mid-September 2026, a new lawsuit was filed arguing that NIH violated the First Amendment rights of grant applicants, meaning the terminations are now facing legal challenge.</w:t>
      </w:r>
    </w:p>
    <w:p>
      <w:r>
        <w:rPr>
          <w:b/>
          <w:color w:val="012169"/>
        </w:rPr>
        <w:t>NIH draft biosafety policy for biohazard research</w:t>
      </w:r>
    </w:p>
    <w:p>
      <w:r>
        <w:t>NIH issued a draft Biosafety Policy for Research Involving Biohazards and opened it for public comment on August 19, 2026, with the draft appearing again on September 14, 2026. The policy remains in the draft and comment-gathering stage rather than finalized. Our research office should review the draft and prepare feedback, as any finalized requirements could affect how biohazard research is conducted and overseen here.</w:t>
      </w:r>
    </w:p>
    <w:p>
      <w:r>
        <w:rPr>
          <w:b/>
          <w:color w:val="012169"/>
        </w:rPr>
        <w:t>NIH grant terminations under Trump priorities</w:t>
      </w:r>
    </w:p>
    <w:p>
      <w:r>
        <w:t>Since late July 2026, NIH has resumed terminating grants deemed misaligned with Trump administration priorities, with Director Bhattacharya specifically killing additional health disparities grants and new funding policies and spending delays sharply reducing grant success odds. The terminations have disrupted roughly 1 in 30 clinical trials and affected over 74,000 participants, prompting Senators McCormick and Fetterman to question the cancellation of more than 150 health research grants by mid-September. The saga signals ongoing funding instability and heightened scrutiny that directly threatens active research and trial continuity.</w:t>
      </w:r>
    </w:p>
    <w:p>
      <w:r>
        <w:rPr>
          <w:b/>
          <w:color w:val="012169"/>
        </w:rPr>
        <w:t>NSF metascience office and grantmaking changes</w:t>
      </w:r>
    </w:p>
    <w:p>
      <w:r>
        <w:t>As of September 18, 2026, NSF has proposed a metascience office and associated grantmaking changes, but researchers have publicly expressed skepticism about the plan. The initiative is at an early, contested stage, and its implications for future NSF funding practices remain uncertain.</w:t>
      </w:r>
    </w:p>
    <w:p>
      <w:r>
        <w:rPr>
          <w:b/>
          <w:color w:val="012169"/>
        </w:rPr>
        <w:t>White House science funding overhaul</w:t>
      </w:r>
    </w:p>
    <w:p>
      <w:r>
        <w:t>In late July 2026, the White House unveiled an overhaul of the U.S. science funding system, calling for reduced university research funding, steering money outside academia, prioritizing AI, and giving political appointees more control. The plan drew bipartisan Senate opposition, including from Republicans, and Senate appropriators advanced a stopgap bill to block it, though an NSF memo implementing the changes emerged by mid-September. Researchers, including at Michigan, remain concerned about political control over funding, and the overhaul's fate is contested between the White House and Congress.</w:t>
      </w:r>
    </w:p>
    <w:p>
      <w:pPr>
        <w:pStyle w:val="Heading1"/>
      </w:pPr>
      <w:r>
        <w:rPr>
          <w:color w:val="012169"/>
        </w:rPr>
        <w:t>This week's items</w:t>
      </w:r>
    </w:p>
    <w:p>
      <w:r>
        <w:rPr>
          <w:b/>
          <w:color w:val="6D6E71"/>
        </w:rPr>
        <w:t>2026-09-14</w:t>
      </w:r>
    </w:p>
    <w:p>
      <w:pPr>
        <w:pStyle w:val="ListBullet"/>
      </w:pPr>
      <w:r>
        <w:rPr>
          <w:b/>
        </w:rPr>
        <w:t xml:space="preserve">[HIGH] </w:t>
      </w:r>
      <w:hyperlink r:id="rId12">
        <w:r>
          <w:rPr>
            <w:color w:val="007dba"/>
            <w:u w:val="single"/>
          </w:rPr>
          <w:t>Draft NIH Biosafety Policy for Research Involving Biohazards</w:t>
        </w:r>
      </w:hyperlink>
      <w:r>
        <w:rPr>
          <w:color w:val="6D6E71"/>
        </w:rPr>
        <w:t xml:space="preserve">  (Health and Human Services Department)</w:t>
      </w:r>
    </w:p>
    <w:p>
      <w:r>
        <w:rPr>
          <w:b/>
          <w:color w:val="6D6E71"/>
        </w:rPr>
        <w:t>2026-09-16</w:t>
      </w:r>
    </w:p>
    <w:p>
      <w:pPr>
        <w:pStyle w:val="ListBullet"/>
      </w:pPr>
      <w:r>
        <w:rPr>
          <w:b/>
        </w:rPr>
        <w:t xml:space="preserve">[MODERATE] </w:t>
      </w:r>
      <w:hyperlink r:id="rId14">
        <w:r>
          <w:rPr>
            <w:color w:val="007dba"/>
            <w:u w:val="single"/>
          </w:rPr>
          <w:t>Proposed Collection; 60-Day Comment Request; NIH Intramural Reporting of Research Misconduct (IRRM) Web Form (Office of the Director/Office of Intramural Research)</w:t>
        </w:r>
      </w:hyperlink>
      <w:r>
        <w:rPr>
          <w:color w:val="6D6E71"/>
        </w:rPr>
        <w:t xml:space="preserve">  (Health and Human Services Department)</w:t>
      </w:r>
    </w:p>
    <w:p>
      <w:r>
        <w:rPr>
          <w:b/>
          <w:color w:val="6D6E71"/>
        </w:rPr>
        <w:t>2026-09-17</w:t>
      </w:r>
    </w:p>
    <w:p>
      <w:pPr>
        <w:pStyle w:val="ListBullet"/>
      </w:pPr>
      <w:r>
        <w:rPr>
          <w:b/>
        </w:rPr>
        <w:t xml:space="preserve">[HIGH] </w:t>
      </w:r>
      <w:hyperlink r:id="rId15">
        <w:r>
          <w:rPr>
            <w:color w:val="007dba"/>
            <w:u w:val="single"/>
          </w:rPr>
          <w:t>New lawsuit argues NIH violated First Amendment rights of grant applicants</w:t>
        </w:r>
      </w:hyperlink>
      <w:r>
        <w:rPr>
          <w:color w:val="6D6E71"/>
        </w:rPr>
        <w:t xml:space="preserve">  (STAT News)</w:t>
      </w:r>
    </w:p>
    <w:p>
      <w:pPr>
        <w:pStyle w:val="ListBullet"/>
      </w:pPr>
      <w:r>
        <w:rPr>
          <w:b/>
        </w:rPr>
        <w:t xml:space="preserve">[press] </w:t>
      </w:r>
      <w:hyperlink r:id="rId10">
        <w:r>
          <w:rPr>
            <w:color w:val="007dba"/>
            <w:u w:val="single"/>
          </w:rPr>
          <w:t>NSF memo implementing Trump's 'golden age' of science unsettles researchers</w:t>
        </w:r>
      </w:hyperlink>
      <w:r>
        <w:rPr>
          <w:color w:val="6D6E71"/>
        </w:rPr>
        <w:t xml:space="preserve">  (Science)</w:t>
      </w:r>
    </w:p>
    <w:p>
      <w:pPr>
        <w:pStyle w:val="ListBullet"/>
      </w:pPr>
      <w:r>
        <w:rPr>
          <w:b/>
        </w:rPr>
        <w:t xml:space="preserve">[press] </w:t>
      </w:r>
      <w:hyperlink r:id="rId9">
        <w:r>
          <w:rPr>
            <w:color w:val="007dba"/>
            <w:u w:val="single"/>
          </w:rPr>
          <w:t>New lawsuit argues NIH violated First Amendment rights of grant applicants</w:t>
        </w:r>
      </w:hyperlink>
      <w:r>
        <w:rPr>
          <w:color w:val="6D6E71"/>
        </w:rPr>
        <w:t xml:space="preserve">  (STAT News)</w:t>
      </w:r>
    </w:p>
    <w:p>
      <w:r>
        <w:rPr>
          <w:b/>
          <w:color w:val="6D6E71"/>
        </w:rPr>
        <w:t>2026-09-18</w:t>
      </w:r>
    </w:p>
    <w:p>
      <w:pPr>
        <w:pStyle w:val="ListBullet"/>
      </w:pPr>
      <w:r>
        <w:rPr>
          <w:b/>
        </w:rPr>
        <w:t xml:space="preserve">[MODERATE] </w:t>
      </w:r>
      <w:hyperlink r:id="rId16">
        <w:r>
          <w:rPr>
            <w:color w:val="007dba"/>
            <w:u w:val="single"/>
          </w:rPr>
          <w:t>Federal Acquisition Regulation: Revolutionary FAR Overhaul Parts 8, 12, 13, 15, 38, 44, and 51</w:t>
        </w:r>
      </w:hyperlink>
      <w:r>
        <w:rPr>
          <w:color w:val="6D6E71"/>
        </w:rPr>
        <w:t xml:space="preserve">  (Management and Budget Office)</w:t>
      </w:r>
    </w:p>
    <w:p>
      <w:pPr>
        <w:pStyle w:val="ListBullet"/>
      </w:pPr>
      <w:r>
        <w:rPr>
          <w:b/>
        </w:rPr>
        <w:t xml:space="preserve">[MODERATE] </w:t>
      </w:r>
      <w:hyperlink r:id="rId17">
        <w:r>
          <w:rPr>
            <w:color w:val="007dba"/>
            <w:u w:val="single"/>
          </w:rPr>
          <w:t>Federal Acquisition Regulation: Revolutionary Federal Acquisition Regulation Overhaul Parts 16, 17, and 35</w:t>
        </w:r>
      </w:hyperlink>
      <w:r>
        <w:rPr>
          <w:color w:val="6D6E71"/>
        </w:rPr>
        <w:t xml:space="preserve">  (Management and Budget Office)</w:t>
      </w:r>
    </w:p>
    <w:p>
      <w:pPr>
        <w:pStyle w:val="ListBullet"/>
      </w:pPr>
      <w:r>
        <w:rPr>
          <w:b/>
        </w:rPr>
        <w:t xml:space="preserve">[MODERATE] </w:t>
      </w:r>
      <w:hyperlink r:id="rId18">
        <w:r>
          <w:rPr>
            <w:color w:val="007dba"/>
            <w:u w:val="single"/>
          </w:rPr>
          <w:t>Federal Acquisition Regulation: Revolutionary Federal Acquisition Regulation Overhaul Parts 9, 27, and 47</w:t>
        </w:r>
      </w:hyperlink>
      <w:r>
        <w:rPr>
          <w:color w:val="6D6E71"/>
        </w:rPr>
        <w:t xml:space="preserve">  (Management and Budget Office)</w:t>
      </w:r>
    </w:p>
    <w:p>
      <w:pPr>
        <w:pStyle w:val="ListBullet"/>
      </w:pPr>
      <w:r>
        <w:rPr>
          <w:b/>
        </w:rPr>
        <w:t xml:space="preserve">[MODERATE] </w:t>
      </w:r>
      <w:hyperlink r:id="rId19">
        <w:r>
          <w:rPr>
            <w:color w:val="007dba"/>
            <w:u w:val="single"/>
          </w:rPr>
          <w:t>Federal Acquisition Regulation: Revolutionary Federal Acquisition Regulation Overhaul Parts 14, 28, 36, and 52</w:t>
        </w:r>
      </w:hyperlink>
      <w:r>
        <w:rPr>
          <w:color w:val="6D6E71"/>
        </w:rPr>
        <w:t xml:space="preserve">  (Management and Budget Office)</w:t>
      </w:r>
    </w:p>
    <w:p>
      <w:pPr>
        <w:pStyle w:val="ListBullet"/>
      </w:pPr>
      <w:r>
        <w:rPr>
          <w:b/>
        </w:rPr>
        <w:t xml:space="preserve">[press] </w:t>
      </w:r>
      <w:hyperlink r:id="rId11">
        <w:r>
          <w:rPr>
            <w:color w:val="007dba"/>
            <w:u w:val="single"/>
          </w:rPr>
          <w:t>McCormick, Fetterman question termination of more than 150 health research grants</w:t>
        </w:r>
      </w:hyperlink>
      <w:r>
        <w:rPr>
          <w:color w:val="6D6E71"/>
        </w:rPr>
        <w:t xml:space="preserve">  (WPSU (NPR))</w:t>
      </w:r>
    </w:p>
    <w:p>
      <w:pPr>
        <w:pStyle w:val="ListBullet"/>
      </w:pPr>
      <w:r>
        <w:rPr>
          <w:b/>
        </w:rPr>
        <w:t xml:space="preserve">[press] </w:t>
      </w:r>
      <w:hyperlink r:id="rId13">
        <w:r>
          <w:rPr>
            <w:color w:val="007dba"/>
            <w:u w:val="single"/>
          </w:rPr>
          <w:t>Researchers Skeptical of NSF Metascience Plan</w:t>
        </w:r>
      </w:hyperlink>
      <w:r>
        <w:rPr>
          <w:color w:val="6D6E71"/>
        </w:rPr>
        <w:t xml:space="preserve">  (AIP FYI (Physics Today))</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atnews.com/2026/09/16/lawsuit-argues-nih-violated-researcher-first-amendment-rights-aclu/" TargetMode="External"/><Relationship Id="rId10" Type="http://schemas.openxmlformats.org/officeDocument/2006/relationships/hyperlink" Target="https://www.science.org/content/article/nsf-memo-implementing-trump-s-golden-age-science-unsettles-researchers" TargetMode="External"/><Relationship Id="rId11" Type="http://schemas.openxmlformats.org/officeDocument/2006/relationships/hyperlink" Target="https://radio.wpsu.org/2026-09-15/mccormick-fetterman-question-termination-of-more-than-150-health-research-grants" TargetMode="External"/><Relationship Id="rId12" Type="http://schemas.openxmlformats.org/officeDocument/2006/relationships/hyperlink" Target="https://www.federalregister.gov/documents/2026/09/14/2026-18646/draft-nih-biosafety-policy-for-research-involving-biohazards" TargetMode="External"/><Relationship Id="rId13" Type="http://schemas.openxmlformats.org/officeDocument/2006/relationships/hyperlink" Target="https://www.aip.org/fyi/researchers-skeptical-of-nsf-metascience-plan" TargetMode="External"/><Relationship Id="rId14" Type="http://schemas.openxmlformats.org/officeDocument/2006/relationships/hyperlink" Target="https://www.federalregister.gov/documents/2026/09/16/2026-18937/proposed-collection-60-day-comment-request-nih-intramural-reporting-of-research-misconduct-irrm-web" TargetMode="External"/><Relationship Id="rId15" Type="http://schemas.openxmlformats.org/officeDocument/2006/relationships/hyperlink" Target="https://www.statnews.com/2026/09/16/lawsuit-argues-nih-violated-researcher-first-amendment-rights-aclu/?utm_campaign=rss" TargetMode="External"/><Relationship Id="rId16" Type="http://schemas.openxmlformats.org/officeDocument/2006/relationships/hyperlink" Target="https://www.federalregister.gov/documents/2026/09/18/2026-19162/federal-acquisition-regulation-revolutionary-far-overhaul-parts-8-12-13-15-38-44-and-51" TargetMode="External"/><Relationship Id="rId17" Type="http://schemas.openxmlformats.org/officeDocument/2006/relationships/hyperlink" Target="https://www.federalregister.gov/documents/2026/09/18/2026-19160/federal-acquisition-regulation-revolutionary-federal-acquisition-regulation-overhaul-parts-16-17-and" TargetMode="External"/><Relationship Id="rId18" Type="http://schemas.openxmlformats.org/officeDocument/2006/relationships/hyperlink" Target="https://www.federalregister.gov/documents/2026/09/18/2026-19159/federal-acquisition-regulation-revolutionary-federal-acquisition-regulation-overhaul-parts-9-27-and" TargetMode="External"/><Relationship Id="rId19" Type="http://schemas.openxmlformats.org/officeDocument/2006/relationships/hyperlink" Target="https://www.federalregister.gov/documents/2026/09/18/2026-19158/federal-acquisition-regulation-revolutionary-federal-acquisition-regulation-overhaul-parts-14-28-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