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DOKUMEN IDENTIFIKASI KEBUTUHAN DAN DASAR PEMILIHAN SWAKELOLA</w:t>
      </w:r>
    </w:p>
    <w:p>
      <w:pPr>
        <w:spacing w:before="0" w:after="40" w:line="276" w:lineRule="auto"/>
        <w:jc w:val="center"/>
      </w:pPr>
      <w:r>
        <w:rPr>
          <w:rFonts w:ascii="Arial" w:hAnsi="Arial"/>
          <w:b/>
          <w:sz w:val="22"/>
        </w:rPr>
        <w:t>SERTA PERTIMBANGAN TEKNIS LAINNYA</w:t>
      </w:r>
    </w:p>
    <w:p>
      <w:pPr>
        <w:spacing w:before="0" w:after="40" w:line="276" w:lineRule="auto"/>
        <w:jc w:val="center"/>
      </w:pPr>
      <w:r>
        <w:rPr>
          <w:rFonts w:ascii="Arial" w:hAnsi="Arial"/>
          <w:b/>
          <w:sz w:val="22"/>
        </w:rPr>
        <w:t>ADMINISTRASI KEGIATAN PEMBANGUNAN GEDUNG SPPG PROVINSI RIAU</w:t>
      </w:r>
    </w:p>
    <w:p>
      <w:pPr>
        <w:spacing w:before="0" w:after="200" w:line="276" w:lineRule="auto"/>
        <w:jc w:val="center"/>
      </w:pPr>
      <w:r>
        <w:rPr>
          <w:rFonts w:ascii="Arial" w:hAnsi="Arial"/>
          <w:b/>
          <w:sz w:val="22"/>
        </w:rPr>
        <w:t>SATUAN KERJA PELAKSANAAN PRASANA STRATEGIS RIAU TA 2025</w:t>
      </w:r>
    </w:p>
    <w:p>
      <w:pPr>
        <w:keepNext/>
        <w:spacing w:before="160" w:after="80"/>
        <w:jc w:val="left"/>
      </w:pPr>
      <w:r>
        <w:rPr>
          <w:rFonts w:ascii="Arial" w:hAnsi="Arial"/>
          <w:b/>
          <w:sz w:val="21"/>
        </w:rPr>
        <w:t>I. IDENTITAS KEGIATAN</w:t>
      </w: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3118"/>
        <w:gridCol w:w="3118"/>
        <w:gridCol w:w="3118"/>
      </w:tblGrid>
      <w:tr>
        <w:tc>
          <w:tcPr>
            <w:tcW w:type="dxa" w:w="2721"/>
            <w:tcMar>
              <w:top w:w="45" w:type="dxa"/>
              <w:bottom w:w="45" w:type="dxa"/>
              <w:left w:w="60" w:type="dxa"/>
              <w:right w:w="60" w:type="dxa"/>
            </w:tcMar>
          </w:tcPr>
          <w:p>
            <w:pPr>
              <w:spacing w:before="0" w:after="20" w:line="276" w:lineRule="auto"/>
              <w:jc w:val="left"/>
            </w:pPr>
            <w:r>
              <w:rPr>
                <w:rFonts w:ascii="Arial" w:hAnsi="Arial"/>
                <w:b/>
                <w:sz w:val="20"/>
              </w:rPr>
              <w:t>Kementerian / Lembaga</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Kementerian Pekerjaan Umum</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Unit Eselon I</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Direktorat Jenderal Prasarana Strategis</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Satuan Kerja</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Satuan Kerja Pelaksanaan Prasarana Strategis Riau</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Nama Kegiatan / Paket</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Administrasi Kegiatan Pembangunan Gedung SPPG Provinsi Riau</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Kode Anggaran (MAK)</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06.691285.GM.7717.CBI.001.900.A</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Pagu Anggaran</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Rp 413.000.000,- (APBN Tahun Anggaran 2025)</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Tipe Swakelola</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Swakelola Tipe I</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Jangka Waktu Pelaksanaan</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September s/d Desember 2025 (4 Bulan)</w:t>
            </w:r>
          </w:p>
        </w:tc>
      </w:tr>
      <w:tr>
        <w:tc>
          <w:tcPr>
            <w:tcW w:type="dxa" w:w="2721"/>
            <w:tcMar>
              <w:top w:w="45" w:type="dxa"/>
              <w:bottom w:w="45" w:type="dxa"/>
              <w:left w:w="60" w:type="dxa"/>
              <w:right w:w="60" w:type="dxa"/>
            </w:tcMar>
          </w:tcPr>
          <w:p>
            <w:pPr>
              <w:spacing w:before="0" w:after="20" w:line="276" w:lineRule="auto"/>
              <w:jc w:val="left"/>
            </w:pPr>
            <w:r>
              <w:rPr>
                <w:rFonts w:ascii="Arial" w:hAnsi="Arial"/>
                <w:b/>
                <w:sz w:val="20"/>
              </w:rPr>
              <w:t>Lokasi Kegiatan</w:t>
            </w:r>
          </w:p>
        </w:tc>
        <w:tc>
          <w:tcPr>
            <w:tcW w:type="dxa" w:w="255"/>
            <w:tcMar>
              <w:top w:w="45" w:type="dxa"/>
              <w:bottom w:w="45" w:type="dxa"/>
              <w:left w:w="60" w:type="dxa"/>
              <w:right w:w="60" w:type="dxa"/>
            </w:tcMar>
          </w:tcPr>
          <w:p>
            <w:pPr>
              <w:spacing w:before="0" w:after="20" w:line="276" w:lineRule="auto"/>
              <w:jc w:val="center"/>
            </w:pPr>
            <w:r>
              <w:rPr>
                <w:rFonts w:ascii="Arial" w:hAnsi="Arial"/>
                <w:sz w:val="20"/>
              </w:rPr>
              <w:t>:</w:t>
            </w:r>
          </w:p>
        </w:tc>
        <w:tc>
          <w:tcPr>
            <w:tcW w:type="dxa" w:w="6378"/>
            <w:tcMar>
              <w:top w:w="45" w:type="dxa"/>
              <w:bottom w:w="45" w:type="dxa"/>
              <w:left w:w="60" w:type="dxa"/>
              <w:right w:w="60" w:type="dxa"/>
            </w:tcMar>
          </w:tcPr>
          <w:p>
            <w:pPr>
              <w:spacing w:before="0" w:after="20" w:line="276" w:lineRule="auto"/>
              <w:jc w:val="both"/>
            </w:pPr>
            <w:r>
              <w:rPr>
                <w:rFonts w:ascii="Arial" w:hAnsi="Arial"/>
                <w:sz w:val="20"/>
              </w:rPr>
              <w:t>Provinsi Riau (Pekanbaru, Kampar, Dumai, Siak, dan lokasi terkait)</w:t>
            </w:r>
          </w:p>
        </w:tc>
      </w:tr>
    </w:tbl>
    <w:p>
      <w:pPr>
        <w:spacing w:before="0" w:after="80"/>
      </w:pPr>
    </w:p>
    <w:p>
      <w:pPr>
        <w:keepNext/>
        <w:spacing w:before="160" w:after="80"/>
        <w:jc w:val="left"/>
      </w:pPr>
      <w:r>
        <w:rPr>
          <w:rFonts w:ascii="Arial" w:hAnsi="Arial"/>
          <w:b/>
          <w:sz w:val="21"/>
        </w:rPr>
        <w:t>II. IDENTIFIKASI KEBUTUHAN</w:t>
      </w:r>
    </w:p>
    <w:p>
      <w:pPr>
        <w:spacing w:before="0" w:after="120" w:line="300" w:lineRule="auto"/>
        <w:jc w:val="both"/>
      </w:pPr>
      <w:r>
        <w:rPr>
          <w:rFonts w:ascii="Arial" w:hAnsi="Arial"/>
          <w:b w:val="0"/>
          <w:sz w:val="21"/>
        </w:rPr>
        <w:t>Dalam rangka mendukung percepatan Program Nasional Pembangunan Gedung Satuan Pelayanan Pemenuhan Gizi (SPPG) di Provinsi Riau oleh Kementerian Pekerjaan Umum bersama Badan Gizi Nasional (BGN), diperlukan dukungan administrasi kegiatan, penyiapan dokumen pengadaan/lelang, survei kesiapan lokasi lahan, koordinasi lintas instansi daerah, pendampingan teknis, serta pemantauan dan evaluasi berkala.</w:t>
      </w:r>
    </w:p>
    <w:p>
      <w:pPr>
        <w:spacing w:before="0" w:after="120" w:line="300" w:lineRule="auto"/>
        <w:jc w:val="both"/>
      </w:pPr>
      <w:r>
        <w:rPr>
          <w:rFonts w:ascii="Arial" w:hAnsi="Arial"/>
          <w:b w:val="0"/>
          <w:sz w:val="21"/>
        </w:rPr>
        <w:t>Kebutuhan sumber daya dalam kegiatan ini meliputi penyediaan bahan habis pakai (ATK dan computer supplies) untuk operasional pemberkasan administrasi proyek serta penugasan perjalanan dinas personel teknis dan administrasi ke lokasi pembangunan SPPG.</w:t>
      </w:r>
    </w:p>
    <w:p>
      <w:pPr>
        <w:keepNext/>
        <w:spacing w:before="160" w:after="80"/>
        <w:jc w:val="left"/>
      </w:pPr>
      <w:r>
        <w:rPr>
          <w:rFonts w:ascii="Arial" w:hAnsi="Arial"/>
          <w:b/>
          <w:sz w:val="21"/>
        </w:rPr>
        <w:t>III. DASAR PEMILIHAN METODE SWAKELOLA TIPE I</w:t>
      </w:r>
    </w:p>
    <w:p>
      <w:pPr>
        <w:spacing w:before="0" w:after="120" w:line="300" w:lineRule="auto"/>
        <w:jc w:val="both"/>
      </w:pPr>
      <w:r>
        <w:rPr>
          <w:rFonts w:ascii="Arial" w:hAnsi="Arial"/>
          <w:b w:val="0"/>
          <w:sz w:val="21"/>
        </w:rPr>
        <w:t>Mengacu pada Pasal 18 ayat (4) Peraturan Presiden Nomor 16 Tahun 2018 jo. Peraturan Presiden Nomor 12 Tahun 2021 serta Peraturan LKPP Nomor 3 Tahun 2021 tentang Pedoman Swakelola, kegiatan ini ditetapkan untuk dilaksanakan melalui metode Swakelola Tipe I berdasarkan pertimbangan objektif berikut: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c>
          <w:tcPr>
            <w:tcW w:type="dxa" w:w="425"/>
            <w:tcMar>
              <w:top w:w="40" w:type="dxa"/>
              <w:bottom w:w="40" w:type="dxa"/>
              <w:left w:w="20" w:type="dxa"/>
              <w:right w:w="40" w:type="dxa"/>
            </w:tcMar>
          </w:tcPr>
          <w:p>
            <w:pPr>
              <w:spacing w:before="0" w:after="40" w:line="288" w:lineRule="auto"/>
              <w:jc w:val="left"/>
            </w:pPr>
            <w:r>
              <w:rPr>
                <w:rFonts w:ascii="Arial" w:hAnsi="Arial"/>
                <w:sz w:val="21"/>
              </w:rPr>
              <w:t>1.</w:t>
            </w:r>
          </w:p>
        </w:tc>
        <w:tc>
          <w:tcPr>
            <w:tcW w:type="dxa" w:w="8929"/>
            <w:tcMar>
              <w:top w:w="40" w:type="dxa"/>
              <w:bottom w:w="40" w:type="dxa"/>
              <w:left w:w="20" w:type="dxa"/>
              <w:right w:w="20" w:type="dxa"/>
            </w:tcMar>
          </w:tcPr>
          <w:p>
            <w:pPr>
              <w:spacing w:before="0" w:after="40" w:line="288" w:lineRule="auto"/>
              <w:jc w:val="both"/>
            </w:pPr>
            <w:r>
              <w:rPr>
                <w:rFonts w:ascii="Arial" w:hAnsi="Arial"/>
                <w:b/>
                <w:sz w:val="21"/>
              </w:rPr>
              <w:t>Kesesuaian Tugas dan Fungsi:</w:t>
            </w:r>
            <w:r>
              <w:rPr>
                <w:rFonts w:ascii="Arial" w:hAnsi="Arial"/>
                <w:sz w:val="21"/>
              </w:rPr>
              <w:t xml:space="preserve"> Kegiatan administrasi teknik, penyiapan dokumen lelang, verifikasi kesiapan lahan (Readiness Criteria), serta monitoring dan evaluasi pelaksanaan pembangunan Gedung SPPG merupakan tugas dan fungsi melekat pada Satuan Kerja Pelaksanaan Prasarana Strategis Riau.</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2.</w:t>
            </w:r>
          </w:p>
        </w:tc>
        <w:tc>
          <w:tcPr>
            <w:tcW w:type="dxa" w:w="8929"/>
            <w:tcMar>
              <w:top w:w="40" w:type="dxa"/>
              <w:bottom w:w="40" w:type="dxa"/>
              <w:left w:w="20" w:type="dxa"/>
              <w:right w:w="20" w:type="dxa"/>
            </w:tcMar>
          </w:tcPr>
          <w:p>
            <w:pPr>
              <w:spacing w:before="0" w:after="40" w:line="288" w:lineRule="auto"/>
              <w:jc w:val="both"/>
            </w:pPr>
            <w:r>
              <w:rPr>
                <w:rFonts w:ascii="Arial" w:hAnsi="Arial"/>
                <w:b/>
                <w:sz w:val="21"/>
              </w:rPr>
              <w:t>Ketersediaan Kompetensi SDM Internal:</w:t>
            </w:r>
            <w:r>
              <w:rPr>
                <w:rFonts w:ascii="Arial" w:hAnsi="Arial"/>
                <w:sz w:val="21"/>
              </w:rPr>
              <w:t xml:space="preserve"> Satuan Kerja Pelaksanaan Prasarana Strategis Riau memiliki personel ASN/PPPK dan tenaga teknis/administrasi yang kompeten di bidang tata bangunan, perencanaan teknis, serta pengelolaan administrasi keuangan negara.</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3.</w:t>
            </w:r>
          </w:p>
        </w:tc>
        <w:tc>
          <w:tcPr>
            <w:tcW w:type="dxa" w:w="8929"/>
            <w:tcMar>
              <w:top w:w="40" w:type="dxa"/>
              <w:bottom w:w="40" w:type="dxa"/>
              <w:left w:w="20" w:type="dxa"/>
              <w:right w:w="20" w:type="dxa"/>
            </w:tcMar>
          </w:tcPr>
          <w:p>
            <w:pPr>
              <w:spacing w:before="0" w:after="40" w:line="288" w:lineRule="auto"/>
              <w:jc w:val="both"/>
            </w:pPr>
            <w:r>
              <w:rPr>
                <w:rFonts w:ascii="Arial" w:hAnsi="Arial"/>
                <w:b/>
                <w:sz w:val="21"/>
              </w:rPr>
              <w:t>Efisiensi dan Efektivitas Anggaran:</w:t>
            </w:r>
            <w:r>
              <w:rPr>
                <w:rFonts w:ascii="Arial" w:hAnsi="Arial"/>
                <w:sz w:val="21"/>
              </w:rPr>
              <w:t xml:space="preserve"> Pelaksanaan secara mandiri oleh tim internal tidak membutuhkan biaya keuntungan penyedia jasa (profit margin) maupun biaya overhead pihak ketiga, serta pembayaran dilakukan berdasarkan kebutuhan riil (at cost).</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4.</w:t>
            </w:r>
          </w:p>
        </w:tc>
        <w:tc>
          <w:tcPr>
            <w:tcW w:type="dxa" w:w="8929"/>
            <w:tcMar>
              <w:top w:w="40" w:type="dxa"/>
              <w:bottom w:w="40" w:type="dxa"/>
              <w:left w:w="20" w:type="dxa"/>
              <w:right w:w="20" w:type="dxa"/>
            </w:tcMar>
          </w:tcPr>
          <w:p>
            <w:pPr>
              <w:spacing w:before="0" w:after="40" w:line="288" w:lineRule="auto"/>
              <w:jc w:val="both"/>
            </w:pPr>
            <w:r>
              <w:rPr>
                <w:rFonts w:ascii="Arial" w:hAnsi="Arial"/>
                <w:b/>
                <w:sz w:val="21"/>
              </w:rPr>
              <w:t>Kerahasiaan dan Keamanan Dokumen:</w:t>
            </w:r>
            <w:r>
              <w:rPr>
                <w:rFonts w:ascii="Arial" w:hAnsi="Arial"/>
                <w:sz w:val="21"/>
              </w:rPr>
              <w:t xml:space="preserve"> Proses penyiapan dokumen tender, Harga Perkiraan Sendiri (HPS), dan administrasi kontrak SPPG bersifat rahasia dan strategis sehingga harus dikelola langsung oleh perangkat internal Satuan Kerja.</w:t>
            </w:r>
          </w:p>
        </w:tc>
      </w:tr>
    </w:tbl>
    <w:p>
      <w:pPr>
        <w:spacing w:before="0" w:after="80"/>
      </w:pPr>
    </w:p>
    <w:p>
      <w:pPr>
        <w:keepNext/>
        <w:spacing w:before="160" w:after="80"/>
        <w:jc w:val="left"/>
      </w:pPr>
      <w:r>
        <w:rPr>
          <w:rFonts w:ascii="Arial" w:hAnsi="Arial"/>
          <w:b/>
          <w:sz w:val="21"/>
        </w:rPr>
        <w:t>IV. KESIMPULAN DAN PENETAPAN</w:t>
      </w:r>
    </w:p>
    <w:p>
      <w:pPr>
        <w:spacing w:before="0" w:after="120" w:line="300" w:lineRule="auto"/>
        <w:jc w:val="both"/>
      </w:pPr>
      <w:r>
        <w:rPr>
          <w:rFonts w:ascii="Arial" w:hAnsi="Arial"/>
          <w:b w:val="0"/>
          <w:sz w:val="21"/>
        </w:rPr>
        <w:t>Berdasarkan hasil identifikasi kebutuhan dan analisis teknis di atas, Pejabat Pembuat Komitmen (PPK) bersama Kuasa Pengguna Anggaran (KPA) menetapkan bahwa paket kegiatan Administrasi Kegiatan Pembangunan Gedung SPPG Provinsi Riau Tahun Anggaran 2025 dilaksanakan dengan metode Swakelola Tipe I.</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677"/>
          </w:tcPr>
          <w:p>
            <w:pPr>
              <w:spacing w:before="160" w:line="276" w:lineRule="auto"/>
              <w:jc w:val="left"/>
            </w:pPr>
            <w:r>
              <w:rPr>
                <w:rFonts w:ascii="Arial" w:hAnsi="Arial"/>
                <w:sz w:val="21"/>
              </w:rPr>
              <w:t>Mengetahui / Menyetujui,</w:t>
              <w:br/>
            </w:r>
            <w:r>
              <w:rPr>
                <w:rFonts w:ascii="Arial" w:hAnsi="Arial"/>
                <w:b/>
                <w:sz w:val="21"/>
              </w:rPr>
              <w:t>Kuasa Pengguna Anggaran / Kepala Satuan Kerja</w:t>
              <w:br/>
              <w:t>Pelaksanaan Prasarana Strategis Riau,</w:t>
              <w:br/>
              <w:br/>
              <w:br/>
              <w:br/>
            </w:r>
            <w:r>
              <w:rPr>
                <w:rFonts w:ascii="Arial" w:hAnsi="Arial"/>
                <w:b/>
                <w:sz w:val="21"/>
                <w:u w:val="single"/>
              </w:rPr>
              <w:t>Muhammad Yudi Prasetya, S.T.</w:t>
              <w:br/>
            </w:r>
            <w:r>
              <w:rPr>
                <w:rFonts w:ascii="Arial" w:hAnsi="Arial"/>
                <w:sz w:val="21"/>
              </w:rPr>
              <w:t>NIP. 19800214 201412 1 002</w:t>
            </w:r>
          </w:p>
        </w:tc>
        <w:tc>
          <w:tcPr>
            <w:tcW w:type="dxa" w:w="4677"/>
          </w:tcPr>
          <w:p>
            <w:pPr>
              <w:spacing w:before="160" w:line="276" w:lineRule="auto"/>
              <w:jc w:val="left"/>
            </w:pPr>
            <w:r>
              <w:rPr>
                <w:rFonts w:ascii="Arial" w:hAnsi="Arial"/>
                <w:sz w:val="21"/>
              </w:rPr>
              <w:t>Pekanbaru, 22 September 2025</w:t>
              <w:br/>
              <w:t>Disusun oleh,</w:t>
              <w:br/>
            </w:r>
            <w:r>
              <w:rPr>
                <w:rFonts w:ascii="Arial" w:hAnsi="Arial"/>
                <w:b/>
                <w:sz w:val="21"/>
              </w:rPr>
              <w:t>Pejabat Pembuat Komitmen (PPK)</w:t>
              <w:br/>
              <w:t>Satker Pelaksanaan Prasarana Strategis Riau,</w:t>
              <w:br/>
              <w:br/>
              <w:br/>
              <w:br/>
            </w:r>
            <w:r>
              <w:rPr>
                <w:rFonts w:ascii="Arial" w:hAnsi="Arial"/>
                <w:b/>
                <w:sz w:val="21"/>
                <w:u w:val="single"/>
              </w:rPr>
              <w:t>Nurhidayat Nugroho, S.Ars.</w:t>
              <w:br/>
            </w:r>
            <w:r>
              <w:rPr>
                <w:rFonts w:ascii="Arial" w:hAnsi="Arial"/>
                <w:sz w:val="21"/>
              </w:rPr>
              <w:t>NIP. 19901221 201802 1 001</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