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drawing>
          <wp:inline xmlns:a="http://schemas.openxmlformats.org/drawingml/2006/main" xmlns:pic="http://schemas.openxmlformats.org/drawingml/2006/picture">
            <wp:extent cx="5940000" cy="876504"/>
            <wp:docPr id="1" name="Picture 1"/>
            <wp:cNvGraphicFramePr>
              <a:graphicFrameLocks noChangeAspect="1"/>
            </wp:cNvGraphicFramePr>
            <a:graphic>
              <a:graphicData uri="http://schemas.openxmlformats.org/drawingml/2006/picture">
                <pic:pic>
                  <pic:nvPicPr>
                    <pic:cNvPr id="0" name="1775466518_6770018a33b3f91eebd0.png"/>
                    <pic:cNvPicPr/>
                  </pic:nvPicPr>
                  <pic:blipFill>
                    <a:blip r:embed="rId9"/>
                    <a:stretch>
                      <a:fillRect/>
                    </a:stretch>
                  </pic:blipFill>
                  <pic:spPr>
                    <a:xfrm>
                      <a:off x="0" y="0"/>
                      <a:ext cx="5940000" cy="876504"/>
                    </a:xfrm>
                    <a:prstGeom prst="rect"/>
                  </pic:spPr>
                </pic:pic>
              </a:graphicData>
            </a:graphic>
          </wp:inline>
        </w:drawing>
      </w:r>
    </w:p>
    <w:p>
      <w:pPr>
        <w:spacing w:before="40" w:after="40" w:line="276" w:lineRule="auto"/>
        <w:jc w:val="center"/>
      </w:pPr>
      <w:r>
        <w:rPr>
          <w:rFonts w:ascii="Arial" w:hAnsi="Arial"/>
          <w:b/>
          <w:sz w:val="23"/>
        </w:rPr>
        <w:t>KERANGKA ACUAN KERJA (KAK) FINAL / TERM OF REFERENCE</w:t>
      </w:r>
    </w:p>
    <w:p>
      <w:pPr>
        <w:spacing w:before="0" w:after="40" w:line="276" w:lineRule="auto"/>
        <w:jc w:val="center"/>
      </w:pPr>
      <w:r>
        <w:rPr>
          <w:rFonts w:ascii="Arial" w:hAnsi="Arial"/>
          <w:b/>
          <w:sz w:val="22"/>
        </w:rPr>
        <w:t>ADMINISTRASI KEGIATAN PEMBANGUNAN GEDUNG SPPG PROVINSI RIAU</w:t>
      </w:r>
    </w:p>
    <w:p>
      <w:pPr>
        <w:spacing w:before="0" w:after="200" w:line="276" w:lineRule="auto"/>
        <w:jc w:val="center"/>
      </w:pPr>
      <w:r>
        <w:rPr>
          <w:rFonts w:ascii="Arial" w:hAnsi="Arial"/>
          <w:b/>
          <w:sz w:val="22"/>
        </w:rPr>
        <w:t>TAHUN ANGGARAN 2025</w:t>
      </w:r>
    </w:p>
    <w:p>
      <w:pPr>
        <w:keepNext/>
        <w:spacing w:before="160" w:after="80"/>
        <w:jc w:val="left"/>
      </w:pPr>
      <w:r>
        <w:rPr>
          <w:rFonts w:ascii="Arial" w:hAnsi="Arial"/>
          <w:b/>
          <w:sz w:val="21"/>
        </w:rPr>
        <w:t>I. IDENTITAS KEGIATAN</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18"/>
        <w:gridCol w:w="3118"/>
        <w:gridCol w:w="3118"/>
      </w:tblGrid>
      <w:tr>
        <w:tc>
          <w:tcPr>
            <w:tcW w:type="dxa" w:w="2721"/>
            <w:tcMar>
              <w:top w:w="45" w:type="dxa"/>
              <w:bottom w:w="45" w:type="dxa"/>
              <w:left w:w="20" w:type="dxa"/>
              <w:right w:w="20" w:type="dxa"/>
            </w:tcMar>
          </w:tcPr>
          <w:p>
            <w:pPr>
              <w:spacing w:before="0" w:after="20" w:line="276" w:lineRule="auto"/>
              <w:jc w:val="left"/>
            </w:pPr>
            <w:r>
              <w:rPr>
                <w:rFonts w:ascii="Arial" w:hAnsi="Arial"/>
                <w:b w:val="0"/>
                <w:sz w:val="21"/>
              </w:rPr>
              <w:t>Kementerian / Lembaga</w:t>
            </w:r>
          </w:p>
        </w:tc>
        <w:tc>
          <w:tcPr>
            <w:tcW w:type="dxa" w:w="255"/>
            <w:tcMar>
              <w:top w:w="45" w:type="dxa"/>
              <w:bottom w:w="45" w:type="dxa"/>
              <w:left w:w="20" w:type="dxa"/>
              <w:right w:w="20" w:type="dxa"/>
            </w:tcMar>
          </w:tcPr>
          <w:p>
            <w:pPr>
              <w:spacing w:before="0" w:after="20" w:line="276" w:lineRule="auto"/>
              <w:jc w:val="center"/>
            </w:pPr>
            <w:r>
              <w:rPr>
                <w:rFonts w:ascii="Arial" w:hAnsi="Arial"/>
                <w:sz w:val="21"/>
              </w:rPr>
              <w:t>:</w:t>
            </w:r>
          </w:p>
        </w:tc>
        <w:tc>
          <w:tcPr>
            <w:tcW w:type="dxa" w:w="6378"/>
            <w:tcMar>
              <w:top w:w="45" w:type="dxa"/>
              <w:bottom w:w="45" w:type="dxa"/>
              <w:left w:w="20" w:type="dxa"/>
              <w:right w:w="20" w:type="dxa"/>
            </w:tcMar>
          </w:tcPr>
          <w:p>
            <w:pPr>
              <w:spacing w:before="0" w:after="20" w:line="276" w:lineRule="auto"/>
              <w:jc w:val="both"/>
            </w:pPr>
            <w:r>
              <w:rPr>
                <w:rFonts w:ascii="Arial" w:hAnsi="Arial"/>
                <w:sz w:val="21"/>
              </w:rPr>
              <w:t>Kementerian Pekerjaan Umum</w:t>
            </w:r>
          </w:p>
        </w:tc>
      </w:tr>
      <w:tr>
        <w:tc>
          <w:tcPr>
            <w:tcW w:type="dxa" w:w="2721"/>
            <w:tcMar>
              <w:top w:w="45" w:type="dxa"/>
              <w:bottom w:w="45" w:type="dxa"/>
              <w:left w:w="20" w:type="dxa"/>
              <w:right w:w="20" w:type="dxa"/>
            </w:tcMar>
          </w:tcPr>
          <w:p>
            <w:pPr>
              <w:spacing w:before="0" w:after="20" w:line="276" w:lineRule="auto"/>
              <w:jc w:val="left"/>
            </w:pPr>
            <w:r>
              <w:rPr>
                <w:rFonts w:ascii="Arial" w:hAnsi="Arial"/>
                <w:b w:val="0"/>
                <w:sz w:val="21"/>
              </w:rPr>
              <w:t>Unit Eselon I</w:t>
            </w:r>
          </w:p>
        </w:tc>
        <w:tc>
          <w:tcPr>
            <w:tcW w:type="dxa" w:w="255"/>
            <w:tcMar>
              <w:top w:w="45" w:type="dxa"/>
              <w:bottom w:w="45" w:type="dxa"/>
              <w:left w:w="20" w:type="dxa"/>
              <w:right w:w="20" w:type="dxa"/>
            </w:tcMar>
          </w:tcPr>
          <w:p>
            <w:pPr>
              <w:spacing w:before="0" w:after="20" w:line="276" w:lineRule="auto"/>
              <w:jc w:val="center"/>
            </w:pPr>
            <w:r>
              <w:rPr>
                <w:rFonts w:ascii="Arial" w:hAnsi="Arial"/>
                <w:sz w:val="21"/>
              </w:rPr>
              <w:t>:</w:t>
            </w:r>
          </w:p>
        </w:tc>
        <w:tc>
          <w:tcPr>
            <w:tcW w:type="dxa" w:w="6378"/>
            <w:tcMar>
              <w:top w:w="45" w:type="dxa"/>
              <w:bottom w:w="45" w:type="dxa"/>
              <w:left w:w="20" w:type="dxa"/>
              <w:right w:w="20" w:type="dxa"/>
            </w:tcMar>
          </w:tcPr>
          <w:p>
            <w:pPr>
              <w:spacing w:before="0" w:after="20" w:line="276" w:lineRule="auto"/>
              <w:jc w:val="both"/>
            </w:pPr>
            <w:r>
              <w:rPr>
                <w:rFonts w:ascii="Arial" w:hAnsi="Arial"/>
                <w:sz w:val="21"/>
              </w:rPr>
              <w:t>Direktorat Jenderal Prasarana Strategis</w:t>
            </w:r>
          </w:p>
        </w:tc>
      </w:tr>
      <w:tr>
        <w:tc>
          <w:tcPr>
            <w:tcW w:type="dxa" w:w="2721"/>
            <w:tcMar>
              <w:top w:w="45" w:type="dxa"/>
              <w:bottom w:w="45" w:type="dxa"/>
              <w:left w:w="20" w:type="dxa"/>
              <w:right w:w="20" w:type="dxa"/>
            </w:tcMar>
          </w:tcPr>
          <w:p>
            <w:pPr>
              <w:spacing w:before="0" w:after="20" w:line="276" w:lineRule="auto"/>
              <w:jc w:val="left"/>
            </w:pPr>
            <w:r>
              <w:rPr>
                <w:rFonts w:ascii="Arial" w:hAnsi="Arial"/>
                <w:b w:val="0"/>
                <w:sz w:val="21"/>
              </w:rPr>
              <w:t>Satuan Kerja</w:t>
            </w:r>
          </w:p>
        </w:tc>
        <w:tc>
          <w:tcPr>
            <w:tcW w:type="dxa" w:w="255"/>
            <w:tcMar>
              <w:top w:w="45" w:type="dxa"/>
              <w:bottom w:w="45" w:type="dxa"/>
              <w:left w:w="20" w:type="dxa"/>
              <w:right w:w="20" w:type="dxa"/>
            </w:tcMar>
          </w:tcPr>
          <w:p>
            <w:pPr>
              <w:spacing w:before="0" w:after="20" w:line="276" w:lineRule="auto"/>
              <w:jc w:val="center"/>
            </w:pPr>
            <w:r>
              <w:rPr>
                <w:rFonts w:ascii="Arial" w:hAnsi="Arial"/>
                <w:sz w:val="21"/>
              </w:rPr>
              <w:t>:</w:t>
            </w:r>
          </w:p>
        </w:tc>
        <w:tc>
          <w:tcPr>
            <w:tcW w:type="dxa" w:w="6378"/>
            <w:tcMar>
              <w:top w:w="45" w:type="dxa"/>
              <w:bottom w:w="45" w:type="dxa"/>
              <w:left w:w="20" w:type="dxa"/>
              <w:right w:w="20" w:type="dxa"/>
            </w:tcMar>
          </w:tcPr>
          <w:p>
            <w:pPr>
              <w:spacing w:before="0" w:after="20" w:line="276" w:lineRule="auto"/>
              <w:jc w:val="both"/>
            </w:pPr>
            <w:r>
              <w:rPr>
                <w:rFonts w:ascii="Arial" w:hAnsi="Arial"/>
                <w:sz w:val="21"/>
              </w:rPr>
              <w:t>Satuan Kerja Pelaksanaan Prasarana Strategis Riau</w:t>
            </w:r>
          </w:p>
        </w:tc>
      </w:tr>
      <w:tr>
        <w:tc>
          <w:tcPr>
            <w:tcW w:type="dxa" w:w="2721"/>
            <w:tcMar>
              <w:top w:w="45" w:type="dxa"/>
              <w:bottom w:w="45" w:type="dxa"/>
              <w:left w:w="20" w:type="dxa"/>
              <w:right w:w="20" w:type="dxa"/>
            </w:tcMar>
          </w:tcPr>
          <w:p>
            <w:pPr>
              <w:spacing w:before="0" w:after="20" w:line="276" w:lineRule="auto"/>
              <w:jc w:val="left"/>
            </w:pPr>
            <w:r>
              <w:rPr>
                <w:rFonts w:ascii="Arial" w:hAnsi="Arial"/>
                <w:b w:val="0"/>
                <w:sz w:val="21"/>
              </w:rPr>
              <w:t>Nama Kegiatan</w:t>
            </w:r>
          </w:p>
        </w:tc>
        <w:tc>
          <w:tcPr>
            <w:tcW w:type="dxa" w:w="255"/>
            <w:tcMar>
              <w:top w:w="45" w:type="dxa"/>
              <w:bottom w:w="45" w:type="dxa"/>
              <w:left w:w="20" w:type="dxa"/>
              <w:right w:w="20" w:type="dxa"/>
            </w:tcMar>
          </w:tcPr>
          <w:p>
            <w:pPr>
              <w:spacing w:before="0" w:after="20" w:line="276" w:lineRule="auto"/>
              <w:jc w:val="center"/>
            </w:pPr>
            <w:r>
              <w:rPr>
                <w:rFonts w:ascii="Arial" w:hAnsi="Arial"/>
                <w:sz w:val="21"/>
              </w:rPr>
              <w:t>:</w:t>
            </w:r>
          </w:p>
        </w:tc>
        <w:tc>
          <w:tcPr>
            <w:tcW w:type="dxa" w:w="6378"/>
            <w:tcMar>
              <w:top w:w="45" w:type="dxa"/>
              <w:bottom w:w="45" w:type="dxa"/>
              <w:left w:w="20" w:type="dxa"/>
              <w:right w:w="20" w:type="dxa"/>
            </w:tcMar>
          </w:tcPr>
          <w:p>
            <w:pPr>
              <w:spacing w:before="0" w:after="20" w:line="276" w:lineRule="auto"/>
              <w:jc w:val="both"/>
            </w:pPr>
            <w:r>
              <w:rPr>
                <w:rFonts w:ascii="Arial" w:hAnsi="Arial"/>
                <w:sz w:val="21"/>
              </w:rPr>
              <w:t>Pembangunan dan Rehabilitasi Prasarana Strategis (7717)</w:t>
            </w:r>
          </w:p>
        </w:tc>
      </w:tr>
      <w:tr>
        <w:tc>
          <w:tcPr>
            <w:tcW w:type="dxa" w:w="2721"/>
            <w:tcMar>
              <w:top w:w="45" w:type="dxa"/>
              <w:bottom w:w="45" w:type="dxa"/>
              <w:left w:w="20" w:type="dxa"/>
              <w:right w:w="20" w:type="dxa"/>
            </w:tcMar>
          </w:tcPr>
          <w:p>
            <w:pPr>
              <w:spacing w:before="0" w:after="20" w:line="276" w:lineRule="auto"/>
              <w:jc w:val="left"/>
            </w:pPr>
            <w:r>
              <w:rPr>
                <w:rFonts w:ascii="Arial" w:hAnsi="Arial"/>
                <w:b w:val="0"/>
                <w:sz w:val="21"/>
              </w:rPr>
              <w:t>Rincian Output</w:t>
            </w:r>
          </w:p>
        </w:tc>
        <w:tc>
          <w:tcPr>
            <w:tcW w:type="dxa" w:w="255"/>
            <w:tcMar>
              <w:top w:w="45" w:type="dxa"/>
              <w:bottom w:w="45" w:type="dxa"/>
              <w:left w:w="20" w:type="dxa"/>
              <w:right w:w="20" w:type="dxa"/>
            </w:tcMar>
          </w:tcPr>
          <w:p>
            <w:pPr>
              <w:spacing w:before="0" w:after="20" w:line="276" w:lineRule="auto"/>
              <w:jc w:val="center"/>
            </w:pPr>
            <w:r>
              <w:rPr>
                <w:rFonts w:ascii="Arial" w:hAnsi="Arial"/>
                <w:sz w:val="21"/>
              </w:rPr>
              <w:t>:</w:t>
            </w:r>
          </w:p>
        </w:tc>
        <w:tc>
          <w:tcPr>
            <w:tcW w:type="dxa" w:w="6378"/>
            <w:tcMar>
              <w:top w:w="45" w:type="dxa"/>
              <w:bottom w:w="45" w:type="dxa"/>
              <w:left w:w="20" w:type="dxa"/>
              <w:right w:w="20" w:type="dxa"/>
            </w:tcMar>
          </w:tcPr>
          <w:p>
            <w:pPr>
              <w:spacing w:before="0" w:after="20" w:line="276" w:lineRule="auto"/>
              <w:jc w:val="both"/>
            </w:pPr>
            <w:r>
              <w:rPr>
                <w:rFonts w:ascii="Arial" w:hAnsi="Arial"/>
                <w:sz w:val="21"/>
              </w:rPr>
              <w:t>Pembangunan Gedung SPPG Provinsi Riau (7717.CBI.001)</w:t>
            </w:r>
          </w:p>
        </w:tc>
      </w:tr>
      <w:tr>
        <w:tc>
          <w:tcPr>
            <w:tcW w:type="dxa" w:w="2721"/>
            <w:tcMar>
              <w:top w:w="45" w:type="dxa"/>
              <w:bottom w:w="45" w:type="dxa"/>
              <w:left w:w="20" w:type="dxa"/>
              <w:right w:w="20" w:type="dxa"/>
            </w:tcMar>
          </w:tcPr>
          <w:p>
            <w:pPr>
              <w:spacing w:before="0" w:after="20" w:line="276" w:lineRule="auto"/>
              <w:jc w:val="left"/>
            </w:pPr>
            <w:r>
              <w:rPr>
                <w:rFonts w:ascii="Arial" w:hAnsi="Arial"/>
                <w:b w:val="0"/>
                <w:sz w:val="21"/>
              </w:rPr>
              <w:t>Komponen / Subkomponen</w:t>
            </w:r>
          </w:p>
        </w:tc>
        <w:tc>
          <w:tcPr>
            <w:tcW w:type="dxa" w:w="255"/>
            <w:tcMar>
              <w:top w:w="45" w:type="dxa"/>
              <w:bottom w:w="45" w:type="dxa"/>
              <w:left w:w="20" w:type="dxa"/>
              <w:right w:w="20" w:type="dxa"/>
            </w:tcMar>
          </w:tcPr>
          <w:p>
            <w:pPr>
              <w:spacing w:before="0" w:after="20" w:line="276" w:lineRule="auto"/>
              <w:jc w:val="center"/>
            </w:pPr>
            <w:r>
              <w:rPr>
                <w:rFonts w:ascii="Arial" w:hAnsi="Arial"/>
                <w:sz w:val="21"/>
              </w:rPr>
              <w:t>:</w:t>
            </w:r>
          </w:p>
        </w:tc>
        <w:tc>
          <w:tcPr>
            <w:tcW w:type="dxa" w:w="6378"/>
            <w:tcMar>
              <w:top w:w="45" w:type="dxa"/>
              <w:bottom w:w="45" w:type="dxa"/>
              <w:left w:w="20" w:type="dxa"/>
              <w:right w:w="20" w:type="dxa"/>
            </w:tcMar>
          </w:tcPr>
          <w:p>
            <w:pPr>
              <w:spacing w:before="0" w:after="20" w:line="276" w:lineRule="auto"/>
              <w:jc w:val="both"/>
            </w:pPr>
            <w:r>
              <w:rPr>
                <w:rFonts w:ascii="Arial" w:hAnsi="Arial"/>
                <w:sz w:val="21"/>
              </w:rPr>
              <w:t>900.A - Administrasi Kegiatan Pembangunan Gedung SPPG Provinsi Riau</w:t>
            </w:r>
          </w:p>
        </w:tc>
      </w:tr>
      <w:tr>
        <w:tc>
          <w:tcPr>
            <w:tcW w:type="dxa" w:w="2721"/>
            <w:tcMar>
              <w:top w:w="45" w:type="dxa"/>
              <w:bottom w:w="45" w:type="dxa"/>
              <w:left w:w="20" w:type="dxa"/>
              <w:right w:w="20" w:type="dxa"/>
            </w:tcMar>
          </w:tcPr>
          <w:p>
            <w:pPr>
              <w:spacing w:before="0" w:after="20" w:line="276" w:lineRule="auto"/>
              <w:jc w:val="left"/>
            </w:pPr>
            <w:r>
              <w:rPr>
                <w:rFonts w:ascii="Arial" w:hAnsi="Arial"/>
                <w:b w:val="0"/>
                <w:sz w:val="21"/>
              </w:rPr>
              <w:t>Pagu Anggaran</w:t>
            </w:r>
          </w:p>
        </w:tc>
        <w:tc>
          <w:tcPr>
            <w:tcW w:type="dxa" w:w="255"/>
            <w:tcMar>
              <w:top w:w="45" w:type="dxa"/>
              <w:bottom w:w="45" w:type="dxa"/>
              <w:left w:w="20" w:type="dxa"/>
              <w:right w:w="20" w:type="dxa"/>
            </w:tcMar>
          </w:tcPr>
          <w:p>
            <w:pPr>
              <w:spacing w:before="0" w:after="20" w:line="276" w:lineRule="auto"/>
              <w:jc w:val="center"/>
            </w:pPr>
            <w:r>
              <w:rPr>
                <w:rFonts w:ascii="Arial" w:hAnsi="Arial"/>
                <w:sz w:val="21"/>
              </w:rPr>
              <w:t>:</w:t>
            </w:r>
          </w:p>
        </w:tc>
        <w:tc>
          <w:tcPr>
            <w:tcW w:type="dxa" w:w="6378"/>
            <w:tcMar>
              <w:top w:w="45" w:type="dxa"/>
              <w:bottom w:w="45" w:type="dxa"/>
              <w:left w:w="20" w:type="dxa"/>
              <w:right w:w="20" w:type="dxa"/>
            </w:tcMar>
          </w:tcPr>
          <w:p>
            <w:pPr>
              <w:spacing w:before="0" w:after="20" w:line="276" w:lineRule="auto"/>
              <w:jc w:val="both"/>
            </w:pPr>
            <w:r>
              <w:rPr>
                <w:rFonts w:ascii="Arial" w:hAnsi="Arial"/>
                <w:sz w:val="21"/>
              </w:rPr>
              <w:t>Rp 413.000.000,- (Empat Ratus Tiga Belas Juta Rupiah)</w:t>
            </w:r>
          </w:p>
        </w:tc>
      </w:tr>
      <w:tr>
        <w:tc>
          <w:tcPr>
            <w:tcW w:type="dxa" w:w="2721"/>
            <w:tcMar>
              <w:top w:w="45" w:type="dxa"/>
              <w:bottom w:w="45" w:type="dxa"/>
              <w:left w:w="20" w:type="dxa"/>
              <w:right w:w="20" w:type="dxa"/>
            </w:tcMar>
          </w:tcPr>
          <w:p>
            <w:pPr>
              <w:spacing w:before="0" w:after="20" w:line="276" w:lineRule="auto"/>
              <w:jc w:val="left"/>
            </w:pPr>
            <w:r>
              <w:rPr>
                <w:rFonts w:ascii="Arial" w:hAnsi="Arial"/>
                <w:b w:val="0"/>
                <w:sz w:val="21"/>
              </w:rPr>
              <w:t>Metode Pelaksanaan</w:t>
            </w:r>
          </w:p>
        </w:tc>
        <w:tc>
          <w:tcPr>
            <w:tcW w:type="dxa" w:w="255"/>
            <w:tcMar>
              <w:top w:w="45" w:type="dxa"/>
              <w:bottom w:w="45" w:type="dxa"/>
              <w:left w:w="20" w:type="dxa"/>
              <w:right w:w="20" w:type="dxa"/>
            </w:tcMar>
          </w:tcPr>
          <w:p>
            <w:pPr>
              <w:spacing w:before="0" w:after="20" w:line="276" w:lineRule="auto"/>
              <w:jc w:val="center"/>
            </w:pPr>
            <w:r>
              <w:rPr>
                <w:rFonts w:ascii="Arial" w:hAnsi="Arial"/>
                <w:sz w:val="21"/>
              </w:rPr>
              <w:t>:</w:t>
            </w:r>
          </w:p>
        </w:tc>
        <w:tc>
          <w:tcPr>
            <w:tcW w:type="dxa" w:w="6378"/>
            <w:tcMar>
              <w:top w:w="45" w:type="dxa"/>
              <w:bottom w:w="45" w:type="dxa"/>
              <w:left w:w="20" w:type="dxa"/>
              <w:right w:w="20" w:type="dxa"/>
            </w:tcMar>
          </w:tcPr>
          <w:p>
            <w:pPr>
              <w:spacing w:before="0" w:after="20" w:line="276" w:lineRule="auto"/>
              <w:jc w:val="both"/>
            </w:pPr>
            <w:r>
              <w:rPr>
                <w:rFonts w:ascii="Arial" w:hAnsi="Arial"/>
                <w:sz w:val="21"/>
              </w:rPr>
              <w:t>Swakelola Tipe I</w:t>
            </w:r>
          </w:p>
        </w:tc>
      </w:tr>
    </w:tbl>
    <w:p>
      <w:pPr>
        <w:spacing w:before="0" w:after="80"/>
      </w:pPr>
    </w:p>
    <w:p>
      <w:pPr>
        <w:keepNext/>
        <w:spacing w:before="160" w:after="80"/>
        <w:jc w:val="left"/>
      </w:pPr>
      <w:r>
        <w:rPr>
          <w:rFonts w:ascii="Arial" w:hAnsi="Arial"/>
          <w:b/>
          <w:sz w:val="21"/>
        </w:rPr>
        <w:t>II. LATAR BELAKANG</w:t>
      </w:r>
    </w:p>
    <w:p>
      <w:pPr>
        <w:spacing w:before="0" w:after="120" w:line="300" w:lineRule="auto"/>
        <w:jc w:val="both"/>
      </w:pPr>
      <w:r>
        <w:rPr>
          <w:rFonts w:ascii="Arial" w:hAnsi="Arial"/>
          <w:b w:val="0"/>
          <w:sz w:val="21"/>
        </w:rPr>
        <w:t>Kementerian Pekerjaan Umum melalui Direktorat Jenderal Prasarana Strategis mendapat penugasan strategis untuk mendukung penyediaan infrastruktur Satuan Pelayanan Pemenuhan Gizi (SPPG) bekerja sama dengan Badan Gizi Nasional (BGN). Agar proses perencanaan, persiapan pengadaan, verifikasi kesiapan lahan, hingga pengendalian pelaksanaan konstruksi Gedung SPPG di Provinsi Riau berjalan efektif dan sesuai ketentuan peraturan perundang-undangan, diperlukan kegiatan dukungan administrasi dan teknis yang dilaksanakan secara Swakelola Tipe I oleh Satuan Kerja Pelaksanaan Prasarana Strategis Riau.</w:t>
      </w:r>
    </w:p>
    <w:p>
      <w:pPr>
        <w:keepNext/>
        <w:spacing w:before="160" w:after="80"/>
        <w:jc w:val="left"/>
      </w:pPr>
      <w:r>
        <w:rPr>
          <w:rFonts w:ascii="Arial" w:hAnsi="Arial"/>
          <w:b/>
          <w:sz w:val="21"/>
        </w:rPr>
        <w:t>III. MAKSUD DAN TUJUAN</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c>
          <w:tcPr>
            <w:tcW w:type="dxa" w:w="425"/>
            <w:tcMar>
              <w:top w:w="40" w:type="dxa"/>
              <w:bottom w:w="40" w:type="dxa"/>
              <w:left w:w="20" w:type="dxa"/>
              <w:right w:w="40" w:type="dxa"/>
            </w:tcMar>
          </w:tcPr>
          <w:p>
            <w:pPr>
              <w:spacing w:before="0" w:after="40" w:line="288" w:lineRule="auto"/>
              <w:jc w:val="left"/>
            </w:pPr>
            <w:r>
              <w:rPr>
                <w:rFonts w:ascii="Arial" w:hAnsi="Arial"/>
                <w:sz w:val="21"/>
              </w:rPr>
              <w:t>1.</w:t>
            </w:r>
          </w:p>
        </w:tc>
        <w:tc>
          <w:tcPr>
            <w:tcW w:type="dxa" w:w="8929"/>
            <w:tcMar>
              <w:top w:w="40" w:type="dxa"/>
              <w:bottom w:w="40" w:type="dxa"/>
              <w:left w:w="20" w:type="dxa"/>
              <w:right w:w="20" w:type="dxa"/>
            </w:tcMar>
          </w:tcPr>
          <w:p>
            <w:pPr>
              <w:spacing w:before="0" w:after="40" w:line="288" w:lineRule="auto"/>
              <w:jc w:val="both"/>
            </w:pPr>
            <w:r>
              <w:rPr>
                <w:rFonts w:ascii="Arial" w:hAnsi="Arial"/>
                <w:b/>
                <w:sz w:val="21"/>
              </w:rPr>
              <w:t>Maksud:</w:t>
            </w:r>
            <w:r>
              <w:rPr>
                <w:rFonts w:ascii="Arial" w:hAnsi="Arial"/>
                <w:sz w:val="21"/>
              </w:rPr>
              <w:t xml:space="preserve"> Menyelenggarakan dukungan operasional administrasi teknik, penyiapan dokumen pengadaan, koordinasi lintas instansi, serta survei dan pemantauan lapangan pembangunan Gedung SPPG di Provinsi Riau.</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2.</w:t>
            </w:r>
          </w:p>
        </w:tc>
        <w:tc>
          <w:tcPr>
            <w:tcW w:type="dxa" w:w="8929"/>
            <w:tcMar>
              <w:top w:w="40" w:type="dxa"/>
              <w:bottom w:w="40" w:type="dxa"/>
              <w:left w:w="20" w:type="dxa"/>
              <w:right w:w="20" w:type="dxa"/>
            </w:tcMar>
          </w:tcPr>
          <w:p>
            <w:pPr>
              <w:spacing w:before="0" w:after="40" w:line="288" w:lineRule="auto"/>
              <w:jc w:val="both"/>
            </w:pPr>
            <w:r>
              <w:rPr>
                <w:rFonts w:ascii="Arial" w:hAnsi="Arial"/>
                <w:b/>
                <w:sz w:val="21"/>
              </w:rPr>
              <w:t>Tujuan:</w:t>
            </w:r>
            <w:r>
              <w:rPr>
                <w:rFonts w:ascii="Arial" w:hAnsi="Arial"/>
                <w:sz w:val="21"/>
              </w:rPr>
              <w:t xml:space="preserve"> Tercapainya ketertiban administrasi proyek, kesiapan dokumen teknis dan lahan (Readiness Criteria), serta terkendalinya mutu dan waktu pelaksanaan pembangunan Gedung SPPG Provinsi Riau TA 2025.</w:t>
            </w:r>
          </w:p>
        </w:tc>
      </w:tr>
    </w:tbl>
    <w:p>
      <w:pPr>
        <w:spacing w:before="0" w:after="80"/>
      </w:pPr>
    </w:p>
    <w:p>
      <w:pPr>
        <w:keepNext/>
        <w:spacing w:before="160" w:after="80"/>
        <w:jc w:val="left"/>
      </w:pPr>
      <w:r>
        <w:rPr>
          <w:rFonts w:ascii="Arial" w:hAnsi="Arial"/>
          <w:b/>
          <w:sz w:val="21"/>
        </w:rPr>
        <w:t>IV. RUANG LINGKUP DAN KELUARAN</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c>
          <w:tcPr>
            <w:tcW w:type="dxa" w:w="425"/>
            <w:tcMar>
              <w:top w:w="40" w:type="dxa"/>
              <w:bottom w:w="40" w:type="dxa"/>
              <w:left w:w="20" w:type="dxa"/>
              <w:right w:w="40" w:type="dxa"/>
            </w:tcMar>
          </w:tcPr>
          <w:p>
            <w:pPr>
              <w:spacing w:before="0" w:after="40" w:line="288" w:lineRule="auto"/>
              <w:jc w:val="left"/>
            </w:pPr>
            <w:r>
              <w:rPr>
                <w:rFonts w:ascii="Arial" w:hAnsi="Arial"/>
                <w:sz w:val="21"/>
              </w:rPr>
              <w:t>a.</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Penyediaan bahan operasional kantor (ATK dan computer supplies) untuk penyusunan dan penggandaan dokumen administrasi serta laporan teknis kegiatan SPPG;</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b.</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Pelaksanaan koordinasi teknis dengan unit kerja pusat dan instansi terkait serta survei/monitoring lapangan ke lokasi pembangunan Gedung SPPG di Kabupaten/Kota wilayah Provinsi Riau;</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c.</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Penyusunan laporan pelaksanaan berkala, dokumentasi fisik kegiatan, serta laporan akhir pertanggungjawaban Swakelola.</w:t>
            </w:r>
          </w:p>
        </w:tc>
      </w:tr>
    </w:tbl>
    <w:p>
      <w:pPr>
        <w:spacing w:before="0" w:after="8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rPr>
          <w:cantSplit/>
        </w:trPr>
        <w:tc>
          <w:tcPr>
            <w:tcW w:type="dxa" w:w="4677"/>
          </w:tcPr>
          <w:p>
            <w:pPr>
              <w:spacing w:before="160" w:line="276" w:lineRule="auto"/>
              <w:jc w:val="left"/>
            </w:pPr>
            <w:r>
              <w:rPr>
                <w:rFonts w:ascii="Arial" w:hAnsi="Arial"/>
                <w:sz w:val="21"/>
              </w:rPr>
              <w:t>Mengetahui / Menyetujui,</w:t>
              <w:br/>
            </w:r>
            <w:r>
              <w:rPr>
                <w:rFonts w:ascii="Arial" w:hAnsi="Arial"/>
                <w:b/>
                <w:sz w:val="21"/>
              </w:rPr>
              <w:t>Kuasa Pengguna Anggaran / Kepala Satuan Kerja</w:t>
              <w:br/>
              <w:t>Pelaksanaan Prasarana Strategis Riau,</w:t>
              <w:br/>
              <w:br/>
              <w:br/>
              <w:br/>
            </w:r>
            <w:r>
              <w:rPr>
                <w:rFonts w:ascii="Arial" w:hAnsi="Arial"/>
                <w:b/>
                <w:sz w:val="21"/>
                <w:u w:val="single"/>
              </w:rPr>
              <w:t>Muhammad Yudi Prasetya, S.T.</w:t>
              <w:br/>
            </w:r>
            <w:r>
              <w:rPr>
                <w:rFonts w:ascii="Arial" w:hAnsi="Arial"/>
                <w:sz w:val="21"/>
              </w:rPr>
              <w:t>NIP. 19800214 201412 1 002</w:t>
            </w:r>
          </w:p>
        </w:tc>
        <w:tc>
          <w:tcPr>
            <w:tcW w:type="dxa" w:w="4677"/>
          </w:tcPr>
          <w:p>
            <w:pPr>
              <w:spacing w:before="160" w:line="276" w:lineRule="auto"/>
              <w:jc w:val="left"/>
            </w:pPr>
            <w:r>
              <w:rPr>
                <w:rFonts w:ascii="Arial" w:hAnsi="Arial"/>
                <w:sz w:val="21"/>
              </w:rPr>
              <w:t>Pekanbaru, 25 September 2025</w:t>
              <w:br/>
              <w:t>Ditetapkan oleh,</w:t>
              <w:br/>
            </w:r>
            <w:r>
              <w:rPr>
                <w:rFonts w:ascii="Arial" w:hAnsi="Arial"/>
                <w:b/>
                <w:sz w:val="21"/>
              </w:rPr>
              <w:t>Pejabat Pembuat Komitmen (PPK)</w:t>
              <w:br/>
              <w:t>Satker Pelaksanaan Prasarana Strategis Riau,</w:t>
              <w:br/>
              <w:br/>
              <w:br/>
              <w:br/>
            </w:r>
            <w:r>
              <w:rPr>
                <w:rFonts w:ascii="Arial" w:hAnsi="Arial"/>
                <w:b/>
                <w:sz w:val="21"/>
                <w:u w:val="single"/>
              </w:rPr>
              <w:t>Nurhidayat Nugroho, S.Ars.</w:t>
              <w:br/>
            </w:r>
            <w:r>
              <w:rPr>
                <w:rFonts w:ascii="Arial" w:hAnsi="Arial"/>
                <w:sz w:val="21"/>
              </w:rPr>
              <w:t>NIP. 19901221 201802 1 001</w:t>
            </w:r>
          </w:p>
        </w:tc>
      </w:tr>
    </w:tbl>
    <w:sectPr w:rsidR="00FC693F" w:rsidRPr="0006063C" w:rsidSect="00034616">
      <w:pgSz w:w="11906" w:h="16838"/>
      <w:pgMar w:top="1020" w:right="1276" w:bottom="113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