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876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75466518_6770018a33b3f91eeb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76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76" w:lineRule="auto"/>
        <w:jc w:val="center"/>
      </w:pPr>
      <w:r>
        <w:rPr>
          <w:rFonts w:ascii="Arial" w:hAnsi="Arial"/>
          <w:b/>
          <w:sz w:val="23"/>
        </w:rPr>
        <w:t>RENCANA ANGGARAN BIAYA (RAB) FINAL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ADMINISTRASI KEGIATAN PEMBANGUNAN GEDUNG SPPG PROVINSI RIAU</w:t>
      </w:r>
    </w:p>
    <w:p>
      <w:pPr>
        <w:spacing w:before="0" w:after="200" w:line="276" w:lineRule="auto"/>
        <w:jc w:val="center"/>
      </w:pPr>
      <w:r>
        <w:rPr>
          <w:rFonts w:ascii="Arial" w:hAnsi="Arial"/>
          <w:b/>
          <w:sz w:val="22"/>
        </w:rPr>
        <w:t>SATUAN KERJA PELAKSANAAN PRASARANA STRATEGIS RIAU TA 2025</w:t>
      </w: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Rencana Anggaran Biaya (RAB) Final ini telah ditelaah bersama oleh Tim Persiapan dan Pejabat Pembuat Komitmen (PPK) berdasarkan pagu DIPA/POK Satuan Kerja Pelaksanaan Prasarana Strategis Riau Tahun Anggaran 2025 serta mengacu pada Peraturan Menteri Keuangan tentang Standar Biaya Masukan (SBM) TA 2025: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510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No.</w:t>
            </w:r>
          </w:p>
        </w:tc>
        <w:tc>
          <w:tcPr>
            <w:tcW w:type="dxa" w:w="1020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Kode Akun</w:t>
            </w:r>
          </w:p>
        </w:tc>
        <w:tc>
          <w:tcPr>
            <w:tcW w:type="dxa" w:w="3288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Uraian Komponen / Subkomponen Belanja</w:t>
            </w:r>
          </w:p>
        </w:tc>
        <w:tc>
          <w:tcPr>
            <w:tcW w:type="dxa" w:w="680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Volume</w:t>
            </w:r>
          </w:p>
        </w:tc>
        <w:tc>
          <w:tcPr>
            <w:tcW w:type="dxa" w:w="794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Satuan</w:t>
            </w:r>
          </w:p>
        </w:tc>
        <w:tc>
          <w:tcPr>
            <w:tcW w:type="dxa" w:w="1531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Harga Satuan (Rp)</w:t>
            </w:r>
          </w:p>
        </w:tc>
        <w:tc>
          <w:tcPr>
            <w:tcW w:type="dxa" w:w="1531"/>
            <w:vAlign w:val="center"/>
            <w:shd w:fill="D9E2F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Jumlah Pagu (Rp)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521211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Belanja Bahan:</w:t>
              <w:br/>
              <w:t>- Pengadaan ATK Kegiatan Administrasi SPPG</w:t>
              <w:br/>
              <w:t>- Pengadaan Computer Supplies (Tinta/Toner)</w:t>
              <w:br/>
              <w:t>- Penggandaan Dokumen &amp; Konsumsi Rapat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1,00</w:t>
            </w:r>
          </w:p>
        </w:tc>
        <w:tc>
          <w:tcPr>
            <w:tcW w:type="dxa" w:w="7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Paket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45.320.000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45.320.000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521213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Belanja Honor Output Kegiatan:</w:t>
              <w:br/>
              <w:t>- Honorarium Tim Penyelenggara Kegiatan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1,00</w:t>
            </w:r>
          </w:p>
        </w:tc>
        <w:tc>
          <w:tcPr>
            <w:tcW w:type="dxa" w:w="7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Paket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43.200.000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43.200.000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524111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Belanja Perjalanan Dinas Biasa:</w:t>
              <w:br/>
              <w:t>- Koordinasi Teknis Pusat &amp; Regional</w:t>
              <w:br/>
              <w:t>- Survei, Pendampingan &amp; Monitoring Kab/Kota Riau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1,00</w:t>
            </w:r>
          </w:p>
        </w:tc>
        <w:tc>
          <w:tcPr>
            <w:tcW w:type="dxa" w:w="7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Paket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225.730.000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225.730.000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524113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Belanja Perjalanan Dinas Dalam Kota:</w:t>
              <w:br/>
              <w:t>- Survei &amp; Pemantauan Lokasi Kota Pekanbaru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1,00</w:t>
            </w:r>
          </w:p>
        </w:tc>
        <w:tc>
          <w:tcPr>
            <w:tcW w:type="dxa" w:w="7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Paket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9.750.000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9.750.000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102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524114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both"/>
            </w:pPr>
            <w:r>
              <w:rPr>
                <w:rFonts w:ascii="Arial" w:hAnsi="Arial"/>
                <w:b w:val="0"/>
                <w:sz w:val="19"/>
              </w:rPr>
              <w:t>Belanja Perjalanan Dinas Paket Meeting Dalam Kota:</w:t>
              <w:br/>
              <w:t>- Fasilitasi Rapat Koordinasi Teknis</w:t>
            </w:r>
          </w:p>
        </w:tc>
        <w:tc>
          <w:tcPr>
            <w:tcW w:type="dxa" w:w="680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1,00</w:t>
            </w:r>
          </w:p>
        </w:tc>
        <w:tc>
          <w:tcPr>
            <w:tcW w:type="dxa" w:w="794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 w:val="0"/>
                <w:sz w:val="19"/>
              </w:rPr>
              <w:t>Paket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89.000.000</w:t>
            </w:r>
          </w:p>
        </w:tc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sz w:val="19"/>
              </w:rPr>
              <w:t>89.000.000</w:t>
            </w:r>
          </w:p>
        </w:tc>
      </w:tr>
      <w:tr>
        <w:trPr>
          <w:cantSplit/>
        </w:trPr>
        <w:tc>
          <w:tcPr>
            <w:tcW w:type="dxa" w:w="510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  <w:t>TOTAL</w:t>
            </w:r>
          </w:p>
        </w:tc>
        <w:tc>
          <w:tcPr>
            <w:tcW w:type="dxa" w:w="1020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3288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/>
                <w:sz w:val="19"/>
              </w:rPr>
              <w:t>TOTAL ALOKASI PAGU SWAKELOLA SPPG TA 2025</w:t>
            </w:r>
          </w:p>
        </w:tc>
        <w:tc>
          <w:tcPr>
            <w:tcW w:type="dxa" w:w="680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794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531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1531"/>
            <w:vAlign w:val="center"/>
            <w:shd w:fill="F2F4F8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/>
                <w:sz w:val="19"/>
              </w:rPr>
              <w:t>413.000.000</w:t>
            </w:r>
          </w:p>
        </w:tc>
      </w:tr>
    </w:tbl>
    <w:p>
      <w:pPr>
        <w:spacing w:before="0" w:after="120"/>
      </w:pPr>
    </w:p>
    <w:p>
      <w:pPr>
        <w:spacing w:before="0" w:after="120" w:line="300" w:lineRule="auto"/>
        <w:jc w:val="both"/>
      </w:pPr>
      <w:r>
        <w:rPr>
          <w:rFonts w:ascii="Arial" w:hAnsi="Arial"/>
          <w:b w:val="0"/>
          <w:sz w:val="21"/>
        </w:rPr>
        <w:t>Catatan Pengendalian: Pencairan dan realisasi anggaran dilaksanakan secara selektif berdasarkan kebutuhan riil di lapangan (at cost) dengan mengutamakan efisiensi belanja negara.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Disetujui oleh,</w:t>
              <w:br/>
            </w:r>
            <w:r>
              <w:rPr>
                <w:rFonts w:ascii="Arial" w:hAnsi="Arial"/>
                <w:b/>
                <w:sz w:val="21"/>
              </w:rPr>
              <w:t>Pejabat Pembuat Komitmen (PPK)</w:t>
              <w:br/>
              <w:t>Satker Pelaksanaan Prasarana Strategis Riau,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Nurhidayat Nugroho, S.Ars.</w:t>
              <w:br/>
            </w:r>
            <w:r>
              <w:rPr>
                <w:rFonts w:ascii="Arial" w:hAnsi="Arial"/>
                <w:sz w:val="21"/>
              </w:rPr>
              <w:t>NIP. 19901221 201802 1 001</w:t>
            </w:r>
          </w:p>
        </w:tc>
        <w:tc>
          <w:tcPr>
            <w:tcW w:type="dxa" w:w="4677"/>
          </w:tcPr>
          <w:p>
            <w:pPr>
              <w:spacing w:before="160" w:line="276" w:lineRule="auto"/>
              <w:jc w:val="left"/>
            </w:pPr>
            <w:r>
              <w:rPr>
                <w:rFonts w:ascii="Arial" w:hAnsi="Arial"/>
                <w:sz w:val="21"/>
              </w:rPr>
              <w:t>Pekanbaru, 25 September 2025</w:t>
              <w:br/>
              <w:t>Disusun oleh,</w:t>
              <w:br/>
            </w:r>
            <w:r>
              <w:rPr>
                <w:rFonts w:ascii="Arial" w:hAnsi="Arial"/>
                <w:b/>
                <w:sz w:val="21"/>
              </w:rPr>
              <w:t>Ketua Tim Persiapan Swakelola,</w:t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  <w:u w:val="single"/>
              </w:rPr>
              <w:t>Nurulia Sefriandari, S.T.</w:t>
              <w:br/>
            </w:r>
            <w:r>
              <w:rPr>
                <w:rFonts w:ascii="Arial" w:hAnsi="Arial"/>
                <w:sz w:val="21"/>
              </w:rPr>
              <w:t>NIP. 19950912 202012 2 004</w:t>
            </w:r>
          </w:p>
        </w:tc>
      </w:tr>
    </w:tbl>
    <w:sectPr w:rsidR="00FC693F" w:rsidRPr="0006063C" w:rsidSect="00034616">
      <w:pgSz w:w="11906" w:h="16838"/>
      <w:pgMar w:top="1020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