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line="240" w:lineRule="auto"/>
        <w:jc w:val="center"/>
      </w:pPr>
      <w:r>
        <w:drawing>
          <wp:inline xmlns:a="http://schemas.openxmlformats.org/drawingml/2006/main" xmlns:pic="http://schemas.openxmlformats.org/drawingml/2006/picture">
            <wp:extent cx="5940000" cy="876504"/>
            <wp:docPr id="1" name="Picture 1"/>
            <wp:cNvGraphicFramePr>
              <a:graphicFrameLocks noChangeAspect="1"/>
            </wp:cNvGraphicFramePr>
            <a:graphic>
              <a:graphicData uri="http://schemas.openxmlformats.org/drawingml/2006/picture">
                <pic:pic>
                  <pic:nvPicPr>
                    <pic:cNvPr id="0" name="1775466518_6770018a33b3f91eebd0.png"/>
                    <pic:cNvPicPr/>
                  </pic:nvPicPr>
                  <pic:blipFill>
                    <a:blip r:embed="rId9"/>
                    <a:stretch>
                      <a:fillRect/>
                    </a:stretch>
                  </pic:blipFill>
                  <pic:spPr>
                    <a:xfrm>
                      <a:off x="0" y="0"/>
                      <a:ext cx="5940000" cy="876504"/>
                    </a:xfrm>
                    <a:prstGeom prst="rect"/>
                  </pic:spPr>
                </pic:pic>
              </a:graphicData>
            </a:graphic>
          </wp:inline>
        </w:drawing>
      </w:r>
    </w:p>
    <w:p>
      <w:pPr>
        <w:spacing w:before="40" w:after="40" w:line="276" w:lineRule="auto"/>
        <w:jc w:val="center"/>
      </w:pPr>
      <w:r>
        <w:rPr>
          <w:rFonts w:ascii="Arial" w:hAnsi="Arial"/>
          <w:b/>
          <w:sz w:val="23"/>
        </w:rPr>
        <w:t>BERITA ACARA PEMBAHASAN HASIL PERSIAPAN KEGIATAN SWAKELOLA</w:t>
      </w:r>
    </w:p>
    <w:p>
      <w:pPr>
        <w:spacing w:before="0" w:after="40" w:line="276" w:lineRule="auto"/>
        <w:jc w:val="center"/>
      </w:pPr>
      <w:r>
        <w:rPr>
          <w:rFonts w:ascii="Arial" w:hAnsi="Arial"/>
          <w:b/>
          <w:sz w:val="22"/>
        </w:rPr>
        <w:t>ADMINISTRASI KEGIATAN PEMBANGUNAN GEDUNG SPPG PROVINSI RIAU</w:t>
      </w:r>
    </w:p>
    <w:p>
      <w:pPr>
        <w:spacing w:before="0" w:after="40" w:line="276" w:lineRule="auto"/>
        <w:jc w:val="center"/>
      </w:pPr>
      <w:r>
        <w:rPr>
          <w:rFonts w:ascii="Arial" w:hAnsi="Arial"/>
          <w:b/>
          <w:sz w:val="22"/>
        </w:rPr>
        <w:t>TAHUN ANGGARAN 2025</w:t>
      </w:r>
    </w:p>
    <w:p>
      <w:pPr>
        <w:spacing w:before="40" w:after="200" w:line="276" w:lineRule="auto"/>
        <w:jc w:val="center"/>
      </w:pPr>
      <w:r>
        <w:rPr>
          <w:rFonts w:ascii="Arial" w:hAnsi="Arial"/>
          <w:b/>
          <w:sz w:val="21"/>
        </w:rPr>
        <w:t>NOMOR : 01/BA-PERSIAPAN/SWK-SPPG/2025</w:t>
      </w:r>
    </w:p>
    <w:p>
      <w:pPr>
        <w:spacing w:before="0" w:after="120" w:line="300" w:lineRule="auto"/>
        <w:jc w:val="both"/>
      </w:pPr>
      <w:r>
        <w:rPr>
          <w:rFonts w:ascii="Arial" w:hAnsi="Arial"/>
          <w:b w:val="0"/>
          <w:sz w:val="21"/>
        </w:rPr>
        <w:t>Pada hari ini, Kamis tanggal Dua Puluh Lima bulan September tahun Dua Ribu Dua Puluh Lima (25-09-2025), bertempat di Ruang Rapat Kantor Satuan Kerja Pelaksanaan Prasarana Strategis Riau, kami yang bertanda tangan di bawah ini Pejabat Pembuat Komitmen (PPK), Tim Persiapan, Tim Pelaksana, dan Tim Pengawas telah melaksanakan rapat pembahasan hasil persiapan penyelenggaraan Swakelola Tipe I untuk paket kegiatan Administrasi Kegiatan Pembangunan Gedung SPPG Provinsi Riau Tahun Anggaran 2025.</w:t>
      </w:r>
    </w:p>
    <w:p>
      <w:pPr>
        <w:keepNext/>
        <w:spacing w:before="160" w:after="80"/>
        <w:jc w:val="left"/>
      </w:pPr>
      <w:r>
        <w:rPr>
          <w:rFonts w:ascii="Arial" w:hAnsi="Arial"/>
          <w:b/>
          <w:sz w:val="21"/>
        </w:rPr>
        <w:t>I. RUANG LINGKUP PEMBAHASAN</w:t>
      </w:r>
    </w:p>
    <w:tbl>
      <w:tblPr>
        <w:tblW w:type="auto" w:w="0"/>
        <w:jc w:val="center"/>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677"/>
        <w:gridCol w:w="4677"/>
      </w:tblGrid>
      <w:tr>
        <w:tc>
          <w:tcPr>
            <w:tcW w:type="dxa" w:w="425"/>
            <w:tcMar>
              <w:top w:w="40" w:type="dxa"/>
              <w:bottom w:w="40" w:type="dxa"/>
              <w:left w:w="20" w:type="dxa"/>
              <w:right w:w="40" w:type="dxa"/>
            </w:tcMar>
          </w:tcPr>
          <w:p>
            <w:pPr>
              <w:spacing w:before="0" w:after="40" w:line="288" w:lineRule="auto"/>
              <w:jc w:val="left"/>
            </w:pPr>
            <w:r>
              <w:rPr>
                <w:rFonts w:ascii="Arial" w:hAnsi="Arial"/>
                <w:sz w:val="21"/>
              </w:rPr>
              <w:t>1.</w:t>
            </w:r>
          </w:p>
        </w:tc>
        <w:tc>
          <w:tcPr>
            <w:tcW w:type="dxa" w:w="8929"/>
            <w:tcMar>
              <w:top w:w="40" w:type="dxa"/>
              <w:bottom w:w="40" w:type="dxa"/>
              <w:left w:w="20" w:type="dxa"/>
              <w:right w:w="20" w:type="dxa"/>
            </w:tcMar>
          </w:tcPr>
          <w:p>
            <w:pPr>
              <w:spacing w:before="0" w:after="40" w:line="288" w:lineRule="auto"/>
              <w:jc w:val="both"/>
            </w:pPr>
            <w:r>
              <w:rPr>
                <w:rFonts w:ascii="Arial" w:hAnsi="Arial"/>
                <w:sz w:val="21"/>
              </w:rPr>
              <w:t>Penelaahan kesesuaian Kerangka Acuan Kerja (KAK) dan Rencana Anggaran Biaya (RAB) terhadap alokasi DIPA/POK Tahun Anggaran 2025 sebesar Rp 413.000.000,-;</w:t>
            </w:r>
          </w:p>
        </w:tc>
      </w:tr>
      <w:tr>
        <w:tc>
          <w:tcPr>
            <w:tcW w:type="dxa" w:w="425"/>
            <w:tcMar>
              <w:top w:w="40" w:type="dxa"/>
              <w:bottom w:w="40" w:type="dxa"/>
              <w:left w:w="20" w:type="dxa"/>
              <w:right w:w="40" w:type="dxa"/>
            </w:tcMar>
          </w:tcPr>
          <w:p>
            <w:pPr>
              <w:spacing w:before="0" w:after="40" w:line="288" w:lineRule="auto"/>
              <w:jc w:val="left"/>
            </w:pPr>
            <w:r>
              <w:rPr>
                <w:rFonts w:ascii="Arial" w:hAnsi="Arial"/>
                <w:sz w:val="21"/>
              </w:rPr>
              <w:t>2.</w:t>
            </w:r>
          </w:p>
        </w:tc>
        <w:tc>
          <w:tcPr>
            <w:tcW w:type="dxa" w:w="8929"/>
            <w:tcMar>
              <w:top w:w="40" w:type="dxa"/>
              <w:bottom w:w="40" w:type="dxa"/>
              <w:left w:w="20" w:type="dxa"/>
              <w:right w:w="20" w:type="dxa"/>
            </w:tcMar>
          </w:tcPr>
          <w:p>
            <w:pPr>
              <w:spacing w:before="0" w:after="40" w:line="288" w:lineRule="auto"/>
              <w:jc w:val="both"/>
            </w:pPr>
            <w:r>
              <w:rPr>
                <w:rFonts w:ascii="Arial" w:hAnsi="Arial"/>
                <w:sz w:val="21"/>
              </w:rPr>
              <w:t>Penetapan jadwal pelaksanaan kegiatan selama 4 (empat) bulan terhitung sejak bulan September sampai dengan Desember 2025;</w:t>
            </w:r>
          </w:p>
        </w:tc>
      </w:tr>
      <w:tr>
        <w:tc>
          <w:tcPr>
            <w:tcW w:type="dxa" w:w="425"/>
            <w:tcMar>
              <w:top w:w="40" w:type="dxa"/>
              <w:bottom w:w="40" w:type="dxa"/>
              <w:left w:w="20" w:type="dxa"/>
              <w:right w:w="40" w:type="dxa"/>
            </w:tcMar>
          </w:tcPr>
          <w:p>
            <w:pPr>
              <w:spacing w:before="0" w:after="40" w:line="288" w:lineRule="auto"/>
              <w:jc w:val="left"/>
            </w:pPr>
            <w:r>
              <w:rPr>
                <w:rFonts w:ascii="Arial" w:hAnsi="Arial"/>
                <w:sz w:val="21"/>
              </w:rPr>
              <w:t>3.</w:t>
            </w:r>
          </w:p>
        </w:tc>
        <w:tc>
          <w:tcPr>
            <w:tcW w:type="dxa" w:w="8929"/>
            <w:tcMar>
              <w:top w:w="40" w:type="dxa"/>
              <w:bottom w:w="40" w:type="dxa"/>
              <w:left w:w="20" w:type="dxa"/>
              <w:right w:w="20" w:type="dxa"/>
            </w:tcMar>
          </w:tcPr>
          <w:p>
            <w:pPr>
              <w:spacing w:before="0" w:after="40" w:line="288" w:lineRule="auto"/>
              <w:jc w:val="both"/>
            </w:pPr>
            <w:r>
              <w:rPr>
                <w:rFonts w:ascii="Arial" w:hAnsi="Arial"/>
                <w:sz w:val="21"/>
              </w:rPr>
              <w:t>Penelaahan daftar kebutuhan tenaga kerja/personel, bahan habis pakai (ATK dan computer supplies), serta rencana penugasan perjalanan dinas luar kota dan dalam kota;</w:t>
            </w:r>
          </w:p>
        </w:tc>
      </w:tr>
      <w:tr>
        <w:tc>
          <w:tcPr>
            <w:tcW w:type="dxa" w:w="425"/>
            <w:tcMar>
              <w:top w:w="40" w:type="dxa"/>
              <w:bottom w:w="40" w:type="dxa"/>
              <w:left w:w="20" w:type="dxa"/>
              <w:right w:w="40" w:type="dxa"/>
            </w:tcMar>
          </w:tcPr>
          <w:p>
            <w:pPr>
              <w:spacing w:before="0" w:after="40" w:line="288" w:lineRule="auto"/>
              <w:jc w:val="left"/>
            </w:pPr>
            <w:r>
              <w:rPr>
                <w:rFonts w:ascii="Arial" w:hAnsi="Arial"/>
                <w:sz w:val="21"/>
              </w:rPr>
              <w:t>4.</w:t>
            </w:r>
          </w:p>
        </w:tc>
        <w:tc>
          <w:tcPr>
            <w:tcW w:type="dxa" w:w="8929"/>
            <w:tcMar>
              <w:top w:w="40" w:type="dxa"/>
              <w:bottom w:w="40" w:type="dxa"/>
              <w:left w:w="20" w:type="dxa"/>
              <w:right w:w="20" w:type="dxa"/>
            </w:tcMar>
          </w:tcPr>
          <w:p>
            <w:pPr>
              <w:spacing w:before="0" w:after="40" w:line="288" w:lineRule="auto"/>
              <w:jc w:val="both"/>
            </w:pPr>
            <w:r>
              <w:rPr>
                <w:rFonts w:ascii="Arial" w:hAnsi="Arial"/>
                <w:sz w:val="21"/>
              </w:rPr>
              <w:t>Penetapan mekanisme pengawasan berkala, dokumentasi pelaksanaan, serta tata cara pertanggungjawaban keuangan dan perpajakan.</w:t>
            </w:r>
          </w:p>
        </w:tc>
      </w:tr>
    </w:tbl>
    <w:p>
      <w:pPr>
        <w:spacing w:before="0" w:after="80"/>
      </w:pPr>
    </w:p>
    <w:p>
      <w:pPr>
        <w:keepNext/>
        <w:spacing w:before="160" w:after="80"/>
        <w:jc w:val="left"/>
      </w:pPr>
      <w:r>
        <w:rPr>
          <w:rFonts w:ascii="Arial" w:hAnsi="Arial"/>
          <w:b/>
          <w:sz w:val="21"/>
        </w:rPr>
        <w:t>II. HASIL KESEPAKATAN PEMBAHASAN</w:t>
      </w:r>
    </w:p>
    <w:tbl>
      <w:tblPr>
        <w:tblW w:type="auto" w:w="0"/>
        <w:jc w:val="center"/>
        <w:tblLayout w:type="fixed"/>
        <w:tblLook w:firstColumn="1" w:firstRow="1" w:lastColumn="0" w:lastRow="0" w:noHBand="0" w:noVBand="1" w:val="04A0"/>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Pr>
      <w:tblGrid>
        <w:gridCol w:w="2338"/>
        <w:gridCol w:w="2338"/>
        <w:gridCol w:w="2338"/>
        <w:gridCol w:w="2338"/>
      </w:tblGrid>
      <w:tr>
        <w:trPr>
          <w:tblHeader/>
          <w:cantSplit/>
        </w:trPr>
        <w:tc>
          <w:tcPr>
            <w:tcW w:type="dxa" w:w="510"/>
            <w:vAlign w:val="center"/>
            <w:shd w:fill="D9E2F3"/>
            <w:tcMar>
              <w:top w:w="90" w:type="dxa"/>
              <w:bottom w:w="90" w:type="dxa"/>
              <w:left w:w="110" w:type="dxa"/>
              <w:right w:w="110" w:type="dxa"/>
            </w:tcMar>
          </w:tcPr>
          <w:p>
            <w:pPr>
              <w:spacing w:before="0" w:after="0" w:line="276" w:lineRule="auto"/>
              <w:jc w:val="center"/>
            </w:pPr>
            <w:r>
              <w:rPr>
                <w:rFonts w:ascii="Arial" w:hAnsi="Arial"/>
                <w:b/>
                <w:sz w:val="19"/>
              </w:rPr>
              <w:t>No.</w:t>
            </w:r>
          </w:p>
        </w:tc>
        <w:tc>
          <w:tcPr>
            <w:tcW w:type="dxa" w:w="2154"/>
            <w:vAlign w:val="center"/>
            <w:shd w:fill="D9E2F3"/>
            <w:tcMar>
              <w:top w:w="90" w:type="dxa"/>
              <w:bottom w:w="90" w:type="dxa"/>
              <w:left w:w="110" w:type="dxa"/>
              <w:right w:w="110" w:type="dxa"/>
            </w:tcMar>
          </w:tcPr>
          <w:p>
            <w:pPr>
              <w:spacing w:before="0" w:after="0" w:line="276" w:lineRule="auto"/>
              <w:jc w:val="center"/>
            </w:pPr>
            <w:r>
              <w:rPr>
                <w:rFonts w:ascii="Arial" w:hAnsi="Arial"/>
                <w:b/>
                <w:sz w:val="19"/>
              </w:rPr>
              <w:t>Aspek Pembahasan</w:t>
            </w:r>
          </w:p>
        </w:tc>
        <w:tc>
          <w:tcPr>
            <w:tcW w:type="dxa" w:w="4649"/>
            <w:vAlign w:val="center"/>
            <w:shd w:fill="D9E2F3"/>
            <w:tcMar>
              <w:top w:w="90" w:type="dxa"/>
              <w:bottom w:w="90" w:type="dxa"/>
              <w:left w:w="110" w:type="dxa"/>
              <w:right w:w="110" w:type="dxa"/>
            </w:tcMar>
          </w:tcPr>
          <w:p>
            <w:pPr>
              <w:spacing w:before="0" w:after="0" w:line="276" w:lineRule="auto"/>
              <w:jc w:val="center"/>
            </w:pPr>
            <w:r>
              <w:rPr>
                <w:rFonts w:ascii="Arial" w:hAnsi="Arial"/>
                <w:b/>
                <w:sz w:val="19"/>
              </w:rPr>
              <w:t>Hasil Kesepakatan dan Tindak Lanjut</w:t>
            </w:r>
          </w:p>
        </w:tc>
        <w:tc>
          <w:tcPr>
            <w:tcW w:type="dxa" w:w="2041"/>
            <w:vAlign w:val="center"/>
            <w:shd w:fill="D9E2F3"/>
            <w:tcMar>
              <w:top w:w="90" w:type="dxa"/>
              <w:bottom w:w="90" w:type="dxa"/>
              <w:left w:w="110" w:type="dxa"/>
              <w:right w:w="110" w:type="dxa"/>
            </w:tcMar>
          </w:tcPr>
          <w:p>
            <w:pPr>
              <w:spacing w:before="0" w:after="0" w:line="276" w:lineRule="auto"/>
              <w:jc w:val="center"/>
            </w:pPr>
            <w:r>
              <w:rPr>
                <w:rFonts w:ascii="Arial" w:hAnsi="Arial"/>
                <w:b/>
                <w:sz w:val="19"/>
              </w:rPr>
              <w:t>Penanggung Jawab</w:t>
            </w:r>
          </w:p>
        </w:tc>
      </w:tr>
      <w:tr>
        <w:trPr>
          <w:cantSplit/>
        </w:trPr>
        <w:tc>
          <w:tcPr>
            <w:tcW w:type="dxa" w:w="510"/>
            <w:vAlign w:val="center"/>
            <w:tcMar>
              <w:top w:w="75" w:type="dxa"/>
              <w:bottom w:w="75" w:type="dxa"/>
              <w:left w:w="110" w:type="dxa"/>
              <w:right w:w="110" w:type="dxa"/>
            </w:tcMar>
          </w:tcPr>
          <w:p>
            <w:pPr>
              <w:spacing w:before="0" w:after="0" w:line="276" w:lineRule="auto"/>
              <w:jc w:val="center"/>
            </w:pPr>
            <w:r>
              <w:rPr>
                <w:rFonts w:ascii="Arial" w:hAnsi="Arial"/>
                <w:b w:val="0"/>
                <w:sz w:val="19"/>
              </w:rPr>
              <w:t>1</w:t>
            </w:r>
          </w:p>
        </w:tc>
        <w:tc>
          <w:tcPr>
            <w:tcW w:type="dxa" w:w="2154"/>
            <w:vAlign w:val="center"/>
            <w:tcMar>
              <w:top w:w="75" w:type="dxa"/>
              <w:bottom w:w="75" w:type="dxa"/>
              <w:left w:w="110" w:type="dxa"/>
              <w:right w:w="110" w:type="dxa"/>
            </w:tcMar>
          </w:tcPr>
          <w:p>
            <w:pPr>
              <w:spacing w:before="0" w:after="0" w:line="276" w:lineRule="auto"/>
              <w:jc w:val="left"/>
            </w:pPr>
            <w:r>
              <w:rPr>
                <w:rFonts w:ascii="Arial" w:hAnsi="Arial"/>
                <w:b w:val="0"/>
                <w:sz w:val="19"/>
              </w:rPr>
              <w:t>KAK dan RAB Final</w:t>
            </w:r>
          </w:p>
        </w:tc>
        <w:tc>
          <w:tcPr>
            <w:tcW w:type="dxa" w:w="4649"/>
            <w:vAlign w:val="center"/>
            <w:tcMar>
              <w:top w:w="75" w:type="dxa"/>
              <w:bottom w:w="75" w:type="dxa"/>
              <w:left w:w="110" w:type="dxa"/>
              <w:right w:w="110" w:type="dxa"/>
            </w:tcMar>
          </w:tcPr>
          <w:p>
            <w:pPr>
              <w:spacing w:before="0" w:after="0" w:line="276" w:lineRule="auto"/>
              <w:jc w:val="both"/>
            </w:pPr>
            <w:r>
              <w:rPr>
                <w:rFonts w:ascii="Arial" w:hAnsi="Arial"/>
                <w:b w:val="0"/>
                <w:sz w:val="19"/>
              </w:rPr>
              <w:t>KAK dan RAB Final disetujui sebagai acuan pelaksanaan dengan pagu Rp 413.000.000,- dan realisasi berbasis kebutuhan riil (at cost).</w:t>
            </w:r>
          </w:p>
        </w:tc>
        <w:tc>
          <w:tcPr>
            <w:tcW w:type="dxa" w:w="2041"/>
            <w:vAlign w:val="center"/>
            <w:tcMar>
              <w:top w:w="75" w:type="dxa"/>
              <w:bottom w:w="75" w:type="dxa"/>
              <w:left w:w="110" w:type="dxa"/>
              <w:right w:w="110" w:type="dxa"/>
            </w:tcMar>
          </w:tcPr>
          <w:p>
            <w:pPr>
              <w:spacing w:before="0" w:after="0" w:line="276" w:lineRule="auto"/>
              <w:jc w:val="left"/>
            </w:pPr>
            <w:r>
              <w:rPr>
                <w:rFonts w:ascii="Arial" w:hAnsi="Arial"/>
                <w:b w:val="0"/>
                <w:sz w:val="19"/>
              </w:rPr>
              <w:t>PPK &amp; Tim Persiapan</w:t>
            </w:r>
          </w:p>
        </w:tc>
      </w:tr>
      <w:tr>
        <w:trPr>
          <w:cantSplit/>
        </w:trPr>
        <w:tc>
          <w:tcPr>
            <w:tcW w:type="dxa" w:w="510"/>
            <w:vAlign w:val="center"/>
            <w:tcMar>
              <w:top w:w="75" w:type="dxa"/>
              <w:bottom w:w="75" w:type="dxa"/>
              <w:left w:w="110" w:type="dxa"/>
              <w:right w:w="110" w:type="dxa"/>
            </w:tcMar>
          </w:tcPr>
          <w:p>
            <w:pPr>
              <w:spacing w:before="0" w:after="0" w:line="276" w:lineRule="auto"/>
              <w:jc w:val="center"/>
            </w:pPr>
            <w:r>
              <w:rPr>
                <w:rFonts w:ascii="Arial" w:hAnsi="Arial"/>
                <w:b w:val="0"/>
                <w:sz w:val="19"/>
              </w:rPr>
              <w:t>2</w:t>
            </w:r>
          </w:p>
        </w:tc>
        <w:tc>
          <w:tcPr>
            <w:tcW w:type="dxa" w:w="2154"/>
            <w:vAlign w:val="center"/>
            <w:tcMar>
              <w:top w:w="75" w:type="dxa"/>
              <w:bottom w:w="75" w:type="dxa"/>
              <w:left w:w="110" w:type="dxa"/>
              <w:right w:w="110" w:type="dxa"/>
            </w:tcMar>
          </w:tcPr>
          <w:p>
            <w:pPr>
              <w:spacing w:before="0" w:after="0" w:line="276" w:lineRule="auto"/>
              <w:jc w:val="left"/>
            </w:pPr>
            <w:r>
              <w:rPr>
                <w:rFonts w:ascii="Arial" w:hAnsi="Arial"/>
                <w:b w:val="0"/>
                <w:sz w:val="19"/>
              </w:rPr>
              <w:t>Kebutuhan Bahan (521211)</w:t>
            </w:r>
          </w:p>
        </w:tc>
        <w:tc>
          <w:tcPr>
            <w:tcW w:type="dxa" w:w="4649"/>
            <w:vAlign w:val="center"/>
            <w:tcMar>
              <w:top w:w="75" w:type="dxa"/>
              <w:bottom w:w="75" w:type="dxa"/>
              <w:left w:w="110" w:type="dxa"/>
              <w:right w:w="110" w:type="dxa"/>
            </w:tcMar>
          </w:tcPr>
          <w:p>
            <w:pPr>
              <w:spacing w:before="0" w:after="0" w:line="276" w:lineRule="auto"/>
              <w:jc w:val="both"/>
            </w:pPr>
            <w:r>
              <w:rPr>
                <w:rFonts w:ascii="Arial" w:hAnsi="Arial"/>
                <w:b w:val="0"/>
                <w:sz w:val="19"/>
              </w:rPr>
              <w:t>Pengadaan ATK dan Computer Supplies dilakukan sesuai kebutuhan riil operasional pemberkasan administrasi dan laporan teknis SPPG.</w:t>
            </w:r>
          </w:p>
        </w:tc>
        <w:tc>
          <w:tcPr>
            <w:tcW w:type="dxa" w:w="2041"/>
            <w:vAlign w:val="center"/>
            <w:tcMar>
              <w:top w:w="75" w:type="dxa"/>
              <w:bottom w:w="75" w:type="dxa"/>
              <w:left w:w="110" w:type="dxa"/>
              <w:right w:w="110" w:type="dxa"/>
            </w:tcMar>
          </w:tcPr>
          <w:p>
            <w:pPr>
              <w:spacing w:before="0" w:after="0" w:line="276" w:lineRule="auto"/>
              <w:jc w:val="left"/>
            </w:pPr>
            <w:r>
              <w:rPr>
                <w:rFonts w:ascii="Arial" w:hAnsi="Arial"/>
                <w:b w:val="0"/>
                <w:sz w:val="19"/>
              </w:rPr>
              <w:t>Tim Pelaksana</w:t>
            </w:r>
          </w:p>
        </w:tc>
      </w:tr>
      <w:tr>
        <w:trPr>
          <w:cantSplit/>
        </w:trPr>
        <w:tc>
          <w:tcPr>
            <w:tcW w:type="dxa" w:w="510"/>
            <w:vAlign w:val="center"/>
            <w:tcMar>
              <w:top w:w="75" w:type="dxa"/>
              <w:bottom w:w="75" w:type="dxa"/>
              <w:left w:w="110" w:type="dxa"/>
              <w:right w:w="110" w:type="dxa"/>
            </w:tcMar>
          </w:tcPr>
          <w:p>
            <w:pPr>
              <w:spacing w:before="0" w:after="0" w:line="276" w:lineRule="auto"/>
              <w:jc w:val="center"/>
            </w:pPr>
            <w:r>
              <w:rPr>
                <w:rFonts w:ascii="Arial" w:hAnsi="Arial"/>
                <w:b w:val="0"/>
                <w:sz w:val="19"/>
              </w:rPr>
              <w:t>3</w:t>
            </w:r>
          </w:p>
        </w:tc>
        <w:tc>
          <w:tcPr>
            <w:tcW w:type="dxa" w:w="2154"/>
            <w:vAlign w:val="center"/>
            <w:tcMar>
              <w:top w:w="75" w:type="dxa"/>
              <w:bottom w:w="75" w:type="dxa"/>
              <w:left w:w="110" w:type="dxa"/>
              <w:right w:w="110" w:type="dxa"/>
            </w:tcMar>
          </w:tcPr>
          <w:p>
            <w:pPr>
              <w:spacing w:before="0" w:after="0" w:line="276" w:lineRule="auto"/>
              <w:jc w:val="left"/>
            </w:pPr>
            <w:r>
              <w:rPr>
                <w:rFonts w:ascii="Arial" w:hAnsi="Arial"/>
                <w:b w:val="0"/>
                <w:sz w:val="19"/>
              </w:rPr>
              <w:t>Perjalanan Dinas (524111 &amp; 524113)</w:t>
            </w:r>
          </w:p>
        </w:tc>
        <w:tc>
          <w:tcPr>
            <w:tcW w:type="dxa" w:w="4649"/>
            <w:vAlign w:val="center"/>
            <w:tcMar>
              <w:top w:w="75" w:type="dxa"/>
              <w:bottom w:w="75" w:type="dxa"/>
              <w:left w:w="110" w:type="dxa"/>
              <w:right w:w="110" w:type="dxa"/>
            </w:tcMar>
          </w:tcPr>
          <w:p>
            <w:pPr>
              <w:spacing w:before="0" w:after="0" w:line="276" w:lineRule="auto"/>
              <w:jc w:val="both"/>
            </w:pPr>
            <w:r>
              <w:rPr>
                <w:rFonts w:ascii="Arial" w:hAnsi="Arial"/>
                <w:b w:val="0"/>
                <w:sz w:val="19"/>
              </w:rPr>
              <w:t>Penugasan perjalanan dinas luar kota dan dalam kota wajib didasarkan pada Surat Tugas resmi, SPPD, bukti pengeluaran riil, dan laporan hasil perjalanan.</w:t>
            </w:r>
          </w:p>
        </w:tc>
        <w:tc>
          <w:tcPr>
            <w:tcW w:type="dxa" w:w="2041"/>
            <w:vAlign w:val="center"/>
            <w:tcMar>
              <w:top w:w="75" w:type="dxa"/>
              <w:bottom w:w="75" w:type="dxa"/>
              <w:left w:w="110" w:type="dxa"/>
              <w:right w:w="110" w:type="dxa"/>
            </w:tcMar>
          </w:tcPr>
          <w:p>
            <w:pPr>
              <w:spacing w:before="0" w:after="0" w:line="276" w:lineRule="auto"/>
              <w:jc w:val="left"/>
            </w:pPr>
            <w:r>
              <w:rPr>
                <w:rFonts w:ascii="Arial" w:hAnsi="Arial"/>
                <w:b w:val="0"/>
                <w:sz w:val="19"/>
              </w:rPr>
              <w:t>PPK &amp; Tim Pelaksana</w:t>
            </w:r>
          </w:p>
        </w:tc>
      </w:tr>
      <w:tr>
        <w:trPr>
          <w:cantSplit/>
        </w:trPr>
        <w:tc>
          <w:tcPr>
            <w:tcW w:type="dxa" w:w="510"/>
            <w:vAlign w:val="center"/>
            <w:tcMar>
              <w:top w:w="75" w:type="dxa"/>
              <w:bottom w:w="75" w:type="dxa"/>
              <w:left w:w="110" w:type="dxa"/>
              <w:right w:w="110" w:type="dxa"/>
            </w:tcMar>
          </w:tcPr>
          <w:p>
            <w:pPr>
              <w:spacing w:before="0" w:after="0" w:line="276" w:lineRule="auto"/>
              <w:jc w:val="center"/>
            </w:pPr>
            <w:r>
              <w:rPr>
                <w:rFonts w:ascii="Arial" w:hAnsi="Arial"/>
                <w:b w:val="0"/>
                <w:sz w:val="19"/>
              </w:rPr>
              <w:t>4</w:t>
            </w:r>
          </w:p>
        </w:tc>
        <w:tc>
          <w:tcPr>
            <w:tcW w:type="dxa" w:w="2154"/>
            <w:vAlign w:val="center"/>
            <w:tcMar>
              <w:top w:w="75" w:type="dxa"/>
              <w:bottom w:w="75" w:type="dxa"/>
              <w:left w:w="110" w:type="dxa"/>
              <w:right w:w="110" w:type="dxa"/>
            </w:tcMar>
          </w:tcPr>
          <w:p>
            <w:pPr>
              <w:spacing w:before="0" w:after="0" w:line="276" w:lineRule="auto"/>
              <w:jc w:val="left"/>
            </w:pPr>
            <w:r>
              <w:rPr>
                <w:rFonts w:ascii="Arial" w:hAnsi="Arial"/>
                <w:b w:val="0"/>
                <w:sz w:val="19"/>
              </w:rPr>
              <w:t>Pengawasan &amp; Pelaporan</w:t>
            </w:r>
          </w:p>
        </w:tc>
        <w:tc>
          <w:tcPr>
            <w:tcW w:type="dxa" w:w="4649"/>
            <w:vAlign w:val="center"/>
            <w:tcMar>
              <w:top w:w="75" w:type="dxa"/>
              <w:bottom w:w="75" w:type="dxa"/>
              <w:left w:w="110" w:type="dxa"/>
              <w:right w:w="110" w:type="dxa"/>
            </w:tcMar>
          </w:tcPr>
          <w:p>
            <w:pPr>
              <w:spacing w:before="0" w:after="0" w:line="276" w:lineRule="auto"/>
              <w:jc w:val="both"/>
            </w:pPr>
            <w:r>
              <w:rPr>
                <w:rFonts w:ascii="Arial" w:hAnsi="Arial"/>
                <w:b w:val="0"/>
                <w:sz w:val="19"/>
              </w:rPr>
              <w:t>Tim Pengawas melakukan verifikasi administrasi, fisik, dan keuangan secara berkala sebelum serah terima akhir pekerjaan (BAST).</w:t>
            </w:r>
          </w:p>
        </w:tc>
        <w:tc>
          <w:tcPr>
            <w:tcW w:type="dxa" w:w="2041"/>
            <w:vAlign w:val="center"/>
            <w:tcMar>
              <w:top w:w="75" w:type="dxa"/>
              <w:bottom w:w="75" w:type="dxa"/>
              <w:left w:w="110" w:type="dxa"/>
              <w:right w:w="110" w:type="dxa"/>
            </w:tcMar>
          </w:tcPr>
          <w:p>
            <w:pPr>
              <w:spacing w:before="0" w:after="0" w:line="276" w:lineRule="auto"/>
              <w:jc w:val="left"/>
            </w:pPr>
            <w:r>
              <w:rPr>
                <w:rFonts w:ascii="Arial" w:hAnsi="Arial"/>
                <w:b w:val="0"/>
                <w:sz w:val="19"/>
              </w:rPr>
              <w:t>Tim Pengawas</w:t>
            </w:r>
          </w:p>
        </w:tc>
      </w:tr>
    </w:tbl>
    <w:p>
      <w:pPr>
        <w:spacing w:before="0" w:after="120"/>
      </w:pPr>
    </w:p>
    <w:p>
      <w:pPr>
        <w:spacing w:before="0" w:after="120" w:line="300" w:lineRule="auto"/>
        <w:jc w:val="both"/>
      </w:pPr>
      <w:r>
        <w:rPr>
          <w:rFonts w:ascii="Arial" w:hAnsi="Arial"/>
          <w:b w:val="0"/>
          <w:sz w:val="21"/>
        </w:rPr>
        <w:t>Demikian Berita Acara Pembahasan Persiapan Kegiatan Swakelola ini dibuat dengan sebenarnya untuk dipergunakan sebagai dasar penerbitan Surat Perintah Penugasan Pelaksanaan Swakelola.</w:t>
      </w:r>
    </w:p>
    <w:tbl>
      <w:tblPr>
        <w:tblW w:type="auto" w:w="0"/>
        <w:jc w:val="center"/>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677"/>
        <w:gridCol w:w="4677"/>
      </w:tblGrid>
      <w:tr>
        <w:trPr>
          <w:cantSplit/>
        </w:trPr>
        <w:tc>
          <w:tcPr>
            <w:tcW w:type="dxa" w:w="4677"/>
          </w:tcPr>
          <w:p>
            <w:pPr>
              <w:spacing w:before="160" w:line="276" w:lineRule="auto"/>
              <w:jc w:val="left"/>
            </w:pPr>
            <w:r>
              <w:rPr>
                <w:rFonts w:ascii="Arial" w:hAnsi="Arial"/>
                <w:sz w:val="21"/>
              </w:rPr>
              <w:t>Pejabat Pembuat Komitmen,</w:t>
              <w:br/>
            </w:r>
            <w:r>
              <w:rPr>
                <w:rFonts w:ascii="Arial" w:hAnsi="Arial"/>
                <w:b/>
                <w:sz w:val="21"/>
              </w:rPr>
              <w:t>Pejabat Pembuat Komitmen (PPK)</w:t>
              <w:br/>
              <w:t>Satker Pelaksanaan Prasarana Strategis Riau,</w:t>
              <w:br/>
              <w:br/>
              <w:br/>
              <w:br/>
            </w:r>
            <w:r>
              <w:rPr>
                <w:rFonts w:ascii="Arial" w:hAnsi="Arial"/>
                <w:b/>
                <w:sz w:val="21"/>
                <w:u w:val="single"/>
              </w:rPr>
              <w:t>Nurhidayat Nugroho, S.Ars.</w:t>
              <w:br/>
            </w:r>
            <w:r>
              <w:rPr>
                <w:rFonts w:ascii="Arial" w:hAnsi="Arial"/>
                <w:sz w:val="21"/>
              </w:rPr>
              <w:t>NIP. 19901221 201802 1 001</w:t>
            </w:r>
          </w:p>
        </w:tc>
        <w:tc>
          <w:tcPr>
            <w:tcW w:type="dxa" w:w="4677"/>
          </w:tcPr>
          <w:p>
            <w:pPr>
              <w:spacing w:before="160" w:line="276" w:lineRule="auto"/>
              <w:jc w:val="left"/>
            </w:pPr>
            <w:r>
              <w:rPr>
                <w:rFonts w:ascii="Arial" w:hAnsi="Arial"/>
                <w:sz w:val="21"/>
              </w:rPr>
              <w:t>Pekanbaru, 25 September 2025</w:t>
              <w:br/>
              <w:t>Tim Persiapan Swakelola,</w:t>
              <w:br/>
            </w:r>
            <w:r>
              <w:rPr>
                <w:rFonts w:ascii="Arial" w:hAnsi="Arial"/>
                <w:b/>
                <w:sz w:val="21"/>
              </w:rPr>
              <w:t>Ketua Tim Persiapan,</w:t>
              <w:br/>
              <w:br/>
              <w:br/>
              <w:br/>
            </w:r>
            <w:r>
              <w:rPr>
                <w:rFonts w:ascii="Arial" w:hAnsi="Arial"/>
                <w:b/>
                <w:sz w:val="21"/>
                <w:u w:val="single"/>
              </w:rPr>
              <w:t>Nurulia Sefriandari, S.T.</w:t>
              <w:br/>
            </w:r>
            <w:r>
              <w:rPr>
                <w:rFonts w:ascii="Arial" w:hAnsi="Arial"/>
                <w:sz w:val="21"/>
              </w:rPr>
              <w:t>NIP. 19950912 202012 2 004</w:t>
            </w:r>
          </w:p>
        </w:tc>
      </w:tr>
    </w:tbl>
    <w:sectPr w:rsidR="00FC693F" w:rsidRPr="0006063C" w:rsidSect="00034616">
      <w:pgSz w:w="11906" w:h="16838"/>
      <w:pgMar w:top="1020" w:right="1276" w:bottom="1134" w:left="12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80"/>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