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drawing>
          <wp:inline xmlns:a="http://schemas.openxmlformats.org/drawingml/2006/main" xmlns:pic="http://schemas.openxmlformats.org/drawingml/2006/picture">
            <wp:extent cx="5940000" cy="876504"/>
            <wp:docPr id="1" name="Picture 1"/>
            <wp:cNvGraphicFramePr>
              <a:graphicFrameLocks noChangeAspect="1"/>
            </wp:cNvGraphicFramePr>
            <a:graphic>
              <a:graphicData uri="http://schemas.openxmlformats.org/drawingml/2006/picture">
                <pic:pic>
                  <pic:nvPicPr>
                    <pic:cNvPr id="0" name="1775466518_6770018a33b3f91eebd0.png"/>
                    <pic:cNvPicPr/>
                  </pic:nvPicPr>
                  <pic:blipFill>
                    <a:blip r:embed="rId9"/>
                    <a:stretch>
                      <a:fillRect/>
                    </a:stretch>
                  </pic:blipFill>
                  <pic:spPr>
                    <a:xfrm>
                      <a:off x="0" y="0"/>
                      <a:ext cx="5940000" cy="876504"/>
                    </a:xfrm>
                    <a:prstGeom prst="rect"/>
                  </pic:spPr>
                </pic:pic>
              </a:graphicData>
            </a:graphic>
          </wp:inline>
        </w:drawing>
      </w:r>
    </w:p>
    <w:p>
      <w:pPr>
        <w:spacing w:before="40" w:after="40" w:line="276" w:lineRule="auto"/>
        <w:jc w:val="center"/>
      </w:pPr>
      <w:r>
        <w:rPr>
          <w:rFonts w:ascii="Arial" w:hAnsi="Arial"/>
          <w:b/>
          <w:sz w:val="23"/>
        </w:rPr>
        <w:t>RENCANA KEBUTUHAN TENAGA KERJA, BAHAN, PERALATAN,</w:t>
      </w:r>
    </w:p>
    <w:p>
      <w:pPr>
        <w:spacing w:before="0" w:after="40" w:line="276" w:lineRule="auto"/>
        <w:jc w:val="center"/>
      </w:pPr>
      <w:r>
        <w:rPr>
          <w:rFonts w:ascii="Arial" w:hAnsi="Arial"/>
          <w:b/>
          <w:sz w:val="22"/>
        </w:rPr>
        <w:t>DAN TENAGA AHLI KEGIATAN SWAKELOLA TIPE I</w:t>
      </w:r>
    </w:p>
    <w:p>
      <w:pPr>
        <w:spacing w:before="0" w:after="200" w:line="276" w:lineRule="auto"/>
        <w:jc w:val="center"/>
      </w:pPr>
      <w:r>
        <w:rPr>
          <w:rFonts w:ascii="Arial" w:hAnsi="Arial"/>
          <w:b/>
          <w:sz w:val="22"/>
        </w:rPr>
        <w:t>ADMINISTRASI KEGIATAN PEMBANGUNAN GEDUNG SPPG PROVINSI RIAU TA 2025</w:t>
      </w:r>
    </w:p>
    <w:p>
      <w:pPr>
        <w:keepNext/>
        <w:spacing w:before="160" w:after="80"/>
        <w:jc w:val="left"/>
      </w:pPr>
      <w:r>
        <w:rPr>
          <w:rFonts w:ascii="Arial" w:hAnsi="Arial"/>
          <w:b/>
          <w:sz w:val="21"/>
        </w:rPr>
        <w:t>I. DASAR PENYUSUNAN</w:t>
      </w:r>
    </w:p>
    <w:p>
      <w:pPr>
        <w:spacing w:before="0" w:after="120" w:line="300" w:lineRule="auto"/>
        <w:jc w:val="both"/>
      </w:pPr>
      <w:r>
        <w:rPr>
          <w:rFonts w:ascii="Arial" w:hAnsi="Arial"/>
          <w:b w:val="0"/>
          <w:sz w:val="21"/>
        </w:rPr>
        <w:t>Dokumen Rencana Kebutuhan Sumber Daya ini disusun berdasarkan Kerangka Acuan Kerja (KAK) dan Rencana Anggaran Biaya (RAB) Final Kegiatan Administrasi Pembangunan Gedung SPPG Provinsi Riau TA 2025 untuk memastikan seluruh kebutuhan personel, bahan operasional, dan peralatan kerja teridentifikasi secara terukur.</w:t>
      </w:r>
    </w:p>
    <w:p>
      <w:pPr>
        <w:keepNext/>
        <w:spacing w:before="160" w:after="80"/>
        <w:jc w:val="left"/>
      </w:pPr>
      <w:r>
        <w:rPr>
          <w:rFonts w:ascii="Arial" w:hAnsi="Arial"/>
          <w:b/>
          <w:sz w:val="21"/>
        </w:rPr>
        <w:t>II. RENCANA KEBUTUHAN TENAGA KERJA / PERSONEL PENYELENGGARA</w:t>
      </w:r>
    </w:p>
    <w:tbl>
      <w:tblPr>
        <w:tblW w:type="auto" w:w="0"/>
        <w:jc w:val="center"/>
        <w:tblLayout w:type="fixed"/>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871"/>
        <w:gridCol w:w="1871"/>
        <w:gridCol w:w="1871"/>
        <w:gridCol w:w="1871"/>
        <w:gridCol w:w="1871"/>
      </w:tblGrid>
      <w:tr>
        <w:trPr>
          <w:tblHeader/>
          <w:cantSplit/>
        </w:trPr>
        <w:tc>
          <w:tcPr>
            <w:tcW w:type="dxa" w:w="510"/>
            <w:vAlign w:val="center"/>
            <w:shd w:fill="D9E2F3"/>
            <w:tcMar>
              <w:top w:w="90" w:type="dxa"/>
              <w:bottom w:w="90" w:type="dxa"/>
              <w:left w:w="110" w:type="dxa"/>
              <w:right w:w="110" w:type="dxa"/>
            </w:tcMar>
          </w:tcPr>
          <w:p>
            <w:pPr>
              <w:spacing w:before="0" w:after="0" w:line="276" w:lineRule="auto"/>
              <w:jc w:val="center"/>
            </w:pPr>
            <w:r>
              <w:rPr>
                <w:rFonts w:ascii="Arial" w:hAnsi="Arial"/>
                <w:b/>
                <w:sz w:val="19"/>
              </w:rPr>
              <w:t>No.</w:t>
            </w:r>
          </w:p>
        </w:tc>
        <w:tc>
          <w:tcPr>
            <w:tcW w:type="dxa" w:w="2041"/>
            <w:vAlign w:val="center"/>
            <w:shd w:fill="D9E2F3"/>
            <w:tcMar>
              <w:top w:w="90" w:type="dxa"/>
              <w:bottom w:w="90" w:type="dxa"/>
              <w:left w:w="110" w:type="dxa"/>
              <w:right w:w="110" w:type="dxa"/>
            </w:tcMar>
          </w:tcPr>
          <w:p>
            <w:pPr>
              <w:spacing w:before="0" w:after="0" w:line="276" w:lineRule="auto"/>
              <w:jc w:val="center"/>
            </w:pPr>
            <w:r>
              <w:rPr>
                <w:rFonts w:ascii="Arial" w:hAnsi="Arial"/>
                <w:b/>
                <w:sz w:val="19"/>
              </w:rPr>
              <w:t>Unsur Penyelenggara</w:t>
            </w:r>
          </w:p>
        </w:tc>
        <w:tc>
          <w:tcPr>
            <w:tcW w:type="dxa" w:w="1020"/>
            <w:vAlign w:val="center"/>
            <w:shd w:fill="D9E2F3"/>
            <w:tcMar>
              <w:top w:w="90" w:type="dxa"/>
              <w:bottom w:w="90" w:type="dxa"/>
              <w:left w:w="110" w:type="dxa"/>
              <w:right w:w="110" w:type="dxa"/>
            </w:tcMar>
          </w:tcPr>
          <w:p>
            <w:pPr>
              <w:spacing w:before="0" w:after="0" w:line="276" w:lineRule="auto"/>
              <w:jc w:val="center"/>
            </w:pPr>
            <w:r>
              <w:rPr>
                <w:rFonts w:ascii="Arial" w:hAnsi="Arial"/>
                <w:b/>
                <w:sz w:val="19"/>
              </w:rPr>
              <w:t>Jumlah</w:t>
            </w:r>
          </w:p>
        </w:tc>
        <w:tc>
          <w:tcPr>
            <w:tcW w:type="dxa" w:w="2154"/>
            <w:vAlign w:val="center"/>
            <w:shd w:fill="D9E2F3"/>
            <w:tcMar>
              <w:top w:w="90" w:type="dxa"/>
              <w:bottom w:w="90" w:type="dxa"/>
              <w:left w:w="110" w:type="dxa"/>
              <w:right w:w="110" w:type="dxa"/>
            </w:tcMar>
          </w:tcPr>
          <w:p>
            <w:pPr>
              <w:spacing w:before="0" w:after="0" w:line="276" w:lineRule="auto"/>
              <w:jc w:val="center"/>
            </w:pPr>
            <w:r>
              <w:rPr>
                <w:rFonts w:ascii="Arial" w:hAnsi="Arial"/>
                <w:b/>
                <w:sz w:val="19"/>
              </w:rPr>
              <w:t>Kualifikasi</w:t>
            </w:r>
          </w:p>
        </w:tc>
        <w:tc>
          <w:tcPr>
            <w:tcW w:type="dxa" w:w="3628"/>
            <w:vAlign w:val="center"/>
            <w:shd w:fill="D9E2F3"/>
            <w:tcMar>
              <w:top w:w="90" w:type="dxa"/>
              <w:bottom w:w="90" w:type="dxa"/>
              <w:left w:w="110" w:type="dxa"/>
              <w:right w:w="110" w:type="dxa"/>
            </w:tcMar>
          </w:tcPr>
          <w:p>
            <w:pPr>
              <w:spacing w:before="0" w:after="0" w:line="276" w:lineRule="auto"/>
              <w:jc w:val="center"/>
            </w:pPr>
            <w:r>
              <w:rPr>
                <w:rFonts w:ascii="Arial" w:hAnsi="Arial"/>
                <w:b/>
                <w:sz w:val="19"/>
              </w:rPr>
              <w:t>Peran dalam Pelaksanaan Swakelola</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1</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Tim Persiapan Swakelola</w:t>
            </w:r>
          </w:p>
        </w:tc>
        <w:tc>
          <w:tcPr>
            <w:tcW w:type="dxa" w:w="1020"/>
            <w:vAlign w:val="center"/>
            <w:tcMar>
              <w:top w:w="75" w:type="dxa"/>
              <w:bottom w:w="75" w:type="dxa"/>
              <w:left w:w="110" w:type="dxa"/>
              <w:right w:w="110" w:type="dxa"/>
            </w:tcMar>
          </w:tcPr>
          <w:p>
            <w:pPr>
              <w:spacing w:before="0" w:after="0" w:line="276" w:lineRule="auto"/>
              <w:jc w:val="left"/>
            </w:pPr>
            <w:r>
              <w:rPr>
                <w:rFonts w:ascii="Arial" w:hAnsi="Arial"/>
                <w:b w:val="0"/>
                <w:sz w:val="19"/>
              </w:rPr>
              <w:t>3 Orang</w:t>
            </w:r>
          </w:p>
        </w:tc>
        <w:tc>
          <w:tcPr>
            <w:tcW w:type="dxa" w:w="2154"/>
            <w:vAlign w:val="center"/>
            <w:tcMar>
              <w:top w:w="75" w:type="dxa"/>
              <w:bottom w:w="75" w:type="dxa"/>
              <w:left w:w="110" w:type="dxa"/>
              <w:right w:w="110" w:type="dxa"/>
            </w:tcMar>
          </w:tcPr>
          <w:p>
            <w:pPr>
              <w:spacing w:before="0" w:after="0" w:line="276" w:lineRule="auto"/>
              <w:jc w:val="left"/>
            </w:pPr>
            <w:r>
              <w:rPr>
                <w:rFonts w:ascii="Arial" w:hAnsi="Arial"/>
                <w:b w:val="0"/>
                <w:sz w:val="19"/>
              </w:rPr>
              <w:t>Sarjana Teknik / Ekonomi / Administrasi</w:t>
            </w:r>
          </w:p>
        </w:tc>
        <w:tc>
          <w:tcPr>
            <w:tcW w:type="dxa" w:w="3628"/>
            <w:vAlign w:val="center"/>
            <w:tcMar>
              <w:top w:w="75" w:type="dxa"/>
              <w:bottom w:w="75" w:type="dxa"/>
              <w:left w:w="110" w:type="dxa"/>
              <w:right w:w="110" w:type="dxa"/>
            </w:tcMar>
          </w:tcPr>
          <w:p>
            <w:pPr>
              <w:spacing w:before="0" w:after="0" w:line="276" w:lineRule="auto"/>
              <w:jc w:val="both"/>
            </w:pPr>
            <w:r>
              <w:rPr>
                <w:rFonts w:ascii="Arial" w:hAnsi="Arial"/>
                <w:b w:val="0"/>
                <w:sz w:val="19"/>
              </w:rPr>
              <w:t>Menyusun rencana kerja, jadwal, spesifikasi kebutuhan, serta telaah KAK dan RAB.</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2</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Tim Pelaksana Swakelola</w:t>
            </w:r>
          </w:p>
        </w:tc>
        <w:tc>
          <w:tcPr>
            <w:tcW w:type="dxa" w:w="1020"/>
            <w:vAlign w:val="center"/>
            <w:tcMar>
              <w:top w:w="75" w:type="dxa"/>
              <w:bottom w:w="75" w:type="dxa"/>
              <w:left w:w="110" w:type="dxa"/>
              <w:right w:w="110" w:type="dxa"/>
            </w:tcMar>
          </w:tcPr>
          <w:p>
            <w:pPr>
              <w:spacing w:before="0" w:after="0" w:line="276" w:lineRule="auto"/>
              <w:jc w:val="left"/>
            </w:pPr>
            <w:r>
              <w:rPr>
                <w:rFonts w:ascii="Arial" w:hAnsi="Arial"/>
                <w:b w:val="0"/>
                <w:sz w:val="19"/>
              </w:rPr>
              <w:t>6 Orang</w:t>
            </w:r>
          </w:p>
        </w:tc>
        <w:tc>
          <w:tcPr>
            <w:tcW w:type="dxa" w:w="2154"/>
            <w:vAlign w:val="center"/>
            <w:tcMar>
              <w:top w:w="75" w:type="dxa"/>
              <w:bottom w:w="75" w:type="dxa"/>
              <w:left w:w="110" w:type="dxa"/>
              <w:right w:w="110" w:type="dxa"/>
            </w:tcMar>
          </w:tcPr>
          <w:p>
            <w:pPr>
              <w:spacing w:before="0" w:after="0" w:line="276" w:lineRule="auto"/>
              <w:jc w:val="left"/>
            </w:pPr>
            <w:r>
              <w:rPr>
                <w:rFonts w:ascii="Arial" w:hAnsi="Arial"/>
                <w:b w:val="0"/>
                <w:sz w:val="19"/>
              </w:rPr>
              <w:t>Staf Teknis &amp; Administrasi Satker PPS Riau</w:t>
            </w:r>
          </w:p>
        </w:tc>
        <w:tc>
          <w:tcPr>
            <w:tcW w:type="dxa" w:w="3628"/>
            <w:vAlign w:val="center"/>
            <w:tcMar>
              <w:top w:w="75" w:type="dxa"/>
              <w:bottom w:w="75" w:type="dxa"/>
              <w:left w:w="110" w:type="dxa"/>
              <w:right w:w="110" w:type="dxa"/>
            </w:tcMar>
          </w:tcPr>
          <w:p>
            <w:pPr>
              <w:spacing w:before="0" w:after="0" w:line="276" w:lineRule="auto"/>
              <w:jc w:val="both"/>
            </w:pPr>
            <w:r>
              <w:rPr>
                <w:rFonts w:ascii="Arial" w:hAnsi="Arial"/>
                <w:b w:val="0"/>
                <w:sz w:val="19"/>
              </w:rPr>
              <w:t>Melaksanakan administrasi kegiatan, survei lokasi, monitoring lapangan, dan penyusunan laporan.</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3</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Tim Pengawas Swakelola</w:t>
            </w:r>
          </w:p>
        </w:tc>
        <w:tc>
          <w:tcPr>
            <w:tcW w:type="dxa" w:w="1020"/>
            <w:vAlign w:val="center"/>
            <w:tcMar>
              <w:top w:w="75" w:type="dxa"/>
              <w:bottom w:w="75" w:type="dxa"/>
              <w:left w:w="110" w:type="dxa"/>
              <w:right w:w="110" w:type="dxa"/>
            </w:tcMar>
          </w:tcPr>
          <w:p>
            <w:pPr>
              <w:spacing w:before="0" w:after="0" w:line="276" w:lineRule="auto"/>
              <w:jc w:val="left"/>
            </w:pPr>
            <w:r>
              <w:rPr>
                <w:rFonts w:ascii="Arial" w:hAnsi="Arial"/>
                <w:b w:val="0"/>
                <w:sz w:val="19"/>
              </w:rPr>
              <w:t>2 Orang</w:t>
            </w:r>
          </w:p>
        </w:tc>
        <w:tc>
          <w:tcPr>
            <w:tcW w:type="dxa" w:w="2154"/>
            <w:vAlign w:val="center"/>
            <w:tcMar>
              <w:top w:w="75" w:type="dxa"/>
              <w:bottom w:w="75" w:type="dxa"/>
              <w:left w:w="110" w:type="dxa"/>
              <w:right w:w="110" w:type="dxa"/>
            </w:tcMar>
          </w:tcPr>
          <w:p>
            <w:pPr>
              <w:spacing w:before="0" w:after="0" w:line="276" w:lineRule="auto"/>
              <w:jc w:val="left"/>
            </w:pPr>
            <w:r>
              <w:rPr>
                <w:rFonts w:ascii="Arial" w:hAnsi="Arial"/>
                <w:b w:val="0"/>
                <w:sz w:val="19"/>
              </w:rPr>
              <w:t>Pejabat / Staf Pengawas &amp; Keuangan Satker</w:t>
            </w:r>
          </w:p>
        </w:tc>
        <w:tc>
          <w:tcPr>
            <w:tcW w:type="dxa" w:w="3628"/>
            <w:vAlign w:val="center"/>
            <w:tcMar>
              <w:top w:w="75" w:type="dxa"/>
              <w:bottom w:w="75" w:type="dxa"/>
              <w:left w:w="110" w:type="dxa"/>
              <w:right w:w="110" w:type="dxa"/>
            </w:tcMar>
          </w:tcPr>
          <w:p>
            <w:pPr>
              <w:spacing w:before="0" w:after="0" w:line="276" w:lineRule="auto"/>
              <w:jc w:val="both"/>
            </w:pPr>
            <w:r>
              <w:rPr>
                <w:rFonts w:ascii="Arial" w:hAnsi="Arial"/>
                <w:b w:val="0"/>
                <w:sz w:val="19"/>
              </w:rPr>
              <w:t>Melaksanakan pengawasan administrasi, teknis, dan pengujian bukti pertanggungjawaban keuangan.</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4</w:t>
            </w:r>
          </w:p>
        </w:tc>
        <w:tc>
          <w:tcPr>
            <w:tcW w:type="dxa" w:w="2041"/>
            <w:vAlign w:val="center"/>
            <w:tcMar>
              <w:top w:w="75" w:type="dxa"/>
              <w:bottom w:w="75" w:type="dxa"/>
              <w:left w:w="110" w:type="dxa"/>
              <w:right w:w="110" w:type="dxa"/>
            </w:tcMar>
          </w:tcPr>
          <w:p>
            <w:pPr>
              <w:spacing w:before="0" w:after="0" w:line="276" w:lineRule="auto"/>
              <w:jc w:val="left"/>
            </w:pPr>
            <w:r>
              <w:rPr>
                <w:rFonts w:ascii="Arial" w:hAnsi="Arial"/>
                <w:b w:val="0"/>
                <w:sz w:val="19"/>
              </w:rPr>
              <w:t>Tenaga Ahli Eksternal</w:t>
            </w:r>
          </w:p>
        </w:tc>
        <w:tc>
          <w:tcPr>
            <w:tcW w:type="dxa" w:w="1020"/>
            <w:vAlign w:val="center"/>
            <w:tcMar>
              <w:top w:w="75" w:type="dxa"/>
              <w:bottom w:w="75" w:type="dxa"/>
              <w:left w:w="110" w:type="dxa"/>
              <w:right w:w="110" w:type="dxa"/>
            </w:tcMar>
          </w:tcPr>
          <w:p>
            <w:pPr>
              <w:spacing w:before="0" w:after="0" w:line="276" w:lineRule="auto"/>
              <w:jc w:val="left"/>
            </w:pPr>
            <w:r>
              <w:rPr>
                <w:rFonts w:ascii="Arial" w:hAnsi="Arial"/>
                <w:b w:val="0"/>
                <w:sz w:val="19"/>
              </w:rPr>
              <w:t>- (Nihil)</w:t>
            </w:r>
          </w:p>
        </w:tc>
        <w:tc>
          <w:tcPr>
            <w:tcW w:type="dxa" w:w="2154"/>
            <w:vAlign w:val="center"/>
            <w:tcMar>
              <w:top w:w="75" w:type="dxa"/>
              <w:bottom w:w="75" w:type="dxa"/>
              <w:left w:w="110" w:type="dxa"/>
              <w:right w:w="110" w:type="dxa"/>
            </w:tcMar>
          </w:tcPr>
          <w:p>
            <w:pPr>
              <w:spacing w:before="0" w:after="0" w:line="276" w:lineRule="auto"/>
              <w:jc w:val="left"/>
            </w:pPr>
            <w:r>
              <w:rPr>
                <w:rFonts w:ascii="Arial" w:hAnsi="Arial"/>
                <w:b w:val="0"/>
                <w:sz w:val="19"/>
              </w:rPr>
              <w:t>-</w:t>
            </w:r>
          </w:p>
        </w:tc>
        <w:tc>
          <w:tcPr>
            <w:tcW w:type="dxa" w:w="3628"/>
            <w:vAlign w:val="center"/>
            <w:tcMar>
              <w:top w:w="75" w:type="dxa"/>
              <w:bottom w:w="75" w:type="dxa"/>
              <w:left w:w="110" w:type="dxa"/>
              <w:right w:w="110" w:type="dxa"/>
            </w:tcMar>
          </w:tcPr>
          <w:p>
            <w:pPr>
              <w:spacing w:before="0" w:after="0" w:line="276" w:lineRule="auto"/>
              <w:jc w:val="both"/>
            </w:pPr>
            <w:r>
              <w:rPr>
                <w:rFonts w:ascii="Arial" w:hAnsi="Arial"/>
                <w:b w:val="0"/>
                <w:sz w:val="19"/>
              </w:rPr>
              <w:t>Tidak menggunakan tenaga ahli eksternal karena kompetensi teknis tersedia pada SDM internal Satker.</w:t>
            </w:r>
          </w:p>
        </w:tc>
      </w:tr>
    </w:tbl>
    <w:p>
      <w:pPr>
        <w:spacing w:before="0" w:after="120"/>
      </w:pPr>
    </w:p>
    <w:p>
      <w:pPr>
        <w:keepNext/>
        <w:spacing w:before="160" w:after="80"/>
        <w:jc w:val="left"/>
      </w:pPr>
      <w:r>
        <w:rPr>
          <w:rFonts w:ascii="Arial" w:hAnsi="Arial"/>
          <w:b/>
          <w:sz w:val="21"/>
        </w:rPr>
        <w:t>III. RENCANA KEBUTUHAN BAHAN DAN SARANA PENDUKUNG</w:t>
      </w:r>
    </w:p>
    <w:tbl>
      <w:tblPr>
        <w:tblW w:type="auto" w:w="0"/>
        <w:jc w:val="center"/>
        <w:tblLayout w:type="fixed"/>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871"/>
        <w:gridCol w:w="1871"/>
        <w:gridCol w:w="1871"/>
        <w:gridCol w:w="1871"/>
        <w:gridCol w:w="1871"/>
      </w:tblGrid>
      <w:tr>
        <w:trPr>
          <w:tblHeader/>
          <w:cantSplit/>
        </w:trPr>
        <w:tc>
          <w:tcPr>
            <w:tcW w:type="dxa" w:w="510"/>
            <w:vAlign w:val="center"/>
            <w:shd w:fill="D9E2F3"/>
            <w:tcMar>
              <w:top w:w="90" w:type="dxa"/>
              <w:bottom w:w="90" w:type="dxa"/>
              <w:left w:w="110" w:type="dxa"/>
              <w:right w:w="110" w:type="dxa"/>
            </w:tcMar>
          </w:tcPr>
          <w:p>
            <w:pPr>
              <w:spacing w:before="0" w:after="0" w:line="276" w:lineRule="auto"/>
              <w:jc w:val="center"/>
            </w:pPr>
            <w:r>
              <w:rPr>
                <w:rFonts w:ascii="Arial" w:hAnsi="Arial"/>
                <w:b/>
                <w:sz w:val="19"/>
              </w:rPr>
              <w:t>No.</w:t>
            </w:r>
          </w:p>
        </w:tc>
        <w:tc>
          <w:tcPr>
            <w:tcW w:type="dxa" w:w="1984"/>
            <w:vAlign w:val="center"/>
            <w:shd w:fill="D9E2F3"/>
            <w:tcMar>
              <w:top w:w="90" w:type="dxa"/>
              <w:bottom w:w="90" w:type="dxa"/>
              <w:left w:w="110" w:type="dxa"/>
              <w:right w:w="110" w:type="dxa"/>
            </w:tcMar>
          </w:tcPr>
          <w:p>
            <w:pPr>
              <w:spacing w:before="0" w:after="0" w:line="276" w:lineRule="auto"/>
              <w:jc w:val="center"/>
            </w:pPr>
            <w:r>
              <w:rPr>
                <w:rFonts w:ascii="Arial" w:hAnsi="Arial"/>
                <w:b/>
                <w:sz w:val="19"/>
              </w:rPr>
              <w:t>Jenis Bahan / Peralatan</w:t>
            </w:r>
          </w:p>
        </w:tc>
        <w:tc>
          <w:tcPr>
            <w:tcW w:type="dxa" w:w="3742"/>
            <w:vAlign w:val="center"/>
            <w:shd w:fill="D9E2F3"/>
            <w:tcMar>
              <w:top w:w="90" w:type="dxa"/>
              <w:bottom w:w="90" w:type="dxa"/>
              <w:left w:w="110" w:type="dxa"/>
              <w:right w:w="110" w:type="dxa"/>
            </w:tcMar>
          </w:tcPr>
          <w:p>
            <w:pPr>
              <w:spacing w:before="0" w:after="0" w:line="276" w:lineRule="auto"/>
              <w:jc w:val="center"/>
            </w:pPr>
            <w:r>
              <w:rPr>
                <w:rFonts w:ascii="Arial" w:hAnsi="Arial"/>
                <w:b/>
                <w:sz w:val="19"/>
              </w:rPr>
              <w:t>Rincian Spesifikasi Kebutuhan</w:t>
            </w:r>
          </w:p>
        </w:tc>
        <w:tc>
          <w:tcPr>
            <w:tcW w:type="dxa" w:w="1304"/>
            <w:vAlign w:val="center"/>
            <w:shd w:fill="D9E2F3"/>
            <w:tcMar>
              <w:top w:w="90" w:type="dxa"/>
              <w:bottom w:w="90" w:type="dxa"/>
              <w:left w:w="110" w:type="dxa"/>
              <w:right w:w="110" w:type="dxa"/>
            </w:tcMar>
          </w:tcPr>
          <w:p>
            <w:pPr>
              <w:spacing w:before="0" w:after="0" w:line="276" w:lineRule="auto"/>
              <w:jc w:val="center"/>
            </w:pPr>
            <w:r>
              <w:rPr>
                <w:rFonts w:ascii="Arial" w:hAnsi="Arial"/>
                <w:b/>
                <w:sz w:val="19"/>
              </w:rPr>
              <w:t>Volume</w:t>
            </w:r>
          </w:p>
        </w:tc>
        <w:tc>
          <w:tcPr>
            <w:tcW w:type="dxa" w:w="1814"/>
            <w:vAlign w:val="center"/>
            <w:shd w:fill="D9E2F3"/>
            <w:tcMar>
              <w:top w:w="90" w:type="dxa"/>
              <w:bottom w:w="90" w:type="dxa"/>
              <w:left w:w="110" w:type="dxa"/>
              <w:right w:w="110" w:type="dxa"/>
            </w:tcMar>
          </w:tcPr>
          <w:p>
            <w:pPr>
              <w:spacing w:before="0" w:after="0" w:line="276" w:lineRule="auto"/>
              <w:jc w:val="center"/>
            </w:pPr>
            <w:r>
              <w:rPr>
                <w:rFonts w:ascii="Arial" w:hAnsi="Arial"/>
                <w:b/>
                <w:sz w:val="19"/>
              </w:rPr>
              <w:t>Metode Pemenuhan</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1</w:t>
            </w:r>
          </w:p>
        </w:tc>
        <w:tc>
          <w:tcPr>
            <w:tcW w:type="dxa" w:w="1984"/>
            <w:vAlign w:val="center"/>
            <w:tcMar>
              <w:top w:w="75" w:type="dxa"/>
              <w:bottom w:w="75" w:type="dxa"/>
              <w:left w:w="110" w:type="dxa"/>
              <w:right w:w="110" w:type="dxa"/>
            </w:tcMar>
          </w:tcPr>
          <w:p>
            <w:pPr>
              <w:spacing w:before="0" w:after="0" w:line="276" w:lineRule="auto"/>
              <w:jc w:val="left"/>
            </w:pPr>
            <w:r>
              <w:rPr>
                <w:rFonts w:ascii="Arial" w:hAnsi="Arial"/>
                <w:b w:val="0"/>
                <w:sz w:val="19"/>
              </w:rPr>
              <w:t>Alat Tulis Kantor (ATK)</w:t>
            </w:r>
          </w:p>
        </w:tc>
        <w:tc>
          <w:tcPr>
            <w:tcW w:type="dxa" w:w="3742"/>
            <w:vAlign w:val="center"/>
            <w:tcMar>
              <w:top w:w="75" w:type="dxa"/>
              <w:bottom w:w="75" w:type="dxa"/>
              <w:left w:w="110" w:type="dxa"/>
              <w:right w:w="110" w:type="dxa"/>
            </w:tcMar>
          </w:tcPr>
          <w:p>
            <w:pPr>
              <w:spacing w:before="0" w:after="0" w:line="276" w:lineRule="auto"/>
              <w:jc w:val="both"/>
            </w:pPr>
            <w:r>
              <w:rPr>
                <w:rFonts w:ascii="Arial" w:hAnsi="Arial"/>
                <w:b w:val="0"/>
                <w:sz w:val="19"/>
              </w:rPr>
              <w:t>Kertas HVS F4/A4 80gr, Odner Bantex, Map Binder, Kertas Jilid, Plastik Mika, Lakban, Pena, Pensil, Stapler, Klip, dan perlengkapan pemberkasan.</w:t>
            </w:r>
          </w:p>
        </w:tc>
        <w:tc>
          <w:tcPr>
            <w:tcW w:type="dxa" w:w="1304"/>
            <w:vAlign w:val="center"/>
            <w:tcMar>
              <w:top w:w="75" w:type="dxa"/>
              <w:bottom w:w="75" w:type="dxa"/>
              <w:left w:w="110" w:type="dxa"/>
              <w:right w:w="110" w:type="dxa"/>
            </w:tcMar>
          </w:tcPr>
          <w:p>
            <w:pPr>
              <w:spacing w:before="0" w:after="0" w:line="276" w:lineRule="auto"/>
              <w:jc w:val="center"/>
            </w:pPr>
            <w:r>
              <w:rPr>
                <w:rFonts w:ascii="Arial" w:hAnsi="Arial"/>
                <w:b w:val="0"/>
                <w:sz w:val="19"/>
              </w:rPr>
              <w:t>1 Paket</w:t>
              <w:br/>
              <w:t>(Rp 10.750.000)</w:t>
            </w:r>
          </w:p>
        </w:tc>
        <w:tc>
          <w:tcPr>
            <w:tcW w:type="dxa" w:w="1814"/>
            <w:vAlign w:val="center"/>
            <w:tcMar>
              <w:top w:w="75" w:type="dxa"/>
              <w:bottom w:w="75" w:type="dxa"/>
              <w:left w:w="110" w:type="dxa"/>
              <w:right w:w="110" w:type="dxa"/>
            </w:tcMar>
          </w:tcPr>
          <w:p>
            <w:pPr>
              <w:spacing w:before="0" w:after="0" w:line="276" w:lineRule="auto"/>
              <w:jc w:val="left"/>
            </w:pPr>
            <w:r>
              <w:rPr>
                <w:rFonts w:ascii="Arial" w:hAnsi="Arial"/>
                <w:b w:val="0"/>
                <w:sz w:val="19"/>
              </w:rPr>
              <w:t>Pembelian Langsung</w:t>
              <w:br/>
              <w:t>(Akun 521211)</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2</w:t>
            </w:r>
          </w:p>
        </w:tc>
        <w:tc>
          <w:tcPr>
            <w:tcW w:type="dxa" w:w="1984"/>
            <w:vAlign w:val="center"/>
            <w:tcMar>
              <w:top w:w="75" w:type="dxa"/>
              <w:bottom w:w="75" w:type="dxa"/>
              <w:left w:w="110" w:type="dxa"/>
              <w:right w:w="110" w:type="dxa"/>
            </w:tcMar>
          </w:tcPr>
          <w:p>
            <w:pPr>
              <w:spacing w:before="0" w:after="0" w:line="276" w:lineRule="auto"/>
              <w:jc w:val="left"/>
            </w:pPr>
            <w:r>
              <w:rPr>
                <w:rFonts w:ascii="Arial" w:hAnsi="Arial"/>
                <w:b w:val="0"/>
                <w:sz w:val="19"/>
              </w:rPr>
              <w:t>Computer Supplies</w:t>
            </w:r>
          </w:p>
        </w:tc>
        <w:tc>
          <w:tcPr>
            <w:tcW w:type="dxa" w:w="3742"/>
            <w:vAlign w:val="center"/>
            <w:tcMar>
              <w:top w:w="75" w:type="dxa"/>
              <w:bottom w:w="75" w:type="dxa"/>
              <w:left w:w="110" w:type="dxa"/>
              <w:right w:w="110" w:type="dxa"/>
            </w:tcMar>
          </w:tcPr>
          <w:p>
            <w:pPr>
              <w:spacing w:before="0" w:after="0" w:line="276" w:lineRule="auto"/>
              <w:jc w:val="both"/>
            </w:pPr>
            <w:r>
              <w:rPr>
                <w:rFonts w:ascii="Arial" w:hAnsi="Arial"/>
                <w:b w:val="0"/>
                <w:sz w:val="19"/>
              </w:rPr>
              <w:t>Tinta Printer Epson Original (003/664), Toner Cartridge LaserJet 85A/17A, Flashdisk, dan perlengkapan cetak laporan.</w:t>
            </w:r>
          </w:p>
        </w:tc>
        <w:tc>
          <w:tcPr>
            <w:tcW w:type="dxa" w:w="1304"/>
            <w:vAlign w:val="center"/>
            <w:tcMar>
              <w:top w:w="75" w:type="dxa"/>
              <w:bottom w:w="75" w:type="dxa"/>
              <w:left w:w="110" w:type="dxa"/>
              <w:right w:w="110" w:type="dxa"/>
            </w:tcMar>
          </w:tcPr>
          <w:p>
            <w:pPr>
              <w:spacing w:before="0" w:after="0" w:line="276" w:lineRule="auto"/>
              <w:jc w:val="center"/>
            </w:pPr>
            <w:r>
              <w:rPr>
                <w:rFonts w:ascii="Arial" w:hAnsi="Arial"/>
                <w:b w:val="0"/>
                <w:sz w:val="19"/>
              </w:rPr>
              <w:t>1 Paket</w:t>
              <w:br/>
              <w:t>(Rp 9.485.000)</w:t>
            </w:r>
          </w:p>
        </w:tc>
        <w:tc>
          <w:tcPr>
            <w:tcW w:type="dxa" w:w="1814"/>
            <w:vAlign w:val="center"/>
            <w:tcMar>
              <w:top w:w="75" w:type="dxa"/>
              <w:bottom w:w="75" w:type="dxa"/>
              <w:left w:w="110" w:type="dxa"/>
              <w:right w:w="110" w:type="dxa"/>
            </w:tcMar>
          </w:tcPr>
          <w:p>
            <w:pPr>
              <w:spacing w:before="0" w:after="0" w:line="276" w:lineRule="auto"/>
              <w:jc w:val="left"/>
            </w:pPr>
            <w:r>
              <w:rPr>
                <w:rFonts w:ascii="Arial" w:hAnsi="Arial"/>
                <w:b w:val="0"/>
                <w:sz w:val="19"/>
              </w:rPr>
              <w:t>Pembelian Langsung</w:t>
              <w:br/>
              <w:t>(Akun 521211)</w:t>
            </w:r>
          </w:p>
        </w:tc>
      </w:tr>
      <w:tr>
        <w:trPr>
          <w:cantSplit/>
        </w:trPr>
        <w:tc>
          <w:tcPr>
            <w:tcW w:type="dxa" w:w="510"/>
            <w:vAlign w:val="center"/>
            <w:tcMar>
              <w:top w:w="75" w:type="dxa"/>
              <w:bottom w:w="75" w:type="dxa"/>
              <w:left w:w="110" w:type="dxa"/>
              <w:right w:w="110" w:type="dxa"/>
            </w:tcMar>
          </w:tcPr>
          <w:p>
            <w:pPr>
              <w:spacing w:before="0" w:after="0" w:line="276" w:lineRule="auto"/>
              <w:jc w:val="center"/>
            </w:pPr>
            <w:r>
              <w:rPr>
                <w:rFonts w:ascii="Arial" w:hAnsi="Arial"/>
                <w:b w:val="0"/>
                <w:sz w:val="19"/>
              </w:rPr>
              <w:t>3</w:t>
            </w:r>
          </w:p>
        </w:tc>
        <w:tc>
          <w:tcPr>
            <w:tcW w:type="dxa" w:w="1984"/>
            <w:vAlign w:val="center"/>
            <w:tcMar>
              <w:top w:w="75" w:type="dxa"/>
              <w:bottom w:w="75" w:type="dxa"/>
              <w:left w:w="110" w:type="dxa"/>
              <w:right w:w="110" w:type="dxa"/>
            </w:tcMar>
          </w:tcPr>
          <w:p>
            <w:pPr>
              <w:spacing w:before="0" w:after="0" w:line="276" w:lineRule="auto"/>
              <w:jc w:val="left"/>
            </w:pPr>
            <w:r>
              <w:rPr>
                <w:rFonts w:ascii="Arial" w:hAnsi="Arial"/>
                <w:b w:val="0"/>
                <w:sz w:val="19"/>
              </w:rPr>
              <w:t>Peralatan Kerja &amp; Survei</w:t>
            </w:r>
          </w:p>
        </w:tc>
        <w:tc>
          <w:tcPr>
            <w:tcW w:type="dxa" w:w="3742"/>
            <w:vAlign w:val="center"/>
            <w:tcMar>
              <w:top w:w="75" w:type="dxa"/>
              <w:bottom w:w="75" w:type="dxa"/>
              <w:left w:w="110" w:type="dxa"/>
              <w:right w:w="110" w:type="dxa"/>
            </w:tcMar>
          </w:tcPr>
          <w:p>
            <w:pPr>
              <w:spacing w:before="0" w:after="0" w:line="276" w:lineRule="auto"/>
              <w:jc w:val="both"/>
            </w:pPr>
            <w:r>
              <w:rPr>
                <w:rFonts w:ascii="Arial" w:hAnsi="Arial"/>
                <w:b w:val="0"/>
                <w:sz w:val="19"/>
              </w:rPr>
              <w:t>Laptop/Komputer, Printer, Kamera Dokumentasi, Alat Ukur Lapangan, dan Kendaraan Operasional.</w:t>
            </w:r>
          </w:p>
        </w:tc>
        <w:tc>
          <w:tcPr>
            <w:tcW w:type="dxa" w:w="1304"/>
            <w:vAlign w:val="center"/>
            <w:tcMar>
              <w:top w:w="75" w:type="dxa"/>
              <w:bottom w:w="75" w:type="dxa"/>
              <w:left w:w="110" w:type="dxa"/>
              <w:right w:w="110" w:type="dxa"/>
            </w:tcMar>
          </w:tcPr>
          <w:p>
            <w:pPr>
              <w:spacing w:before="0" w:after="0" w:line="276" w:lineRule="auto"/>
              <w:jc w:val="center"/>
            </w:pPr>
            <w:r>
              <w:rPr>
                <w:rFonts w:ascii="Arial" w:hAnsi="Arial"/>
                <w:b w:val="0"/>
                <w:sz w:val="19"/>
              </w:rPr>
              <w:t>Sesuai Penugasan</w:t>
            </w:r>
          </w:p>
        </w:tc>
        <w:tc>
          <w:tcPr>
            <w:tcW w:type="dxa" w:w="1814"/>
            <w:vAlign w:val="center"/>
            <w:tcMar>
              <w:top w:w="75" w:type="dxa"/>
              <w:bottom w:w="75" w:type="dxa"/>
              <w:left w:w="110" w:type="dxa"/>
              <w:right w:w="110" w:type="dxa"/>
            </w:tcMar>
          </w:tcPr>
          <w:p>
            <w:pPr>
              <w:spacing w:before="0" w:after="0" w:line="276" w:lineRule="auto"/>
              <w:jc w:val="left"/>
            </w:pPr>
            <w:r>
              <w:rPr>
                <w:rFonts w:ascii="Arial" w:hAnsi="Arial"/>
                <w:b w:val="0"/>
                <w:sz w:val="19"/>
              </w:rPr>
              <w:t>Fasilitas Barang Milik Negara (BMN) Satker PPS Riau</w:t>
            </w:r>
          </w:p>
        </w:tc>
      </w:tr>
    </w:tbl>
    <w:p>
      <w:pPr>
        <w:spacing w:before="0" w:after="12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77"/>
      </w:tblGrid>
      <w:tr>
        <w:trPr>
          <w:cantSplit/>
        </w:trPr>
        <w:tc>
          <w:tcPr>
            <w:tcW w:type="dxa" w:w="4677"/>
          </w:tcPr>
          <w:p>
            <w:pPr>
              <w:spacing w:before="160" w:line="276" w:lineRule="auto"/>
              <w:jc w:val="left"/>
            </w:pPr>
            <w:r>
              <w:rPr>
                <w:rFonts w:ascii="Arial" w:hAnsi="Arial"/>
                <w:sz w:val="21"/>
              </w:rPr>
              <w:t>Disetujui oleh,</w:t>
              <w:br/>
            </w:r>
            <w:r>
              <w:rPr>
                <w:rFonts w:ascii="Arial" w:hAnsi="Arial"/>
                <w:b/>
                <w:sz w:val="21"/>
              </w:rPr>
              <w:t>Pejabat Pembuat Komitmen (PPK)</w:t>
              <w:br/>
              <w:t>Satker Pelaksanaan Prasarana Strategis Riau,</w:t>
              <w:br/>
              <w:br/>
              <w:br/>
              <w:br/>
            </w:r>
            <w:r>
              <w:rPr>
                <w:rFonts w:ascii="Arial" w:hAnsi="Arial"/>
                <w:b/>
                <w:sz w:val="21"/>
                <w:u w:val="single"/>
              </w:rPr>
              <w:t>Nurhidayat Nugroho, S.Ars.</w:t>
              <w:br/>
            </w:r>
            <w:r>
              <w:rPr>
                <w:rFonts w:ascii="Arial" w:hAnsi="Arial"/>
                <w:sz w:val="21"/>
              </w:rPr>
              <w:t>NIP. 19901221 201802 1 001</w:t>
            </w:r>
          </w:p>
        </w:tc>
        <w:tc>
          <w:tcPr>
            <w:tcW w:type="dxa" w:w="4677"/>
          </w:tcPr>
          <w:p>
            <w:pPr>
              <w:spacing w:before="160" w:line="276" w:lineRule="auto"/>
              <w:jc w:val="left"/>
            </w:pPr>
            <w:r>
              <w:rPr>
                <w:rFonts w:ascii="Arial" w:hAnsi="Arial"/>
                <w:sz w:val="21"/>
              </w:rPr>
              <w:t>Pekanbaru, 25 September 2025</w:t>
              <w:br/>
              <w:t>Disusun oleh,</w:t>
              <w:br/>
            </w:r>
            <w:r>
              <w:rPr>
                <w:rFonts w:ascii="Arial" w:hAnsi="Arial"/>
                <w:b/>
                <w:sz w:val="21"/>
              </w:rPr>
              <w:t>Ketua Tim Persiapan Swakelola,</w:t>
              <w:br/>
              <w:br/>
              <w:br/>
              <w:br/>
            </w:r>
            <w:r>
              <w:rPr>
                <w:rFonts w:ascii="Arial" w:hAnsi="Arial"/>
                <w:b/>
                <w:sz w:val="21"/>
                <w:u w:val="single"/>
              </w:rPr>
              <w:t>Nurulia Sefriandari, S.T.</w:t>
              <w:br/>
            </w:r>
            <w:r>
              <w:rPr>
                <w:rFonts w:ascii="Arial" w:hAnsi="Arial"/>
                <w:sz w:val="21"/>
              </w:rPr>
              <w:t>NIP. 19950912 202012 2 004</w:t>
            </w:r>
          </w:p>
        </w:tc>
      </w:tr>
    </w:tbl>
    <w:sectPr w:rsidR="00FC693F" w:rsidRPr="0006063C" w:rsidSect="00034616">
      <w:pgSz w:w="11906" w:h="16838"/>
      <w:pgMar w:top="1020"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