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drawing>
          <wp:inline xmlns:a="http://schemas.openxmlformats.org/drawingml/2006/main" xmlns:pic="http://schemas.openxmlformats.org/drawingml/2006/picture">
            <wp:extent cx="5940000" cy="876504"/>
            <wp:docPr id="1" name="Picture 1"/>
            <wp:cNvGraphicFramePr>
              <a:graphicFrameLocks noChangeAspect="1"/>
            </wp:cNvGraphicFramePr>
            <a:graphic>
              <a:graphicData uri="http://schemas.openxmlformats.org/drawingml/2006/picture">
                <pic:pic>
                  <pic:nvPicPr>
                    <pic:cNvPr id="0" name="1775466518_6770018a33b3f91eebd0.png"/>
                    <pic:cNvPicPr/>
                  </pic:nvPicPr>
                  <pic:blipFill>
                    <a:blip r:embed="rId9"/>
                    <a:stretch>
                      <a:fillRect/>
                    </a:stretch>
                  </pic:blipFill>
                  <pic:spPr>
                    <a:xfrm>
                      <a:off x="0" y="0"/>
                      <a:ext cx="5940000" cy="876504"/>
                    </a:xfrm>
                    <a:prstGeom prst="rect"/>
                  </pic:spPr>
                </pic:pic>
              </a:graphicData>
            </a:graphic>
          </wp:inline>
        </w:drawing>
      </w:r>
    </w:p>
    <w:p>
      <w:pPr>
        <w:spacing w:before="40" w:after="40" w:line="276" w:lineRule="auto"/>
        <w:jc w:val="center"/>
      </w:pPr>
      <w:r>
        <w:rPr>
          <w:rFonts w:ascii="Arial" w:hAnsi="Arial"/>
          <w:b/>
          <w:sz w:val="23"/>
        </w:rPr>
        <w:t>LAPORAN PROGRES FISIK DAN PENGGUNAAN ANGGARAN BERKALA</w:t>
      </w:r>
    </w:p>
    <w:p>
      <w:pPr>
        <w:spacing w:before="0" w:after="40" w:line="276" w:lineRule="auto"/>
        <w:jc w:val="center"/>
      </w:pPr>
      <w:r>
        <w:rPr>
          <w:rFonts w:ascii="Arial" w:hAnsi="Arial"/>
          <w:b/>
          <w:sz w:val="22"/>
        </w:rPr>
        <w:t>KEGIATAN SWAKELOLA TIPE I</w:t>
      </w:r>
    </w:p>
    <w:p>
      <w:pPr>
        <w:spacing w:before="0" w:after="200" w:line="276" w:lineRule="auto"/>
        <w:jc w:val="center"/>
      </w:pPr>
      <w:r>
        <w:rPr>
          <w:rFonts w:ascii="Arial" w:hAnsi="Arial"/>
          <w:b/>
          <w:sz w:val="22"/>
        </w:rPr>
        <w:t>ADMINISTRASI KEGIATAN PEMBANGUNAN GEDUNG SPPG PROVINSI RIAU TA 2025</w:t>
      </w:r>
    </w:p>
    <w:p>
      <w:pPr>
        <w:keepNext/>
        <w:spacing w:before="160" w:after="80"/>
        <w:jc w:val="left"/>
      </w:pPr>
      <w:r>
        <w:rPr>
          <w:rFonts w:ascii="Arial" w:hAnsi="Arial"/>
          <w:b/>
          <w:sz w:val="21"/>
        </w:rPr>
        <w:t>I. PENDAHULUAN</w:t>
      </w:r>
    </w:p>
    <w:p>
      <w:pPr>
        <w:spacing w:before="0" w:after="120" w:line="300" w:lineRule="auto"/>
        <w:jc w:val="both"/>
      </w:pPr>
      <w:r>
        <w:rPr>
          <w:rFonts w:ascii="Arial" w:hAnsi="Arial"/>
          <w:b w:val="0"/>
          <w:sz w:val="21"/>
        </w:rPr>
        <w:t>Laporan progres fisik dan penggunaan anggaran berkala ini disusun oleh Tim Pelaksana Swakelola untuk memberikan gambaran perkembangan capaian keluaran (output) kegiatan serta penyerapan anggaran pada setiap bulan pelaksanaan sejak bulan September sampai dengan Desember 2025.</w:t>
      </w:r>
    </w:p>
    <w:p>
      <w:pPr>
        <w:keepNext/>
        <w:spacing w:before="160" w:after="80"/>
        <w:jc w:val="left"/>
      </w:pPr>
      <w:r>
        <w:rPr>
          <w:rFonts w:ascii="Arial" w:hAnsi="Arial"/>
          <w:b/>
          <w:sz w:val="21"/>
        </w:rPr>
        <w:t>II. REKAPITULASI PROGRES FISIK DAN KEUANGAN BULANAN</w:t>
      </w:r>
    </w:p>
    <w:tbl>
      <w:tblPr>
        <w:tblW w:type="auto" w:w="0"/>
        <w:jc w:val="center"/>
        <w:tblLayout w:type="fixed"/>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1559"/>
        <w:gridCol w:w="1559"/>
        <w:gridCol w:w="1559"/>
        <w:gridCol w:w="1559"/>
        <w:gridCol w:w="1559"/>
        <w:gridCol w:w="1559"/>
      </w:tblGrid>
      <w:tr>
        <w:trPr>
          <w:tblHeader/>
          <w:cantSplit/>
        </w:trPr>
        <w:tc>
          <w:tcPr>
            <w:tcW w:type="dxa" w:w="454"/>
            <w:vAlign w:val="center"/>
            <w:shd w:fill="D9E2F3"/>
            <w:tcMar>
              <w:top w:w="90" w:type="dxa"/>
              <w:bottom w:w="90" w:type="dxa"/>
              <w:left w:w="110" w:type="dxa"/>
              <w:right w:w="110" w:type="dxa"/>
            </w:tcMar>
          </w:tcPr>
          <w:p>
            <w:pPr>
              <w:spacing w:before="0" w:after="0" w:line="276" w:lineRule="auto"/>
              <w:jc w:val="center"/>
            </w:pPr>
            <w:r>
              <w:rPr>
                <w:rFonts w:ascii="Arial" w:hAnsi="Arial"/>
                <w:b/>
                <w:sz w:val="19"/>
              </w:rPr>
              <w:t>No.</w:t>
            </w:r>
          </w:p>
        </w:tc>
        <w:tc>
          <w:tcPr>
            <w:tcW w:type="dxa" w:w="1417"/>
            <w:vAlign w:val="center"/>
            <w:shd w:fill="D9E2F3"/>
            <w:tcMar>
              <w:top w:w="90" w:type="dxa"/>
              <w:bottom w:w="90" w:type="dxa"/>
              <w:left w:w="110" w:type="dxa"/>
              <w:right w:w="110" w:type="dxa"/>
            </w:tcMar>
          </w:tcPr>
          <w:p>
            <w:pPr>
              <w:spacing w:before="0" w:after="0" w:line="276" w:lineRule="auto"/>
              <w:jc w:val="center"/>
            </w:pPr>
            <w:r>
              <w:rPr>
                <w:rFonts w:ascii="Arial" w:hAnsi="Arial"/>
                <w:b/>
                <w:sz w:val="19"/>
              </w:rPr>
              <w:t>Periode Bulan</w:t>
            </w:r>
          </w:p>
        </w:tc>
        <w:tc>
          <w:tcPr>
            <w:tcW w:type="dxa" w:w="3515"/>
            <w:vAlign w:val="center"/>
            <w:shd w:fill="D9E2F3"/>
            <w:tcMar>
              <w:top w:w="90" w:type="dxa"/>
              <w:bottom w:w="90" w:type="dxa"/>
              <w:left w:w="110" w:type="dxa"/>
              <w:right w:w="110" w:type="dxa"/>
            </w:tcMar>
          </w:tcPr>
          <w:p>
            <w:pPr>
              <w:spacing w:before="0" w:after="0" w:line="276" w:lineRule="auto"/>
              <w:jc w:val="center"/>
            </w:pPr>
            <w:r>
              <w:rPr>
                <w:rFonts w:ascii="Arial" w:hAnsi="Arial"/>
                <w:b/>
                <w:sz w:val="19"/>
              </w:rPr>
              <w:t>Uraian Capaian Fisik Pekerjaan</w:t>
            </w:r>
          </w:p>
        </w:tc>
        <w:tc>
          <w:tcPr>
            <w:tcW w:type="dxa" w:w="1134"/>
            <w:vAlign w:val="center"/>
            <w:shd w:fill="D9E2F3"/>
            <w:tcMar>
              <w:top w:w="90" w:type="dxa"/>
              <w:bottom w:w="90" w:type="dxa"/>
              <w:left w:w="110" w:type="dxa"/>
              <w:right w:w="110" w:type="dxa"/>
            </w:tcMar>
          </w:tcPr>
          <w:p>
            <w:pPr>
              <w:spacing w:before="0" w:after="0" w:line="276" w:lineRule="auto"/>
              <w:jc w:val="center"/>
            </w:pPr>
            <w:r>
              <w:rPr>
                <w:rFonts w:ascii="Arial" w:hAnsi="Arial"/>
                <w:b/>
                <w:sz w:val="19"/>
              </w:rPr>
              <w:t>Progres Fisik Kumulatif</w:t>
            </w:r>
          </w:p>
        </w:tc>
        <w:tc>
          <w:tcPr>
            <w:tcW w:type="dxa" w:w="1417"/>
            <w:vAlign w:val="center"/>
            <w:shd w:fill="D9E2F3"/>
            <w:tcMar>
              <w:top w:w="90" w:type="dxa"/>
              <w:bottom w:w="90" w:type="dxa"/>
              <w:left w:w="110" w:type="dxa"/>
              <w:right w:w="110" w:type="dxa"/>
            </w:tcMar>
          </w:tcPr>
          <w:p>
            <w:pPr>
              <w:spacing w:before="0" w:after="0" w:line="276" w:lineRule="auto"/>
              <w:jc w:val="center"/>
            </w:pPr>
            <w:r>
              <w:rPr>
                <w:rFonts w:ascii="Arial" w:hAnsi="Arial"/>
                <w:b/>
                <w:sz w:val="19"/>
              </w:rPr>
              <w:t>Realisasi Anggaran Bulan Ini (Rp)</w:t>
            </w:r>
          </w:p>
        </w:tc>
        <w:tc>
          <w:tcPr>
            <w:tcW w:type="dxa" w:w="1417"/>
            <w:vAlign w:val="center"/>
            <w:shd w:fill="D9E2F3"/>
            <w:tcMar>
              <w:top w:w="90" w:type="dxa"/>
              <w:bottom w:w="90" w:type="dxa"/>
              <w:left w:w="110" w:type="dxa"/>
              <w:right w:w="110" w:type="dxa"/>
            </w:tcMar>
          </w:tcPr>
          <w:p>
            <w:pPr>
              <w:spacing w:before="0" w:after="0" w:line="276" w:lineRule="auto"/>
              <w:jc w:val="center"/>
            </w:pPr>
            <w:r>
              <w:rPr>
                <w:rFonts w:ascii="Arial" w:hAnsi="Arial"/>
                <w:b/>
                <w:sz w:val="19"/>
              </w:rPr>
              <w:t>Realisasi Kumulatif (Rp)</w:t>
            </w:r>
          </w:p>
        </w:tc>
      </w:tr>
      <w:tr>
        <w:trPr>
          <w:cantSplit/>
        </w:trPr>
        <w:tc>
          <w:tcPr>
            <w:tcW w:type="dxa" w:w="454"/>
            <w:vAlign w:val="center"/>
            <w:tcMar>
              <w:top w:w="75" w:type="dxa"/>
              <w:bottom w:w="75" w:type="dxa"/>
              <w:left w:w="110" w:type="dxa"/>
              <w:right w:w="110" w:type="dxa"/>
            </w:tcMar>
          </w:tcPr>
          <w:p>
            <w:pPr>
              <w:spacing w:before="0" w:after="0" w:line="276" w:lineRule="auto"/>
              <w:jc w:val="center"/>
            </w:pPr>
            <w:r>
              <w:rPr>
                <w:rFonts w:ascii="Arial" w:hAnsi="Arial"/>
                <w:b w:val="0"/>
                <w:sz w:val="19"/>
              </w:rPr>
              <w:t>1</w:t>
            </w:r>
          </w:p>
        </w:tc>
        <w:tc>
          <w:tcPr>
            <w:tcW w:type="dxa" w:w="1417"/>
            <w:vAlign w:val="center"/>
            <w:tcMar>
              <w:top w:w="75" w:type="dxa"/>
              <w:bottom w:w="75" w:type="dxa"/>
              <w:left w:w="110" w:type="dxa"/>
              <w:right w:w="110" w:type="dxa"/>
            </w:tcMar>
          </w:tcPr>
          <w:p>
            <w:pPr>
              <w:spacing w:before="0" w:after="0" w:line="276" w:lineRule="auto"/>
              <w:jc w:val="center"/>
            </w:pPr>
            <w:r>
              <w:rPr>
                <w:rFonts w:ascii="Arial" w:hAnsi="Arial"/>
                <w:b w:val="0"/>
                <w:sz w:val="19"/>
              </w:rPr>
              <w:t>September 2025</w:t>
            </w:r>
          </w:p>
        </w:tc>
        <w:tc>
          <w:tcPr>
            <w:tcW w:type="dxa" w:w="3515"/>
            <w:vAlign w:val="center"/>
            <w:tcMar>
              <w:top w:w="75" w:type="dxa"/>
              <w:bottom w:w="75" w:type="dxa"/>
              <w:left w:w="110" w:type="dxa"/>
              <w:right w:w="110" w:type="dxa"/>
            </w:tcMar>
          </w:tcPr>
          <w:p>
            <w:pPr>
              <w:spacing w:before="0" w:after="0" w:line="276" w:lineRule="auto"/>
              <w:jc w:val="both"/>
            </w:pPr>
            <w:r>
              <w:rPr>
                <w:rFonts w:ascii="Arial" w:hAnsi="Arial"/>
                <w:b w:val="0"/>
                <w:sz w:val="19"/>
              </w:rPr>
              <w:t>Penetapan SK Tim, pembahasan persiapan, finalisasi KAK &amp; RAB, serta survei awal lokasi dalam kota Pekanbaru.</w:t>
            </w:r>
          </w:p>
        </w:tc>
        <w:tc>
          <w:tcPr>
            <w:tcW w:type="dxa" w:w="1134"/>
            <w:vAlign w:val="center"/>
            <w:tcMar>
              <w:top w:w="75" w:type="dxa"/>
              <w:bottom w:w="75" w:type="dxa"/>
              <w:left w:w="110" w:type="dxa"/>
              <w:right w:w="110" w:type="dxa"/>
            </w:tcMar>
          </w:tcPr>
          <w:p>
            <w:pPr>
              <w:spacing w:before="0" w:after="0" w:line="276" w:lineRule="auto"/>
              <w:jc w:val="left"/>
            </w:pPr>
            <w:r>
              <w:rPr>
                <w:rFonts w:ascii="Arial" w:hAnsi="Arial"/>
                <w:b w:val="0"/>
                <w:sz w:val="19"/>
              </w:rPr>
              <w:t>20,00%</w:t>
            </w:r>
          </w:p>
        </w:tc>
        <w:tc>
          <w:tcPr>
            <w:tcW w:type="dxa" w:w="1417"/>
            <w:vAlign w:val="center"/>
            <w:tcMar>
              <w:top w:w="75" w:type="dxa"/>
              <w:bottom w:w="75" w:type="dxa"/>
              <w:left w:w="110" w:type="dxa"/>
              <w:right w:w="110" w:type="dxa"/>
            </w:tcMar>
          </w:tcPr>
          <w:p>
            <w:pPr>
              <w:spacing w:before="0" w:after="0" w:line="276" w:lineRule="auto"/>
              <w:jc w:val="right"/>
            </w:pPr>
            <w:r>
              <w:rPr>
                <w:rFonts w:ascii="Arial" w:hAnsi="Arial"/>
                <w:b w:val="0"/>
                <w:sz w:val="19"/>
              </w:rPr>
              <w:t>5.950.000</w:t>
            </w:r>
          </w:p>
        </w:tc>
        <w:tc>
          <w:tcPr>
            <w:tcW w:type="dxa" w:w="1417"/>
            <w:vAlign w:val="center"/>
            <w:tcMar>
              <w:top w:w="75" w:type="dxa"/>
              <w:bottom w:w="75" w:type="dxa"/>
              <w:left w:w="110" w:type="dxa"/>
              <w:right w:w="110" w:type="dxa"/>
            </w:tcMar>
          </w:tcPr>
          <w:p>
            <w:pPr>
              <w:spacing w:before="0" w:after="0" w:line="276" w:lineRule="auto"/>
              <w:jc w:val="right"/>
            </w:pPr>
            <w:r>
              <w:rPr>
                <w:rFonts w:ascii="Arial" w:hAnsi="Arial"/>
                <w:b w:val="0"/>
                <w:sz w:val="19"/>
              </w:rPr>
              <w:t>5.950.000</w:t>
            </w:r>
          </w:p>
        </w:tc>
      </w:tr>
      <w:tr>
        <w:trPr>
          <w:cantSplit/>
        </w:trPr>
        <w:tc>
          <w:tcPr>
            <w:tcW w:type="dxa" w:w="454"/>
            <w:vAlign w:val="center"/>
            <w:tcMar>
              <w:top w:w="75" w:type="dxa"/>
              <w:bottom w:w="75" w:type="dxa"/>
              <w:left w:w="110" w:type="dxa"/>
              <w:right w:w="110" w:type="dxa"/>
            </w:tcMar>
          </w:tcPr>
          <w:p>
            <w:pPr>
              <w:spacing w:before="0" w:after="0" w:line="276" w:lineRule="auto"/>
              <w:jc w:val="center"/>
            </w:pPr>
            <w:r>
              <w:rPr>
                <w:rFonts w:ascii="Arial" w:hAnsi="Arial"/>
                <w:b w:val="0"/>
                <w:sz w:val="19"/>
              </w:rPr>
              <w:t>2</w:t>
            </w:r>
          </w:p>
        </w:tc>
        <w:tc>
          <w:tcPr>
            <w:tcW w:type="dxa" w:w="1417"/>
            <w:vAlign w:val="center"/>
            <w:tcMar>
              <w:top w:w="75" w:type="dxa"/>
              <w:bottom w:w="75" w:type="dxa"/>
              <w:left w:w="110" w:type="dxa"/>
              <w:right w:w="110" w:type="dxa"/>
            </w:tcMar>
          </w:tcPr>
          <w:p>
            <w:pPr>
              <w:spacing w:before="0" w:after="0" w:line="276" w:lineRule="auto"/>
              <w:jc w:val="center"/>
            </w:pPr>
            <w:r>
              <w:rPr>
                <w:rFonts w:ascii="Arial" w:hAnsi="Arial"/>
                <w:b w:val="0"/>
                <w:sz w:val="19"/>
              </w:rPr>
              <w:t>Oktober 2025</w:t>
            </w:r>
          </w:p>
        </w:tc>
        <w:tc>
          <w:tcPr>
            <w:tcW w:type="dxa" w:w="3515"/>
            <w:vAlign w:val="center"/>
            <w:tcMar>
              <w:top w:w="75" w:type="dxa"/>
              <w:bottom w:w="75" w:type="dxa"/>
              <w:left w:w="110" w:type="dxa"/>
              <w:right w:w="110" w:type="dxa"/>
            </w:tcMar>
          </w:tcPr>
          <w:p>
            <w:pPr>
              <w:spacing w:before="0" w:after="0" w:line="276" w:lineRule="auto"/>
              <w:jc w:val="both"/>
            </w:pPr>
            <w:r>
              <w:rPr>
                <w:rFonts w:ascii="Arial" w:hAnsi="Arial"/>
                <w:b w:val="0"/>
                <w:sz w:val="19"/>
              </w:rPr>
              <w:t>Pengadaan ATK operasional (Rp 10.750.000) serta pelaksanaan koordinasi teknis Jakarta dan survei lapangan Kab. Kampar &amp; Kota Dumai.</w:t>
            </w:r>
          </w:p>
        </w:tc>
        <w:tc>
          <w:tcPr>
            <w:tcW w:type="dxa" w:w="1134"/>
            <w:vAlign w:val="center"/>
            <w:tcMar>
              <w:top w:w="75" w:type="dxa"/>
              <w:bottom w:w="75" w:type="dxa"/>
              <w:left w:w="110" w:type="dxa"/>
              <w:right w:w="110" w:type="dxa"/>
            </w:tcMar>
          </w:tcPr>
          <w:p>
            <w:pPr>
              <w:spacing w:before="0" w:after="0" w:line="276" w:lineRule="auto"/>
              <w:jc w:val="left"/>
            </w:pPr>
            <w:r>
              <w:rPr>
                <w:rFonts w:ascii="Arial" w:hAnsi="Arial"/>
                <w:b w:val="0"/>
                <w:sz w:val="19"/>
              </w:rPr>
              <w:t>55,00%</w:t>
            </w:r>
          </w:p>
        </w:tc>
        <w:tc>
          <w:tcPr>
            <w:tcW w:type="dxa" w:w="1417"/>
            <w:vAlign w:val="center"/>
            <w:tcMar>
              <w:top w:w="75" w:type="dxa"/>
              <w:bottom w:w="75" w:type="dxa"/>
              <w:left w:w="110" w:type="dxa"/>
              <w:right w:w="110" w:type="dxa"/>
            </w:tcMar>
          </w:tcPr>
          <w:p>
            <w:pPr>
              <w:spacing w:before="0" w:after="0" w:line="276" w:lineRule="auto"/>
              <w:jc w:val="right"/>
            </w:pPr>
            <w:r>
              <w:rPr>
                <w:rFonts w:ascii="Arial" w:hAnsi="Arial"/>
                <w:b w:val="0"/>
                <w:sz w:val="19"/>
              </w:rPr>
              <w:t>66.605.528</w:t>
            </w:r>
          </w:p>
        </w:tc>
        <w:tc>
          <w:tcPr>
            <w:tcW w:type="dxa" w:w="1417"/>
            <w:vAlign w:val="center"/>
            <w:tcMar>
              <w:top w:w="75" w:type="dxa"/>
              <w:bottom w:w="75" w:type="dxa"/>
              <w:left w:w="110" w:type="dxa"/>
              <w:right w:w="110" w:type="dxa"/>
            </w:tcMar>
          </w:tcPr>
          <w:p>
            <w:pPr>
              <w:spacing w:before="0" w:after="0" w:line="276" w:lineRule="auto"/>
              <w:jc w:val="right"/>
            </w:pPr>
            <w:r>
              <w:rPr>
                <w:rFonts w:ascii="Arial" w:hAnsi="Arial"/>
                <w:b w:val="0"/>
                <w:sz w:val="19"/>
              </w:rPr>
              <w:t>72.555.528</w:t>
            </w:r>
          </w:p>
        </w:tc>
      </w:tr>
      <w:tr>
        <w:trPr>
          <w:cantSplit/>
        </w:trPr>
        <w:tc>
          <w:tcPr>
            <w:tcW w:type="dxa" w:w="454"/>
            <w:vAlign w:val="center"/>
            <w:tcMar>
              <w:top w:w="75" w:type="dxa"/>
              <w:bottom w:w="75" w:type="dxa"/>
              <w:left w:w="110" w:type="dxa"/>
              <w:right w:w="110" w:type="dxa"/>
            </w:tcMar>
          </w:tcPr>
          <w:p>
            <w:pPr>
              <w:spacing w:before="0" w:after="0" w:line="276" w:lineRule="auto"/>
              <w:jc w:val="center"/>
            </w:pPr>
            <w:r>
              <w:rPr>
                <w:rFonts w:ascii="Arial" w:hAnsi="Arial"/>
                <w:b w:val="0"/>
                <w:sz w:val="19"/>
              </w:rPr>
              <w:t>3</w:t>
            </w:r>
          </w:p>
        </w:tc>
        <w:tc>
          <w:tcPr>
            <w:tcW w:type="dxa" w:w="1417"/>
            <w:vAlign w:val="center"/>
            <w:tcMar>
              <w:top w:w="75" w:type="dxa"/>
              <w:bottom w:w="75" w:type="dxa"/>
              <w:left w:w="110" w:type="dxa"/>
              <w:right w:w="110" w:type="dxa"/>
            </w:tcMar>
          </w:tcPr>
          <w:p>
            <w:pPr>
              <w:spacing w:before="0" w:after="0" w:line="276" w:lineRule="auto"/>
              <w:jc w:val="center"/>
            </w:pPr>
            <w:r>
              <w:rPr>
                <w:rFonts w:ascii="Arial" w:hAnsi="Arial"/>
                <w:b w:val="0"/>
                <w:sz w:val="19"/>
              </w:rPr>
              <w:t>November 2025</w:t>
            </w:r>
          </w:p>
        </w:tc>
        <w:tc>
          <w:tcPr>
            <w:tcW w:type="dxa" w:w="3515"/>
            <w:vAlign w:val="center"/>
            <w:tcMar>
              <w:top w:w="75" w:type="dxa"/>
              <w:bottom w:w="75" w:type="dxa"/>
              <w:left w:w="110" w:type="dxa"/>
              <w:right w:w="110" w:type="dxa"/>
            </w:tcMar>
          </w:tcPr>
          <w:p>
            <w:pPr>
              <w:spacing w:before="0" w:after="0" w:line="276" w:lineRule="auto"/>
              <w:jc w:val="both"/>
            </w:pPr>
            <w:r>
              <w:rPr>
                <w:rFonts w:ascii="Arial" w:hAnsi="Arial"/>
                <w:b w:val="0"/>
                <w:sz w:val="19"/>
              </w:rPr>
              <w:t>Pengadaan Computer Supplies (Rp 9.485.000) serta pelaksanaan monitoring lapangan Kab. Kampar, Kab. Siak, Kota Dumai, dan koordinasi Medan.</w:t>
            </w:r>
          </w:p>
        </w:tc>
        <w:tc>
          <w:tcPr>
            <w:tcW w:type="dxa" w:w="1134"/>
            <w:vAlign w:val="center"/>
            <w:tcMar>
              <w:top w:w="75" w:type="dxa"/>
              <w:bottom w:w="75" w:type="dxa"/>
              <w:left w:w="110" w:type="dxa"/>
              <w:right w:w="110" w:type="dxa"/>
            </w:tcMar>
          </w:tcPr>
          <w:p>
            <w:pPr>
              <w:spacing w:before="0" w:after="0" w:line="276" w:lineRule="auto"/>
              <w:jc w:val="left"/>
            </w:pPr>
            <w:r>
              <w:rPr>
                <w:rFonts w:ascii="Arial" w:hAnsi="Arial"/>
                <w:b w:val="0"/>
                <w:sz w:val="19"/>
              </w:rPr>
              <w:t>85,00%</w:t>
            </w:r>
          </w:p>
        </w:tc>
        <w:tc>
          <w:tcPr>
            <w:tcW w:type="dxa" w:w="1417"/>
            <w:vAlign w:val="center"/>
            <w:tcMar>
              <w:top w:w="75" w:type="dxa"/>
              <w:bottom w:w="75" w:type="dxa"/>
              <w:left w:w="110" w:type="dxa"/>
              <w:right w:w="110" w:type="dxa"/>
            </w:tcMar>
          </w:tcPr>
          <w:p>
            <w:pPr>
              <w:spacing w:before="0" w:after="0" w:line="276" w:lineRule="auto"/>
              <w:jc w:val="right"/>
            </w:pPr>
            <w:r>
              <w:rPr>
                <w:rFonts w:ascii="Arial" w:hAnsi="Arial"/>
                <w:b w:val="0"/>
                <w:sz w:val="19"/>
              </w:rPr>
              <w:t>47.753.572</w:t>
            </w:r>
          </w:p>
        </w:tc>
        <w:tc>
          <w:tcPr>
            <w:tcW w:type="dxa" w:w="1417"/>
            <w:vAlign w:val="center"/>
            <w:tcMar>
              <w:top w:w="75" w:type="dxa"/>
              <w:bottom w:w="75" w:type="dxa"/>
              <w:left w:w="110" w:type="dxa"/>
              <w:right w:w="110" w:type="dxa"/>
            </w:tcMar>
          </w:tcPr>
          <w:p>
            <w:pPr>
              <w:spacing w:before="0" w:after="0" w:line="276" w:lineRule="auto"/>
              <w:jc w:val="right"/>
            </w:pPr>
            <w:r>
              <w:rPr>
                <w:rFonts w:ascii="Arial" w:hAnsi="Arial"/>
                <w:b w:val="0"/>
                <w:sz w:val="19"/>
              </w:rPr>
              <w:t>120.309.100</w:t>
            </w:r>
          </w:p>
        </w:tc>
      </w:tr>
      <w:tr>
        <w:trPr>
          <w:cantSplit/>
        </w:trPr>
        <w:tc>
          <w:tcPr>
            <w:tcW w:type="dxa" w:w="454"/>
            <w:vAlign w:val="center"/>
            <w:tcMar>
              <w:top w:w="75" w:type="dxa"/>
              <w:bottom w:w="75" w:type="dxa"/>
              <w:left w:w="110" w:type="dxa"/>
              <w:right w:w="110" w:type="dxa"/>
            </w:tcMar>
          </w:tcPr>
          <w:p>
            <w:pPr>
              <w:spacing w:before="0" w:after="0" w:line="276" w:lineRule="auto"/>
              <w:jc w:val="center"/>
            </w:pPr>
            <w:r>
              <w:rPr>
                <w:rFonts w:ascii="Arial" w:hAnsi="Arial"/>
                <w:b w:val="0"/>
                <w:sz w:val="19"/>
              </w:rPr>
              <w:t>4</w:t>
            </w:r>
          </w:p>
        </w:tc>
        <w:tc>
          <w:tcPr>
            <w:tcW w:type="dxa" w:w="1417"/>
            <w:vAlign w:val="center"/>
            <w:tcMar>
              <w:top w:w="75" w:type="dxa"/>
              <w:bottom w:w="75" w:type="dxa"/>
              <w:left w:w="110" w:type="dxa"/>
              <w:right w:w="110" w:type="dxa"/>
            </w:tcMar>
          </w:tcPr>
          <w:p>
            <w:pPr>
              <w:spacing w:before="0" w:after="0" w:line="276" w:lineRule="auto"/>
              <w:jc w:val="center"/>
            </w:pPr>
            <w:r>
              <w:rPr>
                <w:rFonts w:ascii="Arial" w:hAnsi="Arial"/>
                <w:b w:val="0"/>
                <w:sz w:val="19"/>
              </w:rPr>
              <w:t>Desember 2025</w:t>
            </w:r>
          </w:p>
        </w:tc>
        <w:tc>
          <w:tcPr>
            <w:tcW w:type="dxa" w:w="3515"/>
            <w:vAlign w:val="center"/>
            <w:tcMar>
              <w:top w:w="75" w:type="dxa"/>
              <w:bottom w:w="75" w:type="dxa"/>
              <w:left w:w="110" w:type="dxa"/>
              <w:right w:w="110" w:type="dxa"/>
            </w:tcMar>
          </w:tcPr>
          <w:p>
            <w:pPr>
              <w:spacing w:before="0" w:after="0" w:line="276" w:lineRule="auto"/>
              <w:jc w:val="both"/>
            </w:pPr>
            <w:r>
              <w:rPr>
                <w:rFonts w:ascii="Arial" w:hAnsi="Arial"/>
                <w:b w:val="0"/>
                <w:sz w:val="19"/>
              </w:rPr>
              <w:t>Pelaksanaan monitoring akhir wilayah Provinsi Riau, rekonsiliasi keuangan, pemeriksaan akhir (BAPHP), BAST, dan penyusunan Laporan Akhir.</w:t>
            </w:r>
          </w:p>
        </w:tc>
        <w:tc>
          <w:tcPr>
            <w:tcW w:type="dxa" w:w="1134"/>
            <w:vAlign w:val="center"/>
            <w:tcMar>
              <w:top w:w="75" w:type="dxa"/>
              <w:bottom w:w="75" w:type="dxa"/>
              <w:left w:w="110" w:type="dxa"/>
              <w:right w:w="110" w:type="dxa"/>
            </w:tcMar>
          </w:tcPr>
          <w:p>
            <w:pPr>
              <w:spacing w:before="0" w:after="0" w:line="276" w:lineRule="auto"/>
              <w:jc w:val="left"/>
            </w:pPr>
            <w:r>
              <w:rPr>
                <w:rFonts w:ascii="Arial" w:hAnsi="Arial"/>
                <w:b w:val="0"/>
                <w:sz w:val="19"/>
              </w:rPr>
              <w:t>100,00%</w:t>
            </w:r>
          </w:p>
        </w:tc>
        <w:tc>
          <w:tcPr>
            <w:tcW w:type="dxa" w:w="1417"/>
            <w:vAlign w:val="center"/>
            <w:tcMar>
              <w:top w:w="75" w:type="dxa"/>
              <w:bottom w:w="75" w:type="dxa"/>
              <w:left w:w="110" w:type="dxa"/>
              <w:right w:w="110" w:type="dxa"/>
            </w:tcMar>
          </w:tcPr>
          <w:p>
            <w:pPr>
              <w:spacing w:before="0" w:after="0" w:line="276" w:lineRule="auto"/>
              <w:jc w:val="right"/>
            </w:pPr>
            <w:r>
              <w:rPr>
                <w:rFonts w:ascii="Arial" w:hAnsi="Arial"/>
                <w:b w:val="0"/>
                <w:sz w:val="19"/>
              </w:rPr>
              <w:t>20.850.000</w:t>
            </w:r>
          </w:p>
        </w:tc>
        <w:tc>
          <w:tcPr>
            <w:tcW w:type="dxa" w:w="1417"/>
            <w:vAlign w:val="center"/>
            <w:tcMar>
              <w:top w:w="75" w:type="dxa"/>
              <w:bottom w:w="75" w:type="dxa"/>
              <w:left w:w="110" w:type="dxa"/>
              <w:right w:w="110" w:type="dxa"/>
            </w:tcMar>
          </w:tcPr>
          <w:p>
            <w:pPr>
              <w:spacing w:before="0" w:after="0" w:line="276" w:lineRule="auto"/>
              <w:jc w:val="right"/>
            </w:pPr>
            <w:r>
              <w:rPr>
                <w:rFonts w:ascii="Arial" w:hAnsi="Arial"/>
                <w:b w:val="0"/>
                <w:sz w:val="19"/>
              </w:rPr>
              <w:t>141.159.100</w:t>
            </w:r>
          </w:p>
        </w:tc>
      </w:tr>
      <w:tr>
        <w:trPr>
          <w:cantSplit/>
        </w:trPr>
        <w:tc>
          <w:tcPr>
            <w:tcW w:type="dxa" w:w="454"/>
            <w:vAlign w:val="center"/>
            <w:shd w:fill="F2F4F8"/>
            <w:tcMar>
              <w:top w:w="75" w:type="dxa"/>
              <w:bottom w:w="75" w:type="dxa"/>
              <w:left w:w="110" w:type="dxa"/>
              <w:right w:w="110" w:type="dxa"/>
            </w:tcMar>
          </w:tcPr>
          <w:p>
            <w:pPr>
              <w:spacing w:before="0" w:after="0" w:line="276" w:lineRule="auto"/>
              <w:jc w:val="center"/>
            </w:pPr>
            <w:r>
              <w:rPr>
                <w:rFonts w:ascii="Arial" w:hAnsi="Arial"/>
                <w:b/>
                <w:sz w:val="19"/>
              </w:rPr>
              <w:t>TOTAL</w:t>
            </w:r>
          </w:p>
        </w:tc>
        <w:tc>
          <w:tcPr>
            <w:tcW w:type="dxa" w:w="1417"/>
            <w:vAlign w:val="center"/>
            <w:shd w:fill="F2F4F8"/>
            <w:tcMar>
              <w:top w:w="75" w:type="dxa"/>
              <w:bottom w:w="75" w:type="dxa"/>
              <w:left w:w="110" w:type="dxa"/>
              <w:right w:w="110" w:type="dxa"/>
            </w:tcMar>
          </w:tcPr>
          <w:p>
            <w:pPr>
              <w:spacing w:before="0" w:after="0" w:line="276" w:lineRule="auto"/>
              <w:jc w:val="center"/>
            </w:pPr>
            <w:r>
              <w:rPr>
                <w:rFonts w:ascii="Arial" w:hAnsi="Arial"/>
                <w:b/>
                <w:sz w:val="19"/>
              </w:rPr>
            </w:r>
          </w:p>
        </w:tc>
        <w:tc>
          <w:tcPr>
            <w:tcW w:type="dxa" w:w="3515"/>
            <w:vAlign w:val="center"/>
            <w:shd w:fill="F2F4F8"/>
            <w:tcMar>
              <w:top w:w="75" w:type="dxa"/>
              <w:bottom w:w="75" w:type="dxa"/>
              <w:left w:w="110" w:type="dxa"/>
              <w:right w:w="110" w:type="dxa"/>
            </w:tcMar>
          </w:tcPr>
          <w:p>
            <w:pPr>
              <w:spacing w:before="0" w:after="0" w:line="276" w:lineRule="auto"/>
              <w:jc w:val="left"/>
            </w:pPr>
            <w:r>
              <w:rPr>
                <w:rFonts w:ascii="Arial" w:hAnsi="Arial"/>
                <w:b/>
                <w:sz w:val="19"/>
              </w:rPr>
              <w:t>CAPAIAN AKHIR PELAKSANAAN SWAKELOLA SPPG TA 2025</w:t>
            </w:r>
          </w:p>
        </w:tc>
        <w:tc>
          <w:tcPr>
            <w:tcW w:type="dxa" w:w="1134"/>
            <w:vAlign w:val="center"/>
            <w:shd w:fill="F2F4F8"/>
            <w:tcMar>
              <w:top w:w="75" w:type="dxa"/>
              <w:bottom w:w="75" w:type="dxa"/>
              <w:left w:w="110" w:type="dxa"/>
              <w:right w:w="110" w:type="dxa"/>
            </w:tcMar>
          </w:tcPr>
          <w:p>
            <w:pPr>
              <w:spacing w:before="0" w:after="0" w:line="276" w:lineRule="auto"/>
              <w:jc w:val="left"/>
            </w:pPr>
            <w:r>
              <w:rPr>
                <w:rFonts w:ascii="Arial" w:hAnsi="Arial"/>
                <w:b/>
                <w:sz w:val="19"/>
              </w:rPr>
              <w:t>100,00%</w:t>
            </w:r>
          </w:p>
        </w:tc>
        <w:tc>
          <w:tcPr>
            <w:tcW w:type="dxa" w:w="1417"/>
            <w:vAlign w:val="center"/>
            <w:shd w:fill="F2F4F8"/>
            <w:tcMar>
              <w:top w:w="75" w:type="dxa"/>
              <w:bottom w:w="75" w:type="dxa"/>
              <w:left w:w="110" w:type="dxa"/>
              <w:right w:w="110" w:type="dxa"/>
            </w:tcMar>
          </w:tcPr>
          <w:p>
            <w:pPr>
              <w:spacing w:before="0" w:after="0" w:line="276" w:lineRule="auto"/>
              <w:jc w:val="right"/>
            </w:pPr>
            <w:r>
              <w:rPr>
                <w:rFonts w:ascii="Arial" w:hAnsi="Arial"/>
                <w:b/>
                <w:sz w:val="19"/>
              </w:rPr>
              <w:t>141.159.100</w:t>
            </w:r>
          </w:p>
        </w:tc>
        <w:tc>
          <w:tcPr>
            <w:tcW w:type="dxa" w:w="1417"/>
            <w:vAlign w:val="center"/>
            <w:shd w:fill="F2F4F8"/>
            <w:tcMar>
              <w:top w:w="75" w:type="dxa"/>
              <w:bottom w:w="75" w:type="dxa"/>
              <w:left w:w="110" w:type="dxa"/>
              <w:right w:w="110" w:type="dxa"/>
            </w:tcMar>
          </w:tcPr>
          <w:p>
            <w:pPr>
              <w:spacing w:before="0" w:after="0" w:line="276" w:lineRule="auto"/>
              <w:jc w:val="right"/>
            </w:pPr>
            <w:r>
              <w:rPr>
                <w:rFonts w:ascii="Arial" w:hAnsi="Arial"/>
                <w:b/>
                <w:sz w:val="19"/>
              </w:rPr>
              <w:t>141.159.100</w:t>
            </w:r>
          </w:p>
        </w:tc>
      </w:tr>
    </w:tbl>
    <w:p>
      <w:pPr>
        <w:spacing w:before="0" w:after="120"/>
      </w:pPr>
    </w:p>
    <w:p>
      <w:pPr>
        <w:keepNext/>
        <w:spacing w:before="160" w:after="80"/>
        <w:jc w:val="left"/>
      </w:pPr>
      <w:r>
        <w:rPr>
          <w:rFonts w:ascii="Arial" w:hAnsi="Arial"/>
          <w:b/>
          <w:sz w:val="21"/>
        </w:rPr>
        <w:t>III. EVALUASI PELAKSANAAN</w:t>
      </w:r>
    </w:p>
    <w:p>
      <w:pPr>
        <w:spacing w:before="0" w:after="120" w:line="300" w:lineRule="auto"/>
        <w:jc w:val="both"/>
      </w:pPr>
      <w:r>
        <w:rPr>
          <w:rFonts w:ascii="Arial" w:hAnsi="Arial"/>
          <w:b w:val="0"/>
          <w:sz w:val="21"/>
        </w:rPr>
        <w:t>Sampai dengan akhir masa pelaksanaan pada bulan Desember 2025, progres fisik kegiatan Administrasi Pembangunan Gedung SPPG Provinsi Riau telah mencapai 100% sesuai target keluaran KAK dengan total penyerapan anggaran sebesar Rp 141.159.100,- (34,18% dari pagu Rp 413.000.000,-), menghasilkan efisiensi anggaran negara sebesar Rp 271.840.900,-.</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77"/>
        <w:gridCol w:w="4677"/>
      </w:tblGrid>
      <w:tr>
        <w:trPr>
          <w:cantSplit/>
        </w:trPr>
        <w:tc>
          <w:tcPr>
            <w:tcW w:type="dxa" w:w="4677"/>
          </w:tcPr>
          <w:p>
            <w:pPr>
              <w:spacing w:before="160" w:line="276" w:lineRule="auto"/>
              <w:jc w:val="left"/>
            </w:pPr>
            <w:r>
              <w:rPr>
                <w:rFonts w:ascii="Arial" w:hAnsi="Arial"/>
                <w:sz w:val="21"/>
              </w:rPr>
              <w:t>Diperiksa oleh,</w:t>
              <w:br/>
            </w:r>
            <w:r>
              <w:rPr>
                <w:rFonts w:ascii="Arial" w:hAnsi="Arial"/>
                <w:b/>
                <w:sz w:val="21"/>
              </w:rPr>
              <w:t>Pejabat Pembuat Komitmen (PPK)</w:t>
              <w:br/>
              <w:t>Satker Pelaksanaan Prasarana Strategis Riau,</w:t>
              <w:br/>
              <w:br/>
              <w:br/>
              <w:br/>
            </w:r>
            <w:r>
              <w:rPr>
                <w:rFonts w:ascii="Arial" w:hAnsi="Arial"/>
                <w:b/>
                <w:sz w:val="21"/>
                <w:u w:val="single"/>
              </w:rPr>
              <w:t>Nurhidayat Nugroho, S.Ars.</w:t>
              <w:br/>
            </w:r>
            <w:r>
              <w:rPr>
                <w:rFonts w:ascii="Arial" w:hAnsi="Arial"/>
                <w:sz w:val="21"/>
              </w:rPr>
              <w:t>NIP. 19901221 201802 1 001</w:t>
            </w:r>
          </w:p>
        </w:tc>
        <w:tc>
          <w:tcPr>
            <w:tcW w:type="dxa" w:w="4677"/>
          </w:tcPr>
          <w:p>
            <w:pPr>
              <w:spacing w:before="160" w:line="276" w:lineRule="auto"/>
              <w:jc w:val="left"/>
            </w:pPr>
            <w:r>
              <w:rPr>
                <w:rFonts w:ascii="Arial" w:hAnsi="Arial"/>
                <w:sz w:val="21"/>
              </w:rPr>
              <w:t>Pekanbaru, 18 Desember 2025</w:t>
              <w:br/>
              <w:t>Dilaporkan oleh,</w:t>
              <w:br/>
            </w:r>
            <w:r>
              <w:rPr>
                <w:rFonts w:ascii="Arial" w:hAnsi="Arial"/>
                <w:b/>
                <w:sz w:val="21"/>
              </w:rPr>
              <w:t>Ketua Tim Pelaksana Swakelola,</w:t>
              <w:br/>
              <w:br/>
              <w:br/>
              <w:br/>
            </w:r>
            <w:r>
              <w:rPr>
                <w:rFonts w:ascii="Arial" w:hAnsi="Arial"/>
                <w:b/>
                <w:sz w:val="21"/>
                <w:u w:val="single"/>
              </w:rPr>
              <w:t>Junaidi</w:t>
              <w:br/>
            </w:r>
            <w:r>
              <w:rPr>
                <w:rFonts w:ascii="Arial" w:hAnsi="Arial"/>
                <w:sz w:val="21"/>
              </w:rPr>
              <w:t>NIP. 19740704 200701 1 002</w:t>
            </w:r>
          </w:p>
        </w:tc>
      </w:tr>
    </w:tbl>
    <w:sectPr w:rsidR="00FC693F" w:rsidRPr="0006063C" w:rsidSect="00034616">
      <w:pgSz w:w="11906" w:h="16838"/>
      <w:pgMar w:top="1020" w:right="1276" w:bottom="1134"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