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drawing>
          <wp:inline xmlns:a="http://schemas.openxmlformats.org/drawingml/2006/main" xmlns:pic="http://schemas.openxmlformats.org/drawingml/2006/picture">
            <wp:extent cx="5940000" cy="876504"/>
            <wp:docPr id="1" name="Picture 1"/>
            <wp:cNvGraphicFramePr>
              <a:graphicFrameLocks noChangeAspect="1"/>
            </wp:cNvGraphicFramePr>
            <a:graphic>
              <a:graphicData uri="http://schemas.openxmlformats.org/drawingml/2006/picture">
                <pic:pic>
                  <pic:nvPicPr>
                    <pic:cNvPr id="0" name="1775466518_6770018a33b3f91eebd0.png"/>
                    <pic:cNvPicPr/>
                  </pic:nvPicPr>
                  <pic:blipFill>
                    <a:blip r:embed="rId9"/>
                    <a:stretch>
                      <a:fillRect/>
                    </a:stretch>
                  </pic:blipFill>
                  <pic:spPr>
                    <a:xfrm>
                      <a:off x="0" y="0"/>
                      <a:ext cx="5940000" cy="876504"/>
                    </a:xfrm>
                    <a:prstGeom prst="rect"/>
                  </pic:spPr>
                </pic:pic>
              </a:graphicData>
            </a:graphic>
          </wp:inline>
        </w:drawing>
      </w:r>
    </w:p>
    <w:p>
      <w:pPr>
        <w:spacing w:before="40" w:after="40" w:line="276" w:lineRule="auto"/>
        <w:jc w:val="center"/>
      </w:pPr>
      <w:r>
        <w:rPr>
          <w:rFonts w:ascii="Arial" w:hAnsi="Arial"/>
          <w:b/>
          <w:sz w:val="23"/>
        </w:rPr>
        <w:t>LAPORAN HASIL PENGAWASAN SWAKELOLA TIPE I</w:t>
      </w:r>
    </w:p>
    <w:p>
      <w:pPr>
        <w:spacing w:before="0" w:after="40" w:line="276" w:lineRule="auto"/>
        <w:jc w:val="center"/>
      </w:pPr>
      <w:r>
        <w:rPr>
          <w:rFonts w:ascii="Arial" w:hAnsi="Arial"/>
          <w:b/>
          <w:sz w:val="22"/>
        </w:rPr>
        <w:t>ADMINISTRASI KEGIATAN PEMBANGUNAN GEDUNG SPPG PROVINSI RIAU</w:t>
      </w:r>
    </w:p>
    <w:p>
      <w:pPr>
        <w:spacing w:before="40" w:after="200" w:line="276" w:lineRule="auto"/>
        <w:jc w:val="center"/>
      </w:pPr>
      <w:r>
        <w:rPr>
          <w:rFonts w:ascii="Arial" w:hAnsi="Arial"/>
          <w:b/>
          <w:sz w:val="21"/>
        </w:rPr>
        <w:t>NOMOR : 03/LAP-WAS/SWK-SPPG/2025</w:t>
      </w:r>
    </w:p>
    <w:p>
      <w:pPr>
        <w:spacing w:before="0" w:after="120" w:line="300" w:lineRule="auto"/>
        <w:jc w:val="both"/>
      </w:pPr>
      <w:r>
        <w:rPr>
          <w:rFonts w:ascii="Arial" w:hAnsi="Arial"/>
          <w:b w:val="0"/>
          <w:sz w:val="21"/>
        </w:rPr>
        <w:t>Berdasarkan Keputusan Kuasa Pengguna Anggaran Satuan Kerja Pelaksanaan Prasarana Strategis Riau Nomor: 28/KPTS/SATKER-PPS.RIAU/2025 tanggal 23 September 2025 tentang Penetapan Tim Penyelenggara Swakelola, Tim Pengawas telah melaksanakan pengawasan berkala secara menyeluruh terhadap aspek administrasi, teknis, dan keuangan atas pelaksanaan kegiatan Swakelola Tipe I Administrasi Kegiatan Pembangunan Gedung SPPG Provinsi Riau Tahun Anggaran 2025.</w:t>
      </w:r>
    </w:p>
    <w:p>
      <w:pPr>
        <w:keepNext/>
        <w:spacing w:before="160" w:after="80"/>
        <w:jc w:val="left"/>
      </w:pPr>
      <w:r>
        <w:rPr>
          <w:rFonts w:ascii="Arial" w:hAnsi="Arial"/>
          <w:b/>
          <w:sz w:val="21"/>
        </w:rPr>
        <w:t>I. RUANG LINGKUP PENGAWASAN</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c>
          <w:tcPr>
            <w:tcW w:type="dxa" w:w="425"/>
            <w:tcMar>
              <w:top w:w="40" w:type="dxa"/>
              <w:bottom w:w="40" w:type="dxa"/>
              <w:left w:w="20" w:type="dxa"/>
              <w:right w:w="40" w:type="dxa"/>
            </w:tcMar>
          </w:tcPr>
          <w:p>
            <w:pPr>
              <w:spacing w:before="0" w:after="40" w:line="288" w:lineRule="auto"/>
              <w:jc w:val="left"/>
            </w:pPr>
            <w:r>
              <w:rPr>
                <w:rFonts w:ascii="Arial" w:hAnsi="Arial"/>
                <w:sz w:val="21"/>
              </w:rPr>
              <w:t>1.</w:t>
            </w:r>
          </w:p>
        </w:tc>
        <w:tc>
          <w:tcPr>
            <w:tcW w:type="dxa" w:w="8929"/>
            <w:tcMar>
              <w:top w:w="40" w:type="dxa"/>
              <w:bottom w:w="40" w:type="dxa"/>
              <w:left w:w="20" w:type="dxa"/>
              <w:right w:w="20" w:type="dxa"/>
            </w:tcMar>
          </w:tcPr>
          <w:p>
            <w:pPr>
              <w:spacing w:before="0" w:after="40" w:line="288" w:lineRule="auto"/>
              <w:jc w:val="both"/>
            </w:pPr>
            <w:r>
              <w:rPr>
                <w:rFonts w:ascii="Arial" w:hAnsi="Arial"/>
                <w:sz w:val="21"/>
              </w:rPr>
              <w:t>Pengawasan ketertiban administrasi penyelenggaraan Swakelola mulai dari tahap persiapan, penugasan tim, hingga pelaporan berkala.</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2.</w:t>
            </w:r>
          </w:p>
        </w:tc>
        <w:tc>
          <w:tcPr>
            <w:tcW w:type="dxa" w:w="8929"/>
            <w:tcMar>
              <w:top w:w="40" w:type="dxa"/>
              <w:bottom w:w="40" w:type="dxa"/>
              <w:left w:w="20" w:type="dxa"/>
              <w:right w:w="20" w:type="dxa"/>
            </w:tcMar>
          </w:tcPr>
          <w:p>
            <w:pPr>
              <w:spacing w:before="0" w:after="40" w:line="288" w:lineRule="auto"/>
              <w:jc w:val="both"/>
            </w:pPr>
            <w:r>
              <w:rPr>
                <w:rFonts w:ascii="Arial" w:hAnsi="Arial"/>
                <w:sz w:val="21"/>
              </w:rPr>
              <w:t>Pengawasan kepatuhan pengadaan bahan operasional habis pakai (ATK dan computer supplies) terhadap spesifikasi teknis, volume kebutuhan, dan kewajaran harga satuan.</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3.</w:t>
            </w:r>
          </w:p>
        </w:tc>
        <w:tc>
          <w:tcPr>
            <w:tcW w:type="dxa" w:w="8929"/>
            <w:tcMar>
              <w:top w:w="40" w:type="dxa"/>
              <w:bottom w:w="40" w:type="dxa"/>
              <w:left w:w="20" w:type="dxa"/>
              <w:right w:w="20" w:type="dxa"/>
            </w:tcMar>
          </w:tcPr>
          <w:p>
            <w:pPr>
              <w:spacing w:before="0" w:after="40" w:line="288" w:lineRule="auto"/>
              <w:jc w:val="both"/>
            </w:pPr>
            <w:r>
              <w:rPr>
                <w:rFonts w:ascii="Arial" w:hAnsi="Arial"/>
                <w:sz w:val="21"/>
              </w:rPr>
              <w:t>Pengawasan dan verifikasi akuntabilitas pelaksanaan perjalanan dinas luar kota dan dalam kota meliputi kelengkapan Surat Tugas, SPPD, kuitansi, bukti pengeluaran riil, tiket/boarding pass, serta laporan dan dokumentasi lapangan.</w:t>
            </w:r>
          </w:p>
        </w:tc>
      </w:tr>
      <w:tr>
        <w:tc>
          <w:tcPr>
            <w:tcW w:type="dxa" w:w="425"/>
            <w:tcMar>
              <w:top w:w="40" w:type="dxa"/>
              <w:bottom w:w="40" w:type="dxa"/>
              <w:left w:w="20" w:type="dxa"/>
              <w:right w:w="40" w:type="dxa"/>
            </w:tcMar>
          </w:tcPr>
          <w:p>
            <w:pPr>
              <w:spacing w:before="0" w:after="40" w:line="288" w:lineRule="auto"/>
              <w:jc w:val="left"/>
            </w:pPr>
            <w:r>
              <w:rPr>
                <w:rFonts w:ascii="Arial" w:hAnsi="Arial"/>
                <w:sz w:val="21"/>
              </w:rPr>
              <w:t>4.</w:t>
            </w:r>
          </w:p>
        </w:tc>
        <w:tc>
          <w:tcPr>
            <w:tcW w:type="dxa" w:w="8929"/>
            <w:tcMar>
              <w:top w:w="40" w:type="dxa"/>
              <w:bottom w:w="40" w:type="dxa"/>
              <w:left w:w="20" w:type="dxa"/>
              <w:right w:w="20" w:type="dxa"/>
            </w:tcMar>
          </w:tcPr>
          <w:p>
            <w:pPr>
              <w:spacing w:before="0" w:after="40" w:line="288" w:lineRule="auto"/>
              <w:jc w:val="both"/>
            </w:pPr>
            <w:r>
              <w:rPr>
                <w:rFonts w:ascii="Arial" w:hAnsi="Arial"/>
                <w:sz w:val="21"/>
              </w:rPr>
              <w:t>Pengawasan kepatuhan pemotongan dan penyetoran kewajiban perpajakan negara (PPN dan PPh Pasal 22) ke Kas Negara.</w:t>
            </w:r>
          </w:p>
        </w:tc>
      </w:tr>
    </w:tbl>
    <w:p>
      <w:pPr>
        <w:spacing w:before="0" w:after="80"/>
      </w:pPr>
    </w:p>
    <w:p>
      <w:pPr>
        <w:keepNext/>
        <w:spacing w:before="160" w:after="80"/>
        <w:jc w:val="left"/>
      </w:pPr>
      <w:r>
        <w:rPr>
          <w:rFonts w:ascii="Arial" w:hAnsi="Arial"/>
          <w:b/>
          <w:sz w:val="21"/>
        </w:rPr>
        <w:t>II. HASIL TEMUAN DAN CATATAN PENGAWASAN</w:t>
      </w:r>
    </w:p>
    <w:tbl>
      <w:tblPr>
        <w:tblW w:type="auto" w:w="0"/>
        <w:jc w:val="center"/>
        <w:tblLayout w:type="fixed"/>
        <w:tblLook w:firstColumn="1" w:firstRow="1" w:lastColumn="0" w:lastRow="0" w:noHBand="0" w:noVBand="1" w:val="04A0"/>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Pr>
      <w:tblGrid>
        <w:gridCol w:w="2338"/>
        <w:gridCol w:w="2338"/>
        <w:gridCol w:w="2338"/>
        <w:gridCol w:w="2338"/>
      </w:tblGrid>
      <w:tr>
        <w:trPr>
          <w:tblHeader/>
          <w:cantSplit/>
        </w:trPr>
        <w:tc>
          <w:tcPr>
            <w:tcW w:type="dxa" w:w="510"/>
            <w:vAlign w:val="center"/>
            <w:shd w:fill="D9E2F3"/>
            <w:tcMar>
              <w:top w:w="90" w:type="dxa"/>
              <w:bottom w:w="90" w:type="dxa"/>
              <w:left w:w="110" w:type="dxa"/>
              <w:right w:w="110" w:type="dxa"/>
            </w:tcMar>
          </w:tcPr>
          <w:p>
            <w:pPr>
              <w:spacing w:before="0" w:after="0" w:line="276" w:lineRule="auto"/>
              <w:jc w:val="center"/>
            </w:pPr>
            <w:r>
              <w:rPr>
                <w:rFonts w:ascii="Arial" w:hAnsi="Arial"/>
                <w:b/>
                <w:sz w:val="19"/>
              </w:rPr>
              <w:t>No.</w:t>
            </w:r>
          </w:p>
        </w:tc>
        <w:tc>
          <w:tcPr>
            <w:tcW w:type="dxa" w:w="2154"/>
            <w:vAlign w:val="center"/>
            <w:shd w:fill="D9E2F3"/>
            <w:tcMar>
              <w:top w:w="90" w:type="dxa"/>
              <w:bottom w:w="90" w:type="dxa"/>
              <w:left w:w="110" w:type="dxa"/>
              <w:right w:w="110" w:type="dxa"/>
            </w:tcMar>
          </w:tcPr>
          <w:p>
            <w:pPr>
              <w:spacing w:before="0" w:after="0" w:line="276" w:lineRule="auto"/>
              <w:jc w:val="center"/>
            </w:pPr>
            <w:r>
              <w:rPr>
                <w:rFonts w:ascii="Arial" w:hAnsi="Arial"/>
                <w:b/>
                <w:sz w:val="19"/>
              </w:rPr>
              <w:t>Aspek yang Diawasi</w:t>
            </w:r>
          </w:p>
        </w:tc>
        <w:tc>
          <w:tcPr>
            <w:tcW w:type="dxa" w:w="4876"/>
            <w:vAlign w:val="center"/>
            <w:shd w:fill="D9E2F3"/>
            <w:tcMar>
              <w:top w:w="90" w:type="dxa"/>
              <w:bottom w:w="90" w:type="dxa"/>
              <w:left w:w="110" w:type="dxa"/>
              <w:right w:w="110" w:type="dxa"/>
            </w:tcMar>
          </w:tcPr>
          <w:p>
            <w:pPr>
              <w:spacing w:before="0" w:after="0" w:line="276" w:lineRule="auto"/>
              <w:jc w:val="center"/>
            </w:pPr>
            <w:r>
              <w:rPr>
                <w:rFonts w:ascii="Arial" w:hAnsi="Arial"/>
                <w:b/>
                <w:sz w:val="19"/>
              </w:rPr>
              <w:t>Hasil Pengawasan &amp; Verifikasi</w:t>
            </w:r>
          </w:p>
        </w:tc>
        <w:tc>
          <w:tcPr>
            <w:tcW w:type="dxa" w:w="1814"/>
            <w:vAlign w:val="center"/>
            <w:shd w:fill="D9E2F3"/>
            <w:tcMar>
              <w:top w:w="90" w:type="dxa"/>
              <w:bottom w:w="90" w:type="dxa"/>
              <w:left w:w="110" w:type="dxa"/>
              <w:right w:w="110" w:type="dxa"/>
            </w:tcMar>
          </w:tcPr>
          <w:p>
            <w:pPr>
              <w:spacing w:before="0" w:after="0" w:line="276" w:lineRule="auto"/>
              <w:jc w:val="center"/>
            </w:pPr>
            <w:r>
              <w:rPr>
                <w:rFonts w:ascii="Arial" w:hAnsi="Arial"/>
                <w:b/>
                <w:sz w:val="19"/>
              </w:rPr>
              <w:t>Status Kepatuhan</w:t>
            </w:r>
          </w:p>
        </w:tc>
      </w:tr>
      <w:tr>
        <w:trPr>
          <w:cantSplit/>
        </w:trPr>
        <w:tc>
          <w:tcPr>
            <w:tcW w:type="dxa" w:w="510"/>
            <w:vAlign w:val="center"/>
            <w:tcMar>
              <w:top w:w="75" w:type="dxa"/>
              <w:bottom w:w="75" w:type="dxa"/>
              <w:left w:w="110" w:type="dxa"/>
              <w:right w:w="110" w:type="dxa"/>
            </w:tcMar>
          </w:tcPr>
          <w:p>
            <w:pPr>
              <w:spacing w:before="0" w:after="0" w:line="276" w:lineRule="auto"/>
              <w:jc w:val="center"/>
            </w:pPr>
            <w:r>
              <w:rPr>
                <w:rFonts w:ascii="Arial" w:hAnsi="Arial"/>
                <w:b w:val="0"/>
                <w:sz w:val="19"/>
              </w:rPr>
              <w:t>1</w:t>
            </w:r>
          </w:p>
        </w:tc>
        <w:tc>
          <w:tcPr>
            <w:tcW w:type="dxa" w:w="2154"/>
            <w:vAlign w:val="center"/>
            <w:tcMar>
              <w:top w:w="75" w:type="dxa"/>
              <w:bottom w:w="75" w:type="dxa"/>
              <w:left w:w="110" w:type="dxa"/>
              <w:right w:w="110" w:type="dxa"/>
            </w:tcMar>
          </w:tcPr>
          <w:p>
            <w:pPr>
              <w:spacing w:before="0" w:after="0" w:line="276" w:lineRule="auto"/>
              <w:jc w:val="left"/>
            </w:pPr>
            <w:r>
              <w:rPr>
                <w:rFonts w:ascii="Arial" w:hAnsi="Arial"/>
                <w:b w:val="0"/>
                <w:sz w:val="19"/>
              </w:rPr>
              <w:t>Kepatuhan Jadwal Pelaksanaan</w:t>
            </w:r>
          </w:p>
        </w:tc>
        <w:tc>
          <w:tcPr>
            <w:tcW w:type="dxa" w:w="4876"/>
            <w:vAlign w:val="center"/>
            <w:tcMar>
              <w:top w:w="75" w:type="dxa"/>
              <w:bottom w:w="75" w:type="dxa"/>
              <w:left w:w="110" w:type="dxa"/>
              <w:right w:w="110" w:type="dxa"/>
            </w:tcMar>
          </w:tcPr>
          <w:p>
            <w:pPr>
              <w:spacing w:before="0" w:after="0" w:line="276" w:lineRule="auto"/>
              <w:jc w:val="both"/>
            </w:pPr>
            <w:r>
              <w:rPr>
                <w:rFonts w:ascii="Arial" w:hAnsi="Arial"/>
                <w:b w:val="0"/>
                <w:sz w:val="19"/>
              </w:rPr>
              <w:t>Seluruh tahapan kegiatan dilaksanakan dalam rentang waktu September s/d Desember 2025 sesuai jadwal yang ditetapkan tanpa keterlambatan.</w:t>
            </w:r>
          </w:p>
        </w:tc>
        <w:tc>
          <w:tcPr>
            <w:tcW w:type="dxa" w:w="1814"/>
            <w:vAlign w:val="center"/>
            <w:tcMar>
              <w:top w:w="75" w:type="dxa"/>
              <w:bottom w:w="75" w:type="dxa"/>
              <w:left w:w="110" w:type="dxa"/>
              <w:right w:w="110" w:type="dxa"/>
            </w:tcMar>
          </w:tcPr>
          <w:p>
            <w:pPr>
              <w:spacing w:before="0" w:after="0" w:line="276" w:lineRule="auto"/>
              <w:jc w:val="center"/>
            </w:pPr>
            <w:r>
              <w:rPr>
                <w:rFonts w:ascii="Arial" w:hAnsi="Arial"/>
                <w:b w:val="0"/>
                <w:sz w:val="19"/>
              </w:rPr>
              <w:t>Sesuai (100%)</w:t>
            </w:r>
          </w:p>
        </w:tc>
      </w:tr>
      <w:tr>
        <w:trPr>
          <w:cantSplit/>
        </w:trPr>
        <w:tc>
          <w:tcPr>
            <w:tcW w:type="dxa" w:w="510"/>
            <w:vAlign w:val="center"/>
            <w:tcMar>
              <w:top w:w="75" w:type="dxa"/>
              <w:bottom w:w="75" w:type="dxa"/>
              <w:left w:w="110" w:type="dxa"/>
              <w:right w:w="110" w:type="dxa"/>
            </w:tcMar>
          </w:tcPr>
          <w:p>
            <w:pPr>
              <w:spacing w:before="0" w:after="0" w:line="276" w:lineRule="auto"/>
              <w:jc w:val="center"/>
            </w:pPr>
            <w:r>
              <w:rPr>
                <w:rFonts w:ascii="Arial" w:hAnsi="Arial"/>
                <w:b w:val="0"/>
                <w:sz w:val="19"/>
              </w:rPr>
              <w:t>2</w:t>
            </w:r>
          </w:p>
        </w:tc>
        <w:tc>
          <w:tcPr>
            <w:tcW w:type="dxa" w:w="2154"/>
            <w:vAlign w:val="center"/>
            <w:tcMar>
              <w:top w:w="75" w:type="dxa"/>
              <w:bottom w:w="75" w:type="dxa"/>
              <w:left w:w="110" w:type="dxa"/>
              <w:right w:w="110" w:type="dxa"/>
            </w:tcMar>
          </w:tcPr>
          <w:p>
            <w:pPr>
              <w:spacing w:before="0" w:after="0" w:line="276" w:lineRule="auto"/>
              <w:jc w:val="left"/>
            </w:pPr>
            <w:r>
              <w:rPr>
                <w:rFonts w:ascii="Arial" w:hAnsi="Arial"/>
                <w:b w:val="0"/>
                <w:sz w:val="19"/>
              </w:rPr>
              <w:t>Pengadaan Bahan Operasional (521211)</w:t>
            </w:r>
          </w:p>
        </w:tc>
        <w:tc>
          <w:tcPr>
            <w:tcW w:type="dxa" w:w="4876"/>
            <w:vAlign w:val="center"/>
            <w:tcMar>
              <w:top w:w="75" w:type="dxa"/>
              <w:bottom w:w="75" w:type="dxa"/>
              <w:left w:w="110" w:type="dxa"/>
              <w:right w:w="110" w:type="dxa"/>
            </w:tcMar>
          </w:tcPr>
          <w:p>
            <w:pPr>
              <w:spacing w:before="0" w:after="0" w:line="276" w:lineRule="auto"/>
              <w:jc w:val="both"/>
            </w:pPr>
            <w:r>
              <w:rPr>
                <w:rFonts w:ascii="Arial" w:hAnsi="Arial"/>
                <w:b w:val="0"/>
                <w:sz w:val="19"/>
              </w:rPr>
              <w:t>Bahan ATK (Rp 10.750.000) dan Computer Supplies (Rp 9.485.000) telah diterima lengkap dalam kondisi baik dan digunakan untuk operasional pemberkasan SPPG.</w:t>
            </w:r>
          </w:p>
        </w:tc>
        <w:tc>
          <w:tcPr>
            <w:tcW w:type="dxa" w:w="1814"/>
            <w:vAlign w:val="center"/>
            <w:tcMar>
              <w:top w:w="75" w:type="dxa"/>
              <w:bottom w:w="75" w:type="dxa"/>
              <w:left w:w="110" w:type="dxa"/>
              <w:right w:w="110" w:type="dxa"/>
            </w:tcMar>
          </w:tcPr>
          <w:p>
            <w:pPr>
              <w:spacing w:before="0" w:after="0" w:line="276" w:lineRule="auto"/>
              <w:jc w:val="center"/>
            </w:pPr>
            <w:r>
              <w:rPr>
                <w:rFonts w:ascii="Arial" w:hAnsi="Arial"/>
                <w:b w:val="0"/>
                <w:sz w:val="19"/>
              </w:rPr>
              <w:t>Sesuai (100%)</w:t>
            </w:r>
          </w:p>
        </w:tc>
      </w:tr>
      <w:tr>
        <w:trPr>
          <w:cantSplit/>
        </w:trPr>
        <w:tc>
          <w:tcPr>
            <w:tcW w:type="dxa" w:w="510"/>
            <w:vAlign w:val="center"/>
            <w:tcMar>
              <w:top w:w="75" w:type="dxa"/>
              <w:bottom w:w="75" w:type="dxa"/>
              <w:left w:w="110" w:type="dxa"/>
              <w:right w:w="110" w:type="dxa"/>
            </w:tcMar>
          </w:tcPr>
          <w:p>
            <w:pPr>
              <w:spacing w:before="0" w:after="0" w:line="276" w:lineRule="auto"/>
              <w:jc w:val="center"/>
            </w:pPr>
            <w:r>
              <w:rPr>
                <w:rFonts w:ascii="Arial" w:hAnsi="Arial"/>
                <w:b w:val="0"/>
                <w:sz w:val="19"/>
              </w:rPr>
              <w:t>3</w:t>
            </w:r>
          </w:p>
        </w:tc>
        <w:tc>
          <w:tcPr>
            <w:tcW w:type="dxa" w:w="2154"/>
            <w:vAlign w:val="center"/>
            <w:tcMar>
              <w:top w:w="75" w:type="dxa"/>
              <w:bottom w:w="75" w:type="dxa"/>
              <w:left w:w="110" w:type="dxa"/>
              <w:right w:w="110" w:type="dxa"/>
            </w:tcMar>
          </w:tcPr>
          <w:p>
            <w:pPr>
              <w:spacing w:before="0" w:after="0" w:line="276" w:lineRule="auto"/>
              <w:jc w:val="left"/>
            </w:pPr>
            <w:r>
              <w:rPr>
                <w:rFonts w:ascii="Arial" w:hAnsi="Arial"/>
                <w:b w:val="0"/>
                <w:sz w:val="19"/>
              </w:rPr>
              <w:t>Pelaksanaan Perjalanan Dinas (524111 &amp; 524113)</w:t>
            </w:r>
          </w:p>
        </w:tc>
        <w:tc>
          <w:tcPr>
            <w:tcW w:type="dxa" w:w="4876"/>
            <w:vAlign w:val="center"/>
            <w:tcMar>
              <w:top w:w="75" w:type="dxa"/>
              <w:bottom w:w="75" w:type="dxa"/>
              <w:left w:w="110" w:type="dxa"/>
              <w:right w:w="110" w:type="dxa"/>
            </w:tcMar>
          </w:tcPr>
          <w:p>
            <w:pPr>
              <w:spacing w:before="0" w:after="0" w:line="276" w:lineRule="auto"/>
              <w:jc w:val="both"/>
            </w:pPr>
            <w:r>
              <w:rPr>
                <w:rFonts w:ascii="Arial" w:hAnsi="Arial"/>
                <w:b w:val="0"/>
                <w:sz w:val="19"/>
              </w:rPr>
              <w:t>9 (sembilan) penugasan perjalanan dinas luar kota dan dalam kota telah didukung bukti pertanggungjawaban riil (at cost) dan dokumentasi lapangan yang sah.</w:t>
            </w:r>
          </w:p>
        </w:tc>
        <w:tc>
          <w:tcPr>
            <w:tcW w:type="dxa" w:w="1814"/>
            <w:vAlign w:val="center"/>
            <w:tcMar>
              <w:top w:w="75" w:type="dxa"/>
              <w:bottom w:w="75" w:type="dxa"/>
              <w:left w:w="110" w:type="dxa"/>
              <w:right w:w="110" w:type="dxa"/>
            </w:tcMar>
          </w:tcPr>
          <w:p>
            <w:pPr>
              <w:spacing w:before="0" w:after="0" w:line="276" w:lineRule="auto"/>
              <w:jc w:val="center"/>
            </w:pPr>
            <w:r>
              <w:rPr>
                <w:rFonts w:ascii="Arial" w:hAnsi="Arial"/>
                <w:b w:val="0"/>
                <w:sz w:val="19"/>
              </w:rPr>
              <w:t>Sesuai (100%)</w:t>
            </w:r>
          </w:p>
        </w:tc>
      </w:tr>
      <w:tr>
        <w:trPr>
          <w:cantSplit/>
        </w:trPr>
        <w:tc>
          <w:tcPr>
            <w:tcW w:type="dxa" w:w="510"/>
            <w:vAlign w:val="center"/>
            <w:tcMar>
              <w:top w:w="75" w:type="dxa"/>
              <w:bottom w:w="75" w:type="dxa"/>
              <w:left w:w="110" w:type="dxa"/>
              <w:right w:w="110" w:type="dxa"/>
            </w:tcMar>
          </w:tcPr>
          <w:p>
            <w:pPr>
              <w:spacing w:before="0" w:after="0" w:line="276" w:lineRule="auto"/>
              <w:jc w:val="center"/>
            </w:pPr>
            <w:r>
              <w:rPr>
                <w:rFonts w:ascii="Arial" w:hAnsi="Arial"/>
                <w:b w:val="0"/>
                <w:sz w:val="19"/>
              </w:rPr>
              <w:t>4</w:t>
            </w:r>
          </w:p>
        </w:tc>
        <w:tc>
          <w:tcPr>
            <w:tcW w:type="dxa" w:w="2154"/>
            <w:vAlign w:val="center"/>
            <w:tcMar>
              <w:top w:w="75" w:type="dxa"/>
              <w:bottom w:w="75" w:type="dxa"/>
              <w:left w:w="110" w:type="dxa"/>
              <w:right w:w="110" w:type="dxa"/>
            </w:tcMar>
          </w:tcPr>
          <w:p>
            <w:pPr>
              <w:spacing w:before="0" w:after="0" w:line="276" w:lineRule="auto"/>
              <w:jc w:val="left"/>
            </w:pPr>
            <w:r>
              <w:rPr>
                <w:rFonts w:ascii="Arial" w:hAnsi="Arial"/>
                <w:b w:val="0"/>
                <w:sz w:val="19"/>
              </w:rPr>
              <w:t>Realisasi &amp; Efisiensi Anggaran</w:t>
            </w:r>
          </w:p>
        </w:tc>
        <w:tc>
          <w:tcPr>
            <w:tcW w:type="dxa" w:w="4876"/>
            <w:vAlign w:val="center"/>
            <w:tcMar>
              <w:top w:w="75" w:type="dxa"/>
              <w:bottom w:w="75" w:type="dxa"/>
              <w:left w:w="110" w:type="dxa"/>
              <w:right w:w="110" w:type="dxa"/>
            </w:tcMar>
          </w:tcPr>
          <w:p>
            <w:pPr>
              <w:spacing w:before="0" w:after="0" w:line="276" w:lineRule="auto"/>
              <w:jc w:val="both"/>
            </w:pPr>
            <w:r>
              <w:rPr>
                <w:rFonts w:ascii="Arial" w:hAnsi="Arial"/>
                <w:b w:val="0"/>
                <w:sz w:val="19"/>
              </w:rPr>
              <w:t>Total realisasi anggaran sebesar Rp 141.159.100,- (34,18%) tidak melebihi pagu RAB (Rp 413.000.000,-) dan seluruh pajak telah disetor ke Kas Negara.</w:t>
            </w:r>
          </w:p>
        </w:tc>
        <w:tc>
          <w:tcPr>
            <w:tcW w:type="dxa" w:w="1814"/>
            <w:vAlign w:val="center"/>
            <w:tcMar>
              <w:top w:w="75" w:type="dxa"/>
              <w:bottom w:w="75" w:type="dxa"/>
              <w:left w:w="110" w:type="dxa"/>
              <w:right w:w="110" w:type="dxa"/>
            </w:tcMar>
          </w:tcPr>
          <w:p>
            <w:pPr>
              <w:spacing w:before="0" w:after="0" w:line="276" w:lineRule="auto"/>
              <w:jc w:val="center"/>
            </w:pPr>
            <w:r>
              <w:rPr>
                <w:rFonts w:ascii="Arial" w:hAnsi="Arial"/>
                <w:b w:val="0"/>
                <w:sz w:val="19"/>
              </w:rPr>
              <w:t>Sesuai / Akuntabel</w:t>
            </w:r>
          </w:p>
        </w:tc>
      </w:tr>
    </w:tbl>
    <w:p>
      <w:pPr>
        <w:spacing w:before="0" w:after="120"/>
      </w:pPr>
    </w:p>
    <w:p>
      <w:pPr>
        <w:keepNext/>
        <w:spacing w:before="160" w:after="80"/>
        <w:jc w:val="left"/>
      </w:pPr>
      <w:r>
        <w:rPr>
          <w:rFonts w:ascii="Arial" w:hAnsi="Arial"/>
          <w:b/>
          <w:sz w:val="21"/>
        </w:rPr>
        <w:t>III. KESIMPULAN DAN REKOMENDASI TIM PENGAWAS</w:t>
      </w:r>
    </w:p>
    <w:p>
      <w:pPr>
        <w:spacing w:before="0" w:after="120" w:line="300" w:lineRule="auto"/>
        <w:jc w:val="both"/>
      </w:pPr>
      <w:r>
        <w:rPr>
          <w:rFonts w:ascii="Arial" w:hAnsi="Arial"/>
          <w:b w:val="0"/>
          <w:sz w:val="21"/>
        </w:rPr>
        <w:t>Berdasarkan hasil pengawasan dan pengujian bukti-bukti pelaksanaan, Tim Pengawas menyimpulkan bahwa penyelenggaraan Swakelola Tipe I Administrasi Kegiatan Pembangunan Gedung SPPG Provinsi Riau TA 2025 telah memenuhi ketentuan teknis, administrasi, dan keuangan sehingga layak untuk dilanjutkan ke proses pemeriksaan akhir (BAPHP) dan serah terima hasil pekerjaan (BAST) kepada PPK.</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677"/>
        <w:gridCol w:w="4677"/>
      </w:tblGrid>
      <w:tr>
        <w:trPr>
          <w:cantSplit/>
        </w:trPr>
        <w:tc>
          <w:tcPr>
            <w:tcW w:type="dxa" w:w="4819"/>
          </w:tcPr>
          <w:p/>
        </w:tc>
        <w:tc>
          <w:tcPr>
            <w:tcW w:type="dxa" w:w="4535"/>
          </w:tcPr>
          <w:p>
            <w:pPr>
              <w:spacing w:before="160" w:after="0" w:line="276" w:lineRule="auto"/>
              <w:jc w:val="left"/>
            </w:pPr>
            <w:r>
              <w:rPr>
                <w:rFonts w:ascii="Arial" w:hAnsi="Arial"/>
                <w:sz w:val="21"/>
              </w:rPr>
              <w:t>Pekanbaru, 19 Desember 2025</w:t>
              <w:br/>
            </w:r>
            <w:r>
              <w:rPr>
                <w:rFonts w:ascii="Arial" w:hAnsi="Arial"/>
                <w:b/>
                <w:sz w:val="21"/>
              </w:rPr>
              <w:t>Ketua Tim Pengawas Swakelola,</w:t>
              <w:br/>
              <w:br/>
              <w:br/>
              <w:br/>
            </w:r>
            <w:r>
              <w:rPr>
                <w:rFonts w:ascii="Arial" w:hAnsi="Arial"/>
                <w:b/>
                <w:sz w:val="21"/>
                <w:u w:val="single"/>
              </w:rPr>
              <w:t>Hendra, S.T.</w:t>
              <w:br/>
            </w:r>
            <w:r>
              <w:rPr>
                <w:rFonts w:ascii="Arial" w:hAnsi="Arial"/>
                <w:sz w:val="21"/>
              </w:rPr>
              <w:t>NIP. 19770909 200902 1 005</w:t>
            </w:r>
          </w:p>
        </w:tc>
      </w:tr>
    </w:tbl>
    <w:sectPr w:rsidR="00FC693F" w:rsidRPr="0006063C" w:rsidSect="00034616">
      <w:pgSz w:w="11906" w:h="16838"/>
      <w:pgMar w:top="1020" w:right="1276" w:bottom="1134"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