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drawing>
          <wp:inline xmlns:a="http://schemas.openxmlformats.org/drawingml/2006/main" xmlns:pic="http://schemas.openxmlformats.org/drawingml/2006/picture">
            <wp:extent cx="5940000" cy="876504"/>
            <wp:docPr id="1" name="Picture 1"/>
            <wp:cNvGraphicFramePr>
              <a:graphicFrameLocks noChangeAspect="1"/>
            </wp:cNvGraphicFramePr>
            <a:graphic>
              <a:graphicData uri="http://schemas.openxmlformats.org/drawingml/2006/picture">
                <pic:pic>
                  <pic:nvPicPr>
                    <pic:cNvPr id="0" name="1775466518_6770018a33b3f91eebd0.png"/>
                    <pic:cNvPicPr/>
                  </pic:nvPicPr>
                  <pic:blipFill>
                    <a:blip r:embed="rId9"/>
                    <a:stretch>
                      <a:fillRect/>
                    </a:stretch>
                  </pic:blipFill>
                  <pic:spPr>
                    <a:xfrm>
                      <a:off x="0" y="0"/>
                      <a:ext cx="5940000" cy="876504"/>
                    </a:xfrm>
                    <a:prstGeom prst="rect"/>
                  </pic:spPr>
                </pic:pic>
              </a:graphicData>
            </a:graphic>
          </wp:inline>
        </w:drawing>
      </w:r>
    </w:p>
    <w:p>
      <w:pPr>
        <w:spacing w:before="40" w:after="40" w:line="276" w:lineRule="auto"/>
        <w:jc w:val="center"/>
      </w:pPr>
      <w:r>
        <w:rPr>
          <w:rFonts w:ascii="Arial" w:hAnsi="Arial"/>
          <w:b/>
          <w:sz w:val="23"/>
        </w:rPr>
        <w:t>LEMBAR PEMERIKSAAN KESESUAIAN VOLUME, MUTU, WAKTU, DAN KELUARAN</w:t>
      </w:r>
    </w:p>
    <w:p>
      <w:pPr>
        <w:spacing w:before="0" w:after="40" w:line="276" w:lineRule="auto"/>
        <w:jc w:val="center"/>
      </w:pPr>
      <w:r>
        <w:rPr>
          <w:rFonts w:ascii="Arial" w:hAnsi="Arial"/>
          <w:b/>
          <w:sz w:val="22"/>
        </w:rPr>
        <w:t>KEGIATAN SWAKELOLA TIPE I</w:t>
      </w:r>
    </w:p>
    <w:p>
      <w:pPr>
        <w:spacing w:before="0" w:after="200" w:line="276" w:lineRule="auto"/>
        <w:jc w:val="center"/>
      </w:pPr>
      <w:r>
        <w:rPr>
          <w:rFonts w:ascii="Arial" w:hAnsi="Arial"/>
          <w:b/>
          <w:sz w:val="22"/>
        </w:rPr>
        <w:t>ADMINISTRASI KEGIATAN PEMBANGUNAN GEDUNG SPPG PROVINSI RIAU TA 2025</w:t>
      </w:r>
    </w:p>
    <w:p>
      <w:pPr>
        <w:spacing w:before="0" w:after="120" w:line="300" w:lineRule="auto"/>
        <w:jc w:val="both"/>
      </w:pPr>
      <w:r>
        <w:rPr>
          <w:rFonts w:ascii="Arial" w:hAnsi="Arial"/>
          <w:b w:val="0"/>
          <w:sz w:val="21"/>
        </w:rPr>
        <w:t>Tim Pengawas Swakelola telah melakukan pengujian dan pemeriksaan fisik serta administratif atas kesesuaian volume, mutu, waktu pelaksanaan, dan keluaran (output) terhadap target yang ditetapkan dalam Kerangka Acuan Kerja (KAK) dan Rencana Anggaran Biaya (RAB) dengan rincian sebagai berikut:</w:t>
      </w: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1559"/>
        <w:gridCol w:w="1559"/>
        <w:gridCol w:w="1559"/>
        <w:gridCol w:w="1559"/>
        <w:gridCol w:w="1559"/>
        <w:gridCol w:w="1559"/>
      </w:tblGrid>
      <w:tr>
        <w:trPr>
          <w:tblHeader/>
          <w:cantSplit/>
        </w:trPr>
        <w:tc>
          <w:tcPr>
            <w:tcW w:type="dxa" w:w="454"/>
            <w:vAlign w:val="center"/>
            <w:shd w:fill="D9E2F3"/>
            <w:tcMar>
              <w:top w:w="90" w:type="dxa"/>
              <w:bottom w:w="90" w:type="dxa"/>
              <w:left w:w="110" w:type="dxa"/>
              <w:right w:w="110" w:type="dxa"/>
            </w:tcMar>
          </w:tcPr>
          <w:p>
            <w:pPr>
              <w:spacing w:before="0" w:after="0" w:line="276" w:lineRule="auto"/>
              <w:jc w:val="center"/>
            </w:pPr>
            <w:r>
              <w:rPr>
                <w:rFonts w:ascii="Arial" w:hAnsi="Arial"/>
                <w:b/>
                <w:sz w:val="19"/>
              </w:rPr>
              <w:t>No.</w:t>
            </w:r>
          </w:p>
        </w:tc>
        <w:tc>
          <w:tcPr>
            <w:tcW w:type="dxa" w:w="2041"/>
            <w:vAlign w:val="center"/>
            <w:shd w:fill="D9E2F3"/>
            <w:tcMar>
              <w:top w:w="90" w:type="dxa"/>
              <w:bottom w:w="90" w:type="dxa"/>
              <w:left w:w="110" w:type="dxa"/>
              <w:right w:w="110" w:type="dxa"/>
            </w:tcMar>
          </w:tcPr>
          <w:p>
            <w:pPr>
              <w:spacing w:before="0" w:after="0" w:line="276" w:lineRule="auto"/>
              <w:jc w:val="center"/>
            </w:pPr>
            <w:r>
              <w:rPr>
                <w:rFonts w:ascii="Arial" w:hAnsi="Arial"/>
                <w:b/>
                <w:sz w:val="19"/>
              </w:rPr>
              <w:t>Komponen Keluaran (Output)</w:t>
            </w:r>
          </w:p>
        </w:tc>
        <w:tc>
          <w:tcPr>
            <w:tcW w:type="dxa" w:w="1871"/>
            <w:vAlign w:val="center"/>
            <w:shd w:fill="D9E2F3"/>
            <w:tcMar>
              <w:top w:w="90" w:type="dxa"/>
              <w:bottom w:w="90" w:type="dxa"/>
              <w:left w:w="110" w:type="dxa"/>
              <w:right w:w="110" w:type="dxa"/>
            </w:tcMar>
          </w:tcPr>
          <w:p>
            <w:pPr>
              <w:spacing w:before="0" w:after="0" w:line="276" w:lineRule="auto"/>
              <w:jc w:val="center"/>
            </w:pPr>
            <w:r>
              <w:rPr>
                <w:rFonts w:ascii="Arial" w:hAnsi="Arial"/>
                <w:b/>
                <w:sz w:val="19"/>
              </w:rPr>
              <w:t>Target KAK / RAB</w:t>
            </w:r>
          </w:p>
        </w:tc>
        <w:tc>
          <w:tcPr>
            <w:tcW w:type="dxa" w:w="1871"/>
            <w:vAlign w:val="center"/>
            <w:shd w:fill="D9E2F3"/>
            <w:tcMar>
              <w:top w:w="90" w:type="dxa"/>
              <w:bottom w:w="90" w:type="dxa"/>
              <w:left w:w="110" w:type="dxa"/>
              <w:right w:w="110" w:type="dxa"/>
            </w:tcMar>
          </w:tcPr>
          <w:p>
            <w:pPr>
              <w:spacing w:before="0" w:after="0" w:line="276" w:lineRule="auto"/>
              <w:jc w:val="center"/>
            </w:pPr>
            <w:r>
              <w:rPr>
                <w:rFonts w:ascii="Arial" w:hAnsi="Arial"/>
                <w:b/>
                <w:sz w:val="19"/>
              </w:rPr>
              <w:t>Realisasi Aktual</w:t>
            </w:r>
          </w:p>
        </w:tc>
        <w:tc>
          <w:tcPr>
            <w:tcW w:type="dxa" w:w="1871"/>
            <w:vAlign w:val="center"/>
            <w:shd w:fill="D9E2F3"/>
            <w:tcMar>
              <w:top w:w="90" w:type="dxa"/>
              <w:bottom w:w="90" w:type="dxa"/>
              <w:left w:w="110" w:type="dxa"/>
              <w:right w:w="110" w:type="dxa"/>
            </w:tcMar>
          </w:tcPr>
          <w:p>
            <w:pPr>
              <w:spacing w:before="0" w:after="0" w:line="276" w:lineRule="auto"/>
              <w:jc w:val="center"/>
            </w:pPr>
            <w:r>
              <w:rPr>
                <w:rFonts w:ascii="Arial" w:hAnsi="Arial"/>
                <w:b/>
                <w:sz w:val="19"/>
              </w:rPr>
              <w:t>Penilaian Mutu &amp; Waktu</w:t>
            </w:r>
          </w:p>
        </w:tc>
        <w:tc>
          <w:tcPr>
            <w:tcW w:type="dxa" w:w="1247"/>
            <w:vAlign w:val="center"/>
            <w:shd w:fill="D9E2F3"/>
            <w:tcMar>
              <w:top w:w="90" w:type="dxa"/>
              <w:bottom w:w="90" w:type="dxa"/>
              <w:left w:w="110" w:type="dxa"/>
              <w:right w:w="110" w:type="dxa"/>
            </w:tcMar>
          </w:tcPr>
          <w:p>
            <w:pPr>
              <w:spacing w:before="0" w:after="0" w:line="276" w:lineRule="auto"/>
              <w:jc w:val="center"/>
            </w:pPr>
            <w:r>
              <w:rPr>
                <w:rFonts w:ascii="Arial" w:hAnsi="Arial"/>
                <w:b/>
                <w:sz w:val="19"/>
              </w:rPr>
              <w:t>Hasil Pemeriksaan</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1</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Dokumen Perencanaan &amp; Persiapan Swakelola</w:t>
            </w:r>
          </w:p>
        </w:tc>
        <w:tc>
          <w:tcPr>
            <w:tcW w:type="dxa" w:w="1871"/>
            <w:vAlign w:val="center"/>
            <w:tcMar>
              <w:top w:w="75" w:type="dxa"/>
              <w:bottom w:w="75" w:type="dxa"/>
              <w:left w:w="110" w:type="dxa"/>
              <w:right w:w="110" w:type="dxa"/>
            </w:tcMar>
          </w:tcPr>
          <w:p>
            <w:pPr>
              <w:spacing w:before="0" w:after="0" w:line="276" w:lineRule="auto"/>
              <w:jc w:val="both"/>
            </w:pPr>
            <w:r>
              <w:rPr>
                <w:rFonts w:ascii="Arial" w:hAnsi="Arial"/>
                <w:b w:val="0"/>
                <w:sz w:val="19"/>
              </w:rPr>
              <w:t>1 Paket Lengkap (SK Tim, KAK, RAB, Jadwal, BA Persiapan)</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Paket Lengkap Tersedia dan Terverifikasi</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Tepat Mutu &amp; Tepat Waktu (Sept 2025)</w:t>
            </w:r>
          </w:p>
        </w:tc>
        <w:tc>
          <w:tcPr>
            <w:tcW w:type="dxa" w:w="1247"/>
            <w:vAlign w:val="center"/>
            <w:tcMar>
              <w:top w:w="75" w:type="dxa"/>
              <w:bottom w:w="75" w:type="dxa"/>
              <w:left w:w="110" w:type="dxa"/>
              <w:right w:w="110" w:type="dxa"/>
            </w:tcMar>
          </w:tcPr>
          <w:p>
            <w:pPr>
              <w:spacing w:before="0" w:after="0" w:line="276" w:lineRule="auto"/>
              <w:jc w:val="center"/>
            </w:pPr>
            <w:r>
              <w:rPr>
                <w:rFonts w:ascii="Arial" w:hAnsi="Arial"/>
                <w:b w:val="0"/>
                <w:sz w:val="19"/>
              </w:rPr>
              <w:t>SESUAI</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2</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Penyediaan Bahan Operasional ATK (SPM 00315A)</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Paket ATK Pemberkasan SPPG</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Paket Lengkap Sesuai Nota &amp; BA Penerimaan</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Kondisi Baru, Baik &amp; Sesuai Spesifikasi</w:t>
            </w:r>
          </w:p>
        </w:tc>
        <w:tc>
          <w:tcPr>
            <w:tcW w:type="dxa" w:w="1247"/>
            <w:vAlign w:val="center"/>
            <w:tcMar>
              <w:top w:w="75" w:type="dxa"/>
              <w:bottom w:w="75" w:type="dxa"/>
              <w:left w:w="110" w:type="dxa"/>
              <w:right w:w="110" w:type="dxa"/>
            </w:tcMar>
          </w:tcPr>
          <w:p>
            <w:pPr>
              <w:spacing w:before="0" w:after="0" w:line="276" w:lineRule="auto"/>
              <w:jc w:val="center"/>
            </w:pPr>
            <w:r>
              <w:rPr>
                <w:rFonts w:ascii="Arial" w:hAnsi="Arial"/>
                <w:b w:val="0"/>
                <w:sz w:val="19"/>
              </w:rPr>
              <w:t>SESUAI</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3</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Penyediaan Computer Supplies (SPM 00349A)</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Paket Tinta &amp; Toner Printer</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Paket Lengkap Sesuai Nota &amp; BA Penerimaan</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Original, Baik &amp; Sesuai Spesifikasi</w:t>
            </w:r>
          </w:p>
        </w:tc>
        <w:tc>
          <w:tcPr>
            <w:tcW w:type="dxa" w:w="1247"/>
            <w:vAlign w:val="center"/>
            <w:tcMar>
              <w:top w:w="75" w:type="dxa"/>
              <w:bottom w:w="75" w:type="dxa"/>
              <w:left w:w="110" w:type="dxa"/>
              <w:right w:w="110" w:type="dxa"/>
            </w:tcMar>
          </w:tcPr>
          <w:p>
            <w:pPr>
              <w:spacing w:before="0" w:after="0" w:line="276" w:lineRule="auto"/>
              <w:jc w:val="center"/>
            </w:pPr>
            <w:r>
              <w:rPr>
                <w:rFonts w:ascii="Arial" w:hAnsi="Arial"/>
                <w:b w:val="0"/>
                <w:sz w:val="19"/>
              </w:rPr>
              <w:t>SESUAI</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4</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Perjalanan Dinas Luar Kota (8 SPM Akun 524111)</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Koordinasi Pusat/Regional &amp; Survei/Monev Kab/Kota Riau</w:t>
            </w:r>
          </w:p>
        </w:tc>
        <w:tc>
          <w:tcPr>
            <w:tcW w:type="dxa" w:w="1871"/>
            <w:vAlign w:val="center"/>
            <w:tcMar>
              <w:top w:w="75" w:type="dxa"/>
              <w:bottom w:w="75" w:type="dxa"/>
              <w:left w:w="110" w:type="dxa"/>
              <w:right w:w="110" w:type="dxa"/>
            </w:tcMar>
          </w:tcPr>
          <w:p>
            <w:pPr>
              <w:spacing w:before="0" w:after="0" w:line="276" w:lineRule="auto"/>
              <w:jc w:val="both"/>
            </w:pPr>
            <w:r>
              <w:rPr>
                <w:rFonts w:ascii="Arial" w:hAnsi="Arial"/>
                <w:b w:val="0"/>
                <w:sz w:val="19"/>
              </w:rPr>
              <w:t>8 Kegiatan Terlaksana (Kampar, Dumai, Siak, Jakarta, Medan)</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Bukti Riil Lengkap &amp; Tepat Waktu</w:t>
            </w:r>
          </w:p>
        </w:tc>
        <w:tc>
          <w:tcPr>
            <w:tcW w:type="dxa" w:w="1247"/>
            <w:vAlign w:val="center"/>
            <w:tcMar>
              <w:top w:w="75" w:type="dxa"/>
              <w:bottom w:w="75" w:type="dxa"/>
              <w:left w:w="110" w:type="dxa"/>
              <w:right w:w="110" w:type="dxa"/>
            </w:tcMar>
          </w:tcPr>
          <w:p>
            <w:pPr>
              <w:spacing w:before="0" w:after="0" w:line="276" w:lineRule="auto"/>
              <w:jc w:val="center"/>
            </w:pPr>
            <w:r>
              <w:rPr>
                <w:rFonts w:ascii="Arial" w:hAnsi="Arial"/>
                <w:b w:val="0"/>
                <w:sz w:val="19"/>
              </w:rPr>
              <w:t>SESUAI</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5</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Perjalanan Dinas Dalam Kota (1 SPM Akun 524113)</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Survei &amp; Verifikasi Lokasi Pekanbaru</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Kegiatan Terlaksana di Kota Pekanbaru</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Bukti Riil Lengkap &amp; Tepat Waktu</w:t>
            </w:r>
          </w:p>
        </w:tc>
        <w:tc>
          <w:tcPr>
            <w:tcW w:type="dxa" w:w="1247"/>
            <w:vAlign w:val="center"/>
            <w:tcMar>
              <w:top w:w="75" w:type="dxa"/>
              <w:bottom w:w="75" w:type="dxa"/>
              <w:left w:w="110" w:type="dxa"/>
              <w:right w:w="110" w:type="dxa"/>
            </w:tcMar>
          </w:tcPr>
          <w:p>
            <w:pPr>
              <w:spacing w:before="0" w:after="0" w:line="276" w:lineRule="auto"/>
              <w:jc w:val="center"/>
            </w:pPr>
            <w:r>
              <w:rPr>
                <w:rFonts w:ascii="Arial" w:hAnsi="Arial"/>
                <w:b w:val="0"/>
                <w:sz w:val="19"/>
              </w:rPr>
              <w:t>SESUAI</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6</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Laporan Pelaksanaan, Pengawasan &amp; Dokumentasi</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Paket Laporan Berkala, Album Foto &amp; Laporan Akhir</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1 Paket Lengkap Tersusun Rapi</w:t>
            </w:r>
          </w:p>
        </w:tc>
        <w:tc>
          <w:tcPr>
            <w:tcW w:type="dxa" w:w="1871"/>
            <w:vAlign w:val="center"/>
            <w:tcMar>
              <w:top w:w="75" w:type="dxa"/>
              <w:bottom w:w="75" w:type="dxa"/>
              <w:left w:w="110" w:type="dxa"/>
              <w:right w:w="110" w:type="dxa"/>
            </w:tcMar>
          </w:tcPr>
          <w:p>
            <w:pPr>
              <w:spacing w:before="0" w:after="0" w:line="276" w:lineRule="auto"/>
              <w:jc w:val="left"/>
            </w:pPr>
            <w:r>
              <w:rPr>
                <w:rFonts w:ascii="Arial" w:hAnsi="Arial"/>
                <w:b w:val="0"/>
                <w:sz w:val="19"/>
              </w:rPr>
              <w:t>Akurat, Lengkap &amp; Akuntabel</w:t>
            </w:r>
          </w:p>
        </w:tc>
        <w:tc>
          <w:tcPr>
            <w:tcW w:type="dxa" w:w="1247"/>
            <w:vAlign w:val="center"/>
            <w:tcMar>
              <w:top w:w="75" w:type="dxa"/>
              <w:bottom w:w="75" w:type="dxa"/>
              <w:left w:w="110" w:type="dxa"/>
              <w:right w:w="110" w:type="dxa"/>
            </w:tcMar>
          </w:tcPr>
          <w:p>
            <w:pPr>
              <w:spacing w:before="0" w:after="0" w:line="276" w:lineRule="auto"/>
              <w:jc w:val="center"/>
            </w:pPr>
            <w:r>
              <w:rPr>
                <w:rFonts w:ascii="Arial" w:hAnsi="Arial"/>
                <w:b w:val="0"/>
                <w:sz w:val="19"/>
              </w:rPr>
              <w:t>SESUAI</w:t>
            </w:r>
          </w:p>
        </w:tc>
      </w:tr>
    </w:tbl>
    <w:p>
      <w:pPr>
        <w:spacing w:before="0" w:after="120"/>
      </w:pPr>
    </w:p>
    <w:p>
      <w:pPr>
        <w:spacing w:before="0" w:after="120" w:line="300" w:lineRule="auto"/>
        <w:jc w:val="both"/>
      </w:pPr>
      <w:r>
        <w:rPr>
          <w:rFonts w:ascii="Arial" w:hAnsi="Arial"/>
          <w:b w:val="0"/>
          <w:sz w:val="21"/>
        </w:rPr>
        <w:t>Berdasarkan lembar pemeriksaan di atas, seluruh komponen keluaran kegiatan Swakelola telah memenuhi standar volume, mutu, dan ketepatan waktu sebesar 100%.</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rPr>
          <w:cantSplit/>
        </w:trPr>
        <w:tc>
          <w:tcPr>
            <w:tcW w:type="dxa" w:w="4677"/>
          </w:tcPr>
          <w:p>
            <w:pPr>
              <w:spacing w:before="160" w:line="276" w:lineRule="auto"/>
              <w:jc w:val="left"/>
            </w:pPr>
            <w:r>
              <w:rPr>
                <w:rFonts w:ascii="Arial" w:hAnsi="Arial"/>
                <w:sz w:val="21"/>
              </w:rPr>
              <w:t>Mengetahui,</w:t>
              <w:br/>
            </w:r>
            <w:r>
              <w:rPr>
                <w:rFonts w:ascii="Arial" w:hAnsi="Arial"/>
                <w:b/>
                <w:sz w:val="21"/>
              </w:rPr>
              <w:t>Pejabat Pembuat Komitmen (PPK)</w:t>
              <w:br/>
              <w:t>Satker Pelaksanaan Prasarana Strategis Riau,</w:t>
              <w:br/>
              <w:br/>
              <w:br/>
              <w:br/>
            </w:r>
            <w:r>
              <w:rPr>
                <w:rFonts w:ascii="Arial" w:hAnsi="Arial"/>
                <w:b/>
                <w:sz w:val="21"/>
                <w:u w:val="single"/>
              </w:rPr>
              <w:t>Nurhidayat Nugroho, S.Ars.</w:t>
              <w:br/>
            </w:r>
            <w:r>
              <w:rPr>
                <w:rFonts w:ascii="Arial" w:hAnsi="Arial"/>
                <w:sz w:val="21"/>
              </w:rPr>
              <w:t>NIP. 19901221 201802 1 001</w:t>
            </w:r>
          </w:p>
        </w:tc>
        <w:tc>
          <w:tcPr>
            <w:tcW w:type="dxa" w:w="4677"/>
          </w:tcPr>
          <w:p>
            <w:pPr>
              <w:spacing w:before="160" w:line="276" w:lineRule="auto"/>
              <w:jc w:val="left"/>
            </w:pPr>
            <w:r>
              <w:rPr>
                <w:rFonts w:ascii="Arial" w:hAnsi="Arial"/>
                <w:sz w:val="21"/>
              </w:rPr>
              <w:t>Pekanbaru, 19 Desember 2025</w:t>
              <w:br/>
              <w:t>Pemeriksa,</w:t>
              <w:br/>
            </w:r>
            <w:r>
              <w:rPr>
                <w:rFonts w:ascii="Arial" w:hAnsi="Arial"/>
                <w:b/>
                <w:sz w:val="21"/>
              </w:rPr>
              <w:t>Ketua Tim Pengawas Swakelola,</w:t>
              <w:br/>
              <w:br/>
              <w:br/>
              <w:br/>
            </w:r>
            <w:r>
              <w:rPr>
                <w:rFonts w:ascii="Arial" w:hAnsi="Arial"/>
                <w:b/>
                <w:sz w:val="21"/>
                <w:u w:val="single"/>
              </w:rPr>
              <w:t>Hendra, S.T.</w:t>
              <w:br/>
            </w:r>
            <w:r>
              <w:rPr>
                <w:rFonts w:ascii="Arial" w:hAnsi="Arial"/>
                <w:sz w:val="21"/>
              </w:rPr>
              <w:t>NIP. 19770909 200902 1 005</w:t>
            </w:r>
          </w:p>
        </w:tc>
      </w:tr>
    </w:tbl>
    <w:sectPr w:rsidR="00FC693F" w:rsidRPr="0006063C" w:rsidSect="00034616">
      <w:pgSz w:w="11906" w:h="16838"/>
      <w:pgMar w:top="1020"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