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40" w:lineRule="auto"/>
        <w:jc w:val="center"/>
      </w:pPr>
      <w:r>
        <w:drawing>
          <wp:inline xmlns:a="http://schemas.openxmlformats.org/drawingml/2006/main" xmlns:pic="http://schemas.openxmlformats.org/drawingml/2006/picture">
            <wp:extent cx="5940000" cy="876504"/>
            <wp:docPr id="1" name="Picture 1"/>
            <wp:cNvGraphicFramePr>
              <a:graphicFrameLocks noChangeAspect="1"/>
            </wp:cNvGraphicFramePr>
            <a:graphic>
              <a:graphicData uri="http://schemas.openxmlformats.org/drawingml/2006/picture">
                <pic:pic>
                  <pic:nvPicPr>
                    <pic:cNvPr id="0" name="1775466518_6770018a33b3f91eebd0.png"/>
                    <pic:cNvPicPr/>
                  </pic:nvPicPr>
                  <pic:blipFill>
                    <a:blip r:embed="rId9"/>
                    <a:stretch>
                      <a:fillRect/>
                    </a:stretch>
                  </pic:blipFill>
                  <pic:spPr>
                    <a:xfrm>
                      <a:off x="0" y="0"/>
                      <a:ext cx="5940000" cy="876504"/>
                    </a:xfrm>
                    <a:prstGeom prst="rect"/>
                  </pic:spPr>
                </pic:pic>
              </a:graphicData>
            </a:graphic>
          </wp:inline>
        </w:drawing>
      </w:r>
    </w:p>
    <w:p>
      <w:pPr>
        <w:spacing w:before="40" w:after="40" w:line="276" w:lineRule="auto"/>
        <w:jc w:val="center"/>
      </w:pPr>
      <w:r>
        <w:rPr>
          <w:rFonts w:ascii="Arial" w:hAnsi="Arial"/>
          <w:b/>
          <w:sz w:val="23"/>
        </w:rPr>
        <w:t>BERITA ACARA REKONSILIASI REALISASI FISIK DAN KEUANGAN</w:t>
      </w:r>
    </w:p>
    <w:p>
      <w:pPr>
        <w:spacing w:before="0" w:after="40" w:line="276" w:lineRule="auto"/>
        <w:jc w:val="center"/>
      </w:pPr>
      <w:r>
        <w:rPr>
          <w:rFonts w:ascii="Arial" w:hAnsi="Arial"/>
          <w:b/>
          <w:sz w:val="22"/>
        </w:rPr>
        <w:t>ADMINISTRASI KEGIATAN PEMBANGUNAN GEDUNG SPPG PROVINSI RIAU</w:t>
      </w:r>
    </w:p>
    <w:p>
      <w:pPr>
        <w:spacing w:before="0" w:after="40" w:line="276" w:lineRule="auto"/>
        <w:jc w:val="center"/>
      </w:pPr>
      <w:r>
        <w:rPr>
          <w:rFonts w:ascii="Arial" w:hAnsi="Arial"/>
          <w:b/>
          <w:sz w:val="22"/>
        </w:rPr>
        <w:t>TAHUN ANGGARAN 2025</w:t>
      </w:r>
    </w:p>
    <w:p>
      <w:pPr>
        <w:spacing w:before="40" w:after="200" w:line="276" w:lineRule="auto"/>
        <w:jc w:val="center"/>
      </w:pPr>
      <w:r>
        <w:rPr>
          <w:rFonts w:ascii="Arial" w:hAnsi="Arial"/>
          <w:b/>
          <w:sz w:val="21"/>
        </w:rPr>
        <w:t>NOMOR : 02/BA-REKON/SWK-SPPG/2025</w:t>
      </w:r>
    </w:p>
    <w:p>
      <w:pPr>
        <w:spacing w:before="0" w:after="120" w:line="300" w:lineRule="auto"/>
        <w:jc w:val="both"/>
      </w:pPr>
      <w:r>
        <w:rPr>
          <w:rFonts w:ascii="Arial" w:hAnsi="Arial"/>
          <w:b w:val="0"/>
          <w:sz w:val="21"/>
        </w:rPr>
        <w:t>Pada hari ini, Jumat tanggal Sembilan Belas bulan Desember tahun Dua Ribu Dua Puluh Lima (19-12-2025), bertempat di Kantor Satuan Kerja Pelaksanaan Prasarana Strategis Riau, kami yang bertanda tangan di bawah ini Pejabat Pembuat Komitmen (PPK), Bendahara Pengeluaran, Ketua Tim Pengawas, dan Ketua Tim Pelaksana telah melaksanakan rekonsiliasi data capaian fisik dan realisasi pencairan anggaran (SP2D/SPM) untuk paket Swakelola Tipe I Administrasi Kegiatan Pembangunan Gedung SPPG Provinsi Riau TA 2025.</w:t>
      </w:r>
    </w:p>
    <w:p>
      <w:pPr>
        <w:keepNext/>
        <w:spacing w:before="160" w:after="80"/>
        <w:jc w:val="left"/>
      </w:pPr>
      <w:r>
        <w:rPr>
          <w:rFonts w:ascii="Arial" w:hAnsi="Arial"/>
          <w:b/>
          <w:sz w:val="21"/>
        </w:rPr>
        <w:t>I. HASIL REKONSILIASI ANGGARAN PER AKUN BELANJA</w:t>
      </w:r>
    </w:p>
    <w:tbl>
      <w:tblPr>
        <w:tblW w:type="auto" w:w="0"/>
        <w:jc w:val="center"/>
        <w:tblLayout w:type="fixed"/>
        <w:tblLook w:firstColumn="1" w:firstRow="1" w:lastColumn="0" w:lastRow="0" w:noHBand="0" w:noVBand="1" w:val="04A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336"/>
        <w:gridCol w:w="1336"/>
        <w:gridCol w:w="1336"/>
        <w:gridCol w:w="1336"/>
        <w:gridCol w:w="1336"/>
        <w:gridCol w:w="1336"/>
        <w:gridCol w:w="1336"/>
      </w:tblGrid>
      <w:tr>
        <w:trPr>
          <w:tblHeader/>
          <w:cantSplit/>
        </w:trPr>
        <w:tc>
          <w:tcPr>
            <w:tcW w:type="dxa" w:w="454"/>
            <w:vAlign w:val="center"/>
            <w:shd w:fill="D9E2F3"/>
            <w:tcMar>
              <w:top w:w="90" w:type="dxa"/>
              <w:bottom w:w="90" w:type="dxa"/>
              <w:left w:w="110" w:type="dxa"/>
              <w:right w:w="110" w:type="dxa"/>
            </w:tcMar>
          </w:tcPr>
          <w:p>
            <w:pPr>
              <w:spacing w:before="0" w:after="0" w:line="276" w:lineRule="auto"/>
              <w:jc w:val="center"/>
            </w:pPr>
            <w:r>
              <w:rPr>
                <w:rFonts w:ascii="Arial" w:hAnsi="Arial"/>
                <w:b/>
                <w:sz w:val="19"/>
              </w:rPr>
              <w:t>No.</w:t>
            </w:r>
          </w:p>
        </w:tc>
        <w:tc>
          <w:tcPr>
            <w:tcW w:type="dxa" w:w="1020"/>
            <w:vAlign w:val="center"/>
            <w:shd w:fill="D9E2F3"/>
            <w:tcMar>
              <w:top w:w="90" w:type="dxa"/>
              <w:bottom w:w="90" w:type="dxa"/>
              <w:left w:w="110" w:type="dxa"/>
              <w:right w:w="110" w:type="dxa"/>
            </w:tcMar>
          </w:tcPr>
          <w:p>
            <w:pPr>
              <w:spacing w:before="0" w:after="0" w:line="276" w:lineRule="auto"/>
              <w:jc w:val="center"/>
            </w:pPr>
            <w:r>
              <w:rPr>
                <w:rFonts w:ascii="Arial" w:hAnsi="Arial"/>
                <w:b/>
                <w:sz w:val="19"/>
              </w:rPr>
              <w:t>Kode Akun</w:t>
            </w:r>
          </w:p>
        </w:tc>
        <w:tc>
          <w:tcPr>
            <w:tcW w:type="dxa" w:w="2891"/>
            <w:vAlign w:val="center"/>
            <w:shd w:fill="D9E2F3"/>
            <w:tcMar>
              <w:top w:w="90" w:type="dxa"/>
              <w:bottom w:w="90" w:type="dxa"/>
              <w:left w:w="110" w:type="dxa"/>
              <w:right w:w="110" w:type="dxa"/>
            </w:tcMar>
          </w:tcPr>
          <w:p>
            <w:pPr>
              <w:spacing w:before="0" w:after="0" w:line="276" w:lineRule="auto"/>
              <w:jc w:val="center"/>
            </w:pPr>
            <w:r>
              <w:rPr>
                <w:rFonts w:ascii="Arial" w:hAnsi="Arial"/>
                <w:b/>
                <w:sz w:val="19"/>
              </w:rPr>
              <w:t>Uraian Akun Belanja</w:t>
            </w:r>
          </w:p>
        </w:tc>
        <w:tc>
          <w:tcPr>
            <w:tcW w:type="dxa" w:w="1304"/>
            <w:vAlign w:val="center"/>
            <w:shd w:fill="D9E2F3"/>
            <w:tcMar>
              <w:top w:w="90" w:type="dxa"/>
              <w:bottom w:w="90" w:type="dxa"/>
              <w:left w:w="110" w:type="dxa"/>
              <w:right w:w="110" w:type="dxa"/>
            </w:tcMar>
          </w:tcPr>
          <w:p>
            <w:pPr>
              <w:spacing w:before="0" w:after="0" w:line="276" w:lineRule="auto"/>
              <w:jc w:val="center"/>
            </w:pPr>
            <w:r>
              <w:rPr>
                <w:rFonts w:ascii="Arial" w:hAnsi="Arial"/>
                <w:b/>
                <w:sz w:val="19"/>
              </w:rPr>
              <w:t>Pagu RAB (Rp)</w:t>
            </w:r>
          </w:p>
        </w:tc>
        <w:tc>
          <w:tcPr>
            <w:tcW w:type="dxa" w:w="1417"/>
            <w:vAlign w:val="center"/>
            <w:shd w:fill="D9E2F3"/>
            <w:tcMar>
              <w:top w:w="90" w:type="dxa"/>
              <w:bottom w:w="90" w:type="dxa"/>
              <w:left w:w="110" w:type="dxa"/>
              <w:right w:w="110" w:type="dxa"/>
            </w:tcMar>
          </w:tcPr>
          <w:p>
            <w:pPr>
              <w:spacing w:before="0" w:after="0" w:line="276" w:lineRule="auto"/>
              <w:jc w:val="center"/>
            </w:pPr>
            <w:r>
              <w:rPr>
                <w:rFonts w:ascii="Arial" w:hAnsi="Arial"/>
                <w:b/>
                <w:sz w:val="19"/>
              </w:rPr>
              <w:t>Realisasi SP2D/SPM (Rp)</w:t>
            </w:r>
          </w:p>
        </w:tc>
        <w:tc>
          <w:tcPr>
            <w:tcW w:type="dxa" w:w="1304"/>
            <w:vAlign w:val="center"/>
            <w:shd w:fill="D9E2F3"/>
            <w:tcMar>
              <w:top w:w="90" w:type="dxa"/>
              <w:bottom w:w="90" w:type="dxa"/>
              <w:left w:w="110" w:type="dxa"/>
              <w:right w:w="110" w:type="dxa"/>
            </w:tcMar>
          </w:tcPr>
          <w:p>
            <w:pPr>
              <w:spacing w:before="0" w:after="0" w:line="276" w:lineRule="auto"/>
              <w:jc w:val="center"/>
            </w:pPr>
            <w:r>
              <w:rPr>
                <w:rFonts w:ascii="Arial" w:hAnsi="Arial"/>
                <w:b/>
                <w:sz w:val="19"/>
              </w:rPr>
              <w:t>Sisa Anggaran (Rp)</w:t>
            </w:r>
          </w:p>
        </w:tc>
        <w:tc>
          <w:tcPr>
            <w:tcW w:type="dxa" w:w="964"/>
            <w:vAlign w:val="center"/>
            <w:shd w:fill="D9E2F3"/>
            <w:tcMar>
              <w:top w:w="90" w:type="dxa"/>
              <w:bottom w:w="90" w:type="dxa"/>
              <w:left w:w="110" w:type="dxa"/>
              <w:right w:w="110" w:type="dxa"/>
            </w:tcMar>
          </w:tcPr>
          <w:p>
            <w:pPr>
              <w:spacing w:before="0" w:after="0" w:line="276" w:lineRule="auto"/>
              <w:jc w:val="center"/>
            </w:pPr>
            <w:r>
              <w:rPr>
                <w:rFonts w:ascii="Arial" w:hAnsi="Arial"/>
                <w:b/>
                <w:sz w:val="19"/>
              </w:rPr>
              <w:t>% Serapan</w:t>
            </w:r>
          </w:p>
        </w:tc>
      </w:tr>
      <w:tr>
        <w:trPr>
          <w:cantSplit/>
        </w:trPr>
        <w:tc>
          <w:tcPr>
            <w:tcW w:type="dxa" w:w="454"/>
            <w:vAlign w:val="center"/>
            <w:tcMar>
              <w:top w:w="75" w:type="dxa"/>
              <w:bottom w:w="75" w:type="dxa"/>
              <w:left w:w="110" w:type="dxa"/>
              <w:right w:w="110" w:type="dxa"/>
            </w:tcMar>
          </w:tcPr>
          <w:p>
            <w:pPr>
              <w:spacing w:before="0" w:after="0" w:line="276" w:lineRule="auto"/>
              <w:jc w:val="center"/>
            </w:pPr>
            <w:r>
              <w:rPr>
                <w:rFonts w:ascii="Arial" w:hAnsi="Arial"/>
                <w:b w:val="0"/>
                <w:sz w:val="19"/>
              </w:rPr>
              <w:t>1</w:t>
            </w:r>
          </w:p>
        </w:tc>
        <w:tc>
          <w:tcPr>
            <w:tcW w:type="dxa" w:w="1020"/>
            <w:vAlign w:val="center"/>
            <w:tcMar>
              <w:top w:w="75" w:type="dxa"/>
              <w:bottom w:w="75" w:type="dxa"/>
              <w:left w:w="110" w:type="dxa"/>
              <w:right w:w="110" w:type="dxa"/>
            </w:tcMar>
          </w:tcPr>
          <w:p>
            <w:pPr>
              <w:spacing w:before="0" w:after="0" w:line="276" w:lineRule="auto"/>
              <w:jc w:val="center"/>
            </w:pPr>
            <w:r>
              <w:rPr>
                <w:rFonts w:ascii="Arial" w:hAnsi="Arial"/>
                <w:b w:val="0"/>
                <w:sz w:val="19"/>
              </w:rPr>
              <w:t>521211</w:t>
            </w:r>
          </w:p>
        </w:tc>
        <w:tc>
          <w:tcPr>
            <w:tcW w:type="dxa" w:w="2891"/>
            <w:vAlign w:val="center"/>
            <w:tcMar>
              <w:top w:w="75" w:type="dxa"/>
              <w:bottom w:w="75" w:type="dxa"/>
              <w:left w:w="110" w:type="dxa"/>
              <w:right w:w="110" w:type="dxa"/>
            </w:tcMar>
          </w:tcPr>
          <w:p>
            <w:pPr>
              <w:spacing w:before="0" w:after="0" w:line="276" w:lineRule="auto"/>
              <w:jc w:val="left"/>
            </w:pPr>
            <w:r>
              <w:rPr>
                <w:rFonts w:ascii="Arial" w:hAnsi="Arial"/>
                <w:b w:val="0"/>
                <w:sz w:val="19"/>
              </w:rPr>
              <w:t>Belanja Bahan (ATK &amp; Computer Supplies)</w:t>
            </w:r>
          </w:p>
        </w:tc>
        <w:tc>
          <w:tcPr>
            <w:tcW w:type="dxa" w:w="1304"/>
            <w:vAlign w:val="center"/>
            <w:tcMar>
              <w:top w:w="75" w:type="dxa"/>
              <w:bottom w:w="75" w:type="dxa"/>
              <w:left w:w="110" w:type="dxa"/>
              <w:right w:w="110" w:type="dxa"/>
            </w:tcMar>
          </w:tcPr>
          <w:p>
            <w:pPr>
              <w:spacing w:before="0" w:after="0" w:line="276" w:lineRule="auto"/>
              <w:jc w:val="right"/>
            </w:pPr>
            <w:r>
              <w:rPr>
                <w:rFonts w:ascii="Arial" w:hAnsi="Arial"/>
                <w:b w:val="0"/>
                <w:sz w:val="19"/>
              </w:rPr>
              <w:t>45.320.000</w:t>
            </w:r>
          </w:p>
        </w:tc>
        <w:tc>
          <w:tcPr>
            <w:tcW w:type="dxa" w:w="1417"/>
            <w:vAlign w:val="center"/>
            <w:tcMar>
              <w:top w:w="75" w:type="dxa"/>
              <w:bottom w:w="75" w:type="dxa"/>
              <w:left w:w="110" w:type="dxa"/>
              <w:right w:w="110" w:type="dxa"/>
            </w:tcMar>
          </w:tcPr>
          <w:p>
            <w:pPr>
              <w:spacing w:before="0" w:after="0" w:line="276" w:lineRule="auto"/>
              <w:jc w:val="right"/>
            </w:pPr>
            <w:r>
              <w:rPr>
                <w:rFonts w:ascii="Arial" w:hAnsi="Arial"/>
                <w:b w:val="0"/>
                <w:sz w:val="19"/>
              </w:rPr>
              <w:t>20.235.000</w:t>
            </w:r>
          </w:p>
        </w:tc>
        <w:tc>
          <w:tcPr>
            <w:tcW w:type="dxa" w:w="1304"/>
            <w:vAlign w:val="center"/>
            <w:tcMar>
              <w:top w:w="75" w:type="dxa"/>
              <w:bottom w:w="75" w:type="dxa"/>
              <w:left w:w="110" w:type="dxa"/>
              <w:right w:w="110" w:type="dxa"/>
            </w:tcMar>
          </w:tcPr>
          <w:p>
            <w:pPr>
              <w:spacing w:before="0" w:after="0" w:line="276" w:lineRule="auto"/>
              <w:jc w:val="right"/>
            </w:pPr>
            <w:r>
              <w:rPr>
                <w:rFonts w:ascii="Arial" w:hAnsi="Arial"/>
                <w:b w:val="0"/>
                <w:sz w:val="19"/>
              </w:rPr>
              <w:t>25.085.000</w:t>
            </w:r>
          </w:p>
        </w:tc>
        <w:tc>
          <w:tcPr>
            <w:tcW w:type="dxa" w:w="964"/>
            <w:vAlign w:val="center"/>
            <w:tcMar>
              <w:top w:w="75" w:type="dxa"/>
              <w:bottom w:w="75" w:type="dxa"/>
              <w:left w:w="110" w:type="dxa"/>
              <w:right w:w="110" w:type="dxa"/>
            </w:tcMar>
          </w:tcPr>
          <w:p>
            <w:pPr>
              <w:spacing w:before="0" w:after="0" w:line="276" w:lineRule="auto"/>
              <w:jc w:val="right"/>
            </w:pPr>
            <w:r>
              <w:rPr>
                <w:rFonts w:ascii="Arial" w:hAnsi="Arial"/>
                <w:b w:val="0"/>
                <w:sz w:val="19"/>
              </w:rPr>
              <w:t>44,65%</w:t>
            </w:r>
          </w:p>
        </w:tc>
      </w:tr>
      <w:tr>
        <w:trPr>
          <w:cantSplit/>
        </w:trPr>
        <w:tc>
          <w:tcPr>
            <w:tcW w:type="dxa" w:w="454"/>
            <w:vAlign w:val="center"/>
            <w:tcMar>
              <w:top w:w="75" w:type="dxa"/>
              <w:bottom w:w="75" w:type="dxa"/>
              <w:left w:w="110" w:type="dxa"/>
              <w:right w:w="110" w:type="dxa"/>
            </w:tcMar>
          </w:tcPr>
          <w:p>
            <w:pPr>
              <w:spacing w:before="0" w:after="0" w:line="276" w:lineRule="auto"/>
              <w:jc w:val="center"/>
            </w:pPr>
            <w:r>
              <w:rPr>
                <w:rFonts w:ascii="Arial" w:hAnsi="Arial"/>
                <w:b w:val="0"/>
                <w:sz w:val="19"/>
              </w:rPr>
              <w:t>2</w:t>
            </w:r>
          </w:p>
        </w:tc>
        <w:tc>
          <w:tcPr>
            <w:tcW w:type="dxa" w:w="1020"/>
            <w:vAlign w:val="center"/>
            <w:tcMar>
              <w:top w:w="75" w:type="dxa"/>
              <w:bottom w:w="75" w:type="dxa"/>
              <w:left w:w="110" w:type="dxa"/>
              <w:right w:w="110" w:type="dxa"/>
            </w:tcMar>
          </w:tcPr>
          <w:p>
            <w:pPr>
              <w:spacing w:before="0" w:after="0" w:line="276" w:lineRule="auto"/>
              <w:jc w:val="center"/>
            </w:pPr>
            <w:r>
              <w:rPr>
                <w:rFonts w:ascii="Arial" w:hAnsi="Arial"/>
                <w:b w:val="0"/>
                <w:sz w:val="19"/>
              </w:rPr>
              <w:t>521213</w:t>
            </w:r>
          </w:p>
        </w:tc>
        <w:tc>
          <w:tcPr>
            <w:tcW w:type="dxa" w:w="2891"/>
            <w:vAlign w:val="center"/>
            <w:tcMar>
              <w:top w:w="75" w:type="dxa"/>
              <w:bottom w:w="75" w:type="dxa"/>
              <w:left w:w="110" w:type="dxa"/>
              <w:right w:w="110" w:type="dxa"/>
            </w:tcMar>
          </w:tcPr>
          <w:p>
            <w:pPr>
              <w:spacing w:before="0" w:after="0" w:line="276" w:lineRule="auto"/>
              <w:jc w:val="left"/>
            </w:pPr>
            <w:r>
              <w:rPr>
                <w:rFonts w:ascii="Arial" w:hAnsi="Arial"/>
                <w:b w:val="0"/>
                <w:sz w:val="19"/>
              </w:rPr>
              <w:t>Belanja Honor Output Kegiatan</w:t>
            </w:r>
          </w:p>
        </w:tc>
        <w:tc>
          <w:tcPr>
            <w:tcW w:type="dxa" w:w="1304"/>
            <w:vAlign w:val="center"/>
            <w:tcMar>
              <w:top w:w="75" w:type="dxa"/>
              <w:bottom w:w="75" w:type="dxa"/>
              <w:left w:w="110" w:type="dxa"/>
              <w:right w:w="110" w:type="dxa"/>
            </w:tcMar>
          </w:tcPr>
          <w:p>
            <w:pPr>
              <w:spacing w:before="0" w:after="0" w:line="276" w:lineRule="auto"/>
              <w:jc w:val="right"/>
            </w:pPr>
            <w:r>
              <w:rPr>
                <w:rFonts w:ascii="Arial" w:hAnsi="Arial"/>
                <w:b w:val="0"/>
                <w:sz w:val="19"/>
              </w:rPr>
              <w:t>43.200.000</w:t>
            </w:r>
          </w:p>
        </w:tc>
        <w:tc>
          <w:tcPr>
            <w:tcW w:type="dxa" w:w="1417"/>
            <w:vAlign w:val="center"/>
            <w:tcMar>
              <w:top w:w="75" w:type="dxa"/>
              <w:bottom w:w="75" w:type="dxa"/>
              <w:left w:w="110" w:type="dxa"/>
              <w:right w:w="110" w:type="dxa"/>
            </w:tcMar>
          </w:tcPr>
          <w:p>
            <w:pPr>
              <w:spacing w:before="0" w:after="0" w:line="276" w:lineRule="auto"/>
              <w:jc w:val="right"/>
            </w:pPr>
            <w:r>
              <w:rPr>
                <w:rFonts w:ascii="Arial" w:hAnsi="Arial"/>
                <w:b w:val="0"/>
                <w:sz w:val="19"/>
              </w:rPr>
              <w:t>0</w:t>
            </w:r>
          </w:p>
        </w:tc>
        <w:tc>
          <w:tcPr>
            <w:tcW w:type="dxa" w:w="1304"/>
            <w:vAlign w:val="center"/>
            <w:tcMar>
              <w:top w:w="75" w:type="dxa"/>
              <w:bottom w:w="75" w:type="dxa"/>
              <w:left w:w="110" w:type="dxa"/>
              <w:right w:w="110" w:type="dxa"/>
            </w:tcMar>
          </w:tcPr>
          <w:p>
            <w:pPr>
              <w:spacing w:before="0" w:after="0" w:line="276" w:lineRule="auto"/>
              <w:jc w:val="right"/>
            </w:pPr>
            <w:r>
              <w:rPr>
                <w:rFonts w:ascii="Arial" w:hAnsi="Arial"/>
                <w:b w:val="0"/>
                <w:sz w:val="19"/>
              </w:rPr>
              <w:t>43.200.000</w:t>
            </w:r>
          </w:p>
        </w:tc>
        <w:tc>
          <w:tcPr>
            <w:tcW w:type="dxa" w:w="964"/>
            <w:vAlign w:val="center"/>
            <w:tcMar>
              <w:top w:w="75" w:type="dxa"/>
              <w:bottom w:w="75" w:type="dxa"/>
              <w:left w:w="110" w:type="dxa"/>
              <w:right w:w="110" w:type="dxa"/>
            </w:tcMar>
          </w:tcPr>
          <w:p>
            <w:pPr>
              <w:spacing w:before="0" w:after="0" w:line="276" w:lineRule="auto"/>
              <w:jc w:val="right"/>
            </w:pPr>
            <w:r>
              <w:rPr>
                <w:rFonts w:ascii="Arial" w:hAnsi="Arial"/>
                <w:b w:val="0"/>
                <w:sz w:val="19"/>
              </w:rPr>
              <w:t>0,00%</w:t>
            </w:r>
          </w:p>
        </w:tc>
      </w:tr>
      <w:tr>
        <w:trPr>
          <w:cantSplit/>
        </w:trPr>
        <w:tc>
          <w:tcPr>
            <w:tcW w:type="dxa" w:w="454"/>
            <w:vAlign w:val="center"/>
            <w:tcMar>
              <w:top w:w="75" w:type="dxa"/>
              <w:bottom w:w="75" w:type="dxa"/>
              <w:left w:w="110" w:type="dxa"/>
              <w:right w:w="110" w:type="dxa"/>
            </w:tcMar>
          </w:tcPr>
          <w:p>
            <w:pPr>
              <w:spacing w:before="0" w:after="0" w:line="276" w:lineRule="auto"/>
              <w:jc w:val="center"/>
            </w:pPr>
            <w:r>
              <w:rPr>
                <w:rFonts w:ascii="Arial" w:hAnsi="Arial"/>
                <w:b w:val="0"/>
                <w:sz w:val="19"/>
              </w:rPr>
              <w:t>3</w:t>
            </w:r>
          </w:p>
        </w:tc>
        <w:tc>
          <w:tcPr>
            <w:tcW w:type="dxa" w:w="1020"/>
            <w:vAlign w:val="center"/>
            <w:tcMar>
              <w:top w:w="75" w:type="dxa"/>
              <w:bottom w:w="75" w:type="dxa"/>
              <w:left w:w="110" w:type="dxa"/>
              <w:right w:w="110" w:type="dxa"/>
            </w:tcMar>
          </w:tcPr>
          <w:p>
            <w:pPr>
              <w:spacing w:before="0" w:after="0" w:line="276" w:lineRule="auto"/>
              <w:jc w:val="center"/>
            </w:pPr>
            <w:r>
              <w:rPr>
                <w:rFonts w:ascii="Arial" w:hAnsi="Arial"/>
                <w:b w:val="0"/>
                <w:sz w:val="19"/>
              </w:rPr>
              <w:t>524111</w:t>
            </w:r>
          </w:p>
        </w:tc>
        <w:tc>
          <w:tcPr>
            <w:tcW w:type="dxa" w:w="2891"/>
            <w:vAlign w:val="center"/>
            <w:tcMar>
              <w:top w:w="75" w:type="dxa"/>
              <w:bottom w:w="75" w:type="dxa"/>
              <w:left w:w="110" w:type="dxa"/>
              <w:right w:w="110" w:type="dxa"/>
            </w:tcMar>
          </w:tcPr>
          <w:p>
            <w:pPr>
              <w:spacing w:before="0" w:after="0" w:line="276" w:lineRule="auto"/>
              <w:jc w:val="left"/>
            </w:pPr>
            <w:r>
              <w:rPr>
                <w:rFonts w:ascii="Arial" w:hAnsi="Arial"/>
                <w:b w:val="0"/>
                <w:sz w:val="19"/>
              </w:rPr>
              <w:t>Belanja Perjalanan Dinas Biasa (Luar Kota)</w:t>
            </w:r>
          </w:p>
        </w:tc>
        <w:tc>
          <w:tcPr>
            <w:tcW w:type="dxa" w:w="1304"/>
            <w:vAlign w:val="center"/>
            <w:tcMar>
              <w:top w:w="75" w:type="dxa"/>
              <w:bottom w:w="75" w:type="dxa"/>
              <w:left w:w="110" w:type="dxa"/>
              <w:right w:w="110" w:type="dxa"/>
            </w:tcMar>
          </w:tcPr>
          <w:p>
            <w:pPr>
              <w:spacing w:before="0" w:after="0" w:line="276" w:lineRule="auto"/>
              <w:jc w:val="right"/>
            </w:pPr>
            <w:r>
              <w:rPr>
                <w:rFonts w:ascii="Arial" w:hAnsi="Arial"/>
                <w:b w:val="0"/>
                <w:sz w:val="19"/>
              </w:rPr>
              <w:t>225.730.000</w:t>
            </w:r>
          </w:p>
        </w:tc>
        <w:tc>
          <w:tcPr>
            <w:tcW w:type="dxa" w:w="1417"/>
            <w:vAlign w:val="center"/>
            <w:tcMar>
              <w:top w:w="75" w:type="dxa"/>
              <w:bottom w:w="75" w:type="dxa"/>
              <w:left w:w="110" w:type="dxa"/>
              <w:right w:w="110" w:type="dxa"/>
            </w:tcMar>
          </w:tcPr>
          <w:p>
            <w:pPr>
              <w:spacing w:before="0" w:after="0" w:line="276" w:lineRule="auto"/>
              <w:jc w:val="right"/>
            </w:pPr>
            <w:r>
              <w:rPr>
                <w:rFonts w:ascii="Arial" w:hAnsi="Arial"/>
                <w:b w:val="0"/>
                <w:sz w:val="19"/>
              </w:rPr>
              <w:t>114.974.100</w:t>
            </w:r>
          </w:p>
        </w:tc>
        <w:tc>
          <w:tcPr>
            <w:tcW w:type="dxa" w:w="1304"/>
            <w:vAlign w:val="center"/>
            <w:tcMar>
              <w:top w:w="75" w:type="dxa"/>
              <w:bottom w:w="75" w:type="dxa"/>
              <w:left w:w="110" w:type="dxa"/>
              <w:right w:w="110" w:type="dxa"/>
            </w:tcMar>
          </w:tcPr>
          <w:p>
            <w:pPr>
              <w:spacing w:before="0" w:after="0" w:line="276" w:lineRule="auto"/>
              <w:jc w:val="right"/>
            </w:pPr>
            <w:r>
              <w:rPr>
                <w:rFonts w:ascii="Arial" w:hAnsi="Arial"/>
                <w:b w:val="0"/>
                <w:sz w:val="19"/>
              </w:rPr>
              <w:t>110.755.900</w:t>
            </w:r>
          </w:p>
        </w:tc>
        <w:tc>
          <w:tcPr>
            <w:tcW w:type="dxa" w:w="964"/>
            <w:vAlign w:val="center"/>
            <w:tcMar>
              <w:top w:w="75" w:type="dxa"/>
              <w:bottom w:w="75" w:type="dxa"/>
              <w:left w:w="110" w:type="dxa"/>
              <w:right w:w="110" w:type="dxa"/>
            </w:tcMar>
          </w:tcPr>
          <w:p>
            <w:pPr>
              <w:spacing w:before="0" w:after="0" w:line="276" w:lineRule="auto"/>
              <w:jc w:val="right"/>
            </w:pPr>
            <w:r>
              <w:rPr>
                <w:rFonts w:ascii="Arial" w:hAnsi="Arial"/>
                <w:b w:val="0"/>
                <w:sz w:val="19"/>
              </w:rPr>
              <w:t>50,93%</w:t>
            </w:r>
          </w:p>
        </w:tc>
      </w:tr>
      <w:tr>
        <w:trPr>
          <w:cantSplit/>
        </w:trPr>
        <w:tc>
          <w:tcPr>
            <w:tcW w:type="dxa" w:w="454"/>
            <w:vAlign w:val="center"/>
            <w:tcMar>
              <w:top w:w="75" w:type="dxa"/>
              <w:bottom w:w="75" w:type="dxa"/>
              <w:left w:w="110" w:type="dxa"/>
              <w:right w:w="110" w:type="dxa"/>
            </w:tcMar>
          </w:tcPr>
          <w:p>
            <w:pPr>
              <w:spacing w:before="0" w:after="0" w:line="276" w:lineRule="auto"/>
              <w:jc w:val="center"/>
            </w:pPr>
            <w:r>
              <w:rPr>
                <w:rFonts w:ascii="Arial" w:hAnsi="Arial"/>
                <w:b w:val="0"/>
                <w:sz w:val="19"/>
              </w:rPr>
              <w:t>4</w:t>
            </w:r>
          </w:p>
        </w:tc>
        <w:tc>
          <w:tcPr>
            <w:tcW w:type="dxa" w:w="1020"/>
            <w:vAlign w:val="center"/>
            <w:tcMar>
              <w:top w:w="75" w:type="dxa"/>
              <w:bottom w:w="75" w:type="dxa"/>
              <w:left w:w="110" w:type="dxa"/>
              <w:right w:w="110" w:type="dxa"/>
            </w:tcMar>
          </w:tcPr>
          <w:p>
            <w:pPr>
              <w:spacing w:before="0" w:after="0" w:line="276" w:lineRule="auto"/>
              <w:jc w:val="center"/>
            </w:pPr>
            <w:r>
              <w:rPr>
                <w:rFonts w:ascii="Arial" w:hAnsi="Arial"/>
                <w:b w:val="0"/>
                <w:sz w:val="19"/>
              </w:rPr>
              <w:t>524113</w:t>
            </w:r>
          </w:p>
        </w:tc>
        <w:tc>
          <w:tcPr>
            <w:tcW w:type="dxa" w:w="2891"/>
            <w:vAlign w:val="center"/>
            <w:tcMar>
              <w:top w:w="75" w:type="dxa"/>
              <w:bottom w:w="75" w:type="dxa"/>
              <w:left w:w="110" w:type="dxa"/>
              <w:right w:w="110" w:type="dxa"/>
            </w:tcMar>
          </w:tcPr>
          <w:p>
            <w:pPr>
              <w:spacing w:before="0" w:after="0" w:line="276" w:lineRule="auto"/>
              <w:jc w:val="left"/>
            </w:pPr>
            <w:r>
              <w:rPr>
                <w:rFonts w:ascii="Arial" w:hAnsi="Arial"/>
                <w:b w:val="0"/>
                <w:sz w:val="19"/>
              </w:rPr>
              <w:t>Belanja Perjalanan Dinas Dalam Kota</w:t>
            </w:r>
          </w:p>
        </w:tc>
        <w:tc>
          <w:tcPr>
            <w:tcW w:type="dxa" w:w="1304"/>
            <w:vAlign w:val="center"/>
            <w:tcMar>
              <w:top w:w="75" w:type="dxa"/>
              <w:bottom w:w="75" w:type="dxa"/>
              <w:left w:w="110" w:type="dxa"/>
              <w:right w:w="110" w:type="dxa"/>
            </w:tcMar>
          </w:tcPr>
          <w:p>
            <w:pPr>
              <w:spacing w:before="0" w:after="0" w:line="276" w:lineRule="auto"/>
              <w:jc w:val="right"/>
            </w:pPr>
            <w:r>
              <w:rPr>
                <w:rFonts w:ascii="Arial" w:hAnsi="Arial"/>
                <w:b w:val="0"/>
                <w:sz w:val="19"/>
              </w:rPr>
              <w:t>9.750.000</w:t>
            </w:r>
          </w:p>
        </w:tc>
        <w:tc>
          <w:tcPr>
            <w:tcW w:type="dxa" w:w="1417"/>
            <w:vAlign w:val="center"/>
            <w:tcMar>
              <w:top w:w="75" w:type="dxa"/>
              <w:bottom w:w="75" w:type="dxa"/>
              <w:left w:w="110" w:type="dxa"/>
              <w:right w:w="110" w:type="dxa"/>
            </w:tcMar>
          </w:tcPr>
          <w:p>
            <w:pPr>
              <w:spacing w:before="0" w:after="0" w:line="276" w:lineRule="auto"/>
              <w:jc w:val="right"/>
            </w:pPr>
            <w:r>
              <w:rPr>
                <w:rFonts w:ascii="Arial" w:hAnsi="Arial"/>
                <w:b w:val="0"/>
                <w:sz w:val="19"/>
              </w:rPr>
              <w:t>5.950.000</w:t>
            </w:r>
          </w:p>
        </w:tc>
        <w:tc>
          <w:tcPr>
            <w:tcW w:type="dxa" w:w="1304"/>
            <w:vAlign w:val="center"/>
            <w:tcMar>
              <w:top w:w="75" w:type="dxa"/>
              <w:bottom w:w="75" w:type="dxa"/>
              <w:left w:w="110" w:type="dxa"/>
              <w:right w:w="110" w:type="dxa"/>
            </w:tcMar>
          </w:tcPr>
          <w:p>
            <w:pPr>
              <w:spacing w:before="0" w:after="0" w:line="276" w:lineRule="auto"/>
              <w:jc w:val="right"/>
            </w:pPr>
            <w:r>
              <w:rPr>
                <w:rFonts w:ascii="Arial" w:hAnsi="Arial"/>
                <w:b w:val="0"/>
                <w:sz w:val="19"/>
              </w:rPr>
              <w:t>3.800.000</w:t>
            </w:r>
          </w:p>
        </w:tc>
        <w:tc>
          <w:tcPr>
            <w:tcW w:type="dxa" w:w="964"/>
            <w:vAlign w:val="center"/>
            <w:tcMar>
              <w:top w:w="75" w:type="dxa"/>
              <w:bottom w:w="75" w:type="dxa"/>
              <w:left w:w="110" w:type="dxa"/>
              <w:right w:w="110" w:type="dxa"/>
            </w:tcMar>
          </w:tcPr>
          <w:p>
            <w:pPr>
              <w:spacing w:before="0" w:after="0" w:line="276" w:lineRule="auto"/>
              <w:jc w:val="right"/>
            </w:pPr>
            <w:r>
              <w:rPr>
                <w:rFonts w:ascii="Arial" w:hAnsi="Arial"/>
                <w:b w:val="0"/>
                <w:sz w:val="19"/>
              </w:rPr>
              <w:t>61,03%</w:t>
            </w:r>
          </w:p>
        </w:tc>
      </w:tr>
      <w:tr>
        <w:trPr>
          <w:cantSplit/>
        </w:trPr>
        <w:tc>
          <w:tcPr>
            <w:tcW w:type="dxa" w:w="454"/>
            <w:vAlign w:val="center"/>
            <w:tcMar>
              <w:top w:w="75" w:type="dxa"/>
              <w:bottom w:w="75" w:type="dxa"/>
              <w:left w:w="110" w:type="dxa"/>
              <w:right w:w="110" w:type="dxa"/>
            </w:tcMar>
          </w:tcPr>
          <w:p>
            <w:pPr>
              <w:spacing w:before="0" w:after="0" w:line="276" w:lineRule="auto"/>
              <w:jc w:val="center"/>
            </w:pPr>
            <w:r>
              <w:rPr>
                <w:rFonts w:ascii="Arial" w:hAnsi="Arial"/>
                <w:b w:val="0"/>
                <w:sz w:val="19"/>
              </w:rPr>
              <w:t>5</w:t>
            </w:r>
          </w:p>
        </w:tc>
        <w:tc>
          <w:tcPr>
            <w:tcW w:type="dxa" w:w="1020"/>
            <w:vAlign w:val="center"/>
            <w:tcMar>
              <w:top w:w="75" w:type="dxa"/>
              <w:bottom w:w="75" w:type="dxa"/>
              <w:left w:w="110" w:type="dxa"/>
              <w:right w:w="110" w:type="dxa"/>
            </w:tcMar>
          </w:tcPr>
          <w:p>
            <w:pPr>
              <w:spacing w:before="0" w:after="0" w:line="276" w:lineRule="auto"/>
              <w:jc w:val="center"/>
            </w:pPr>
            <w:r>
              <w:rPr>
                <w:rFonts w:ascii="Arial" w:hAnsi="Arial"/>
                <w:b w:val="0"/>
                <w:sz w:val="19"/>
              </w:rPr>
              <w:t>524114</w:t>
            </w:r>
          </w:p>
        </w:tc>
        <w:tc>
          <w:tcPr>
            <w:tcW w:type="dxa" w:w="2891"/>
            <w:vAlign w:val="center"/>
            <w:tcMar>
              <w:top w:w="75" w:type="dxa"/>
              <w:bottom w:w="75" w:type="dxa"/>
              <w:left w:w="110" w:type="dxa"/>
              <w:right w:w="110" w:type="dxa"/>
            </w:tcMar>
          </w:tcPr>
          <w:p>
            <w:pPr>
              <w:spacing w:before="0" w:after="0" w:line="276" w:lineRule="auto"/>
              <w:jc w:val="left"/>
            </w:pPr>
            <w:r>
              <w:rPr>
                <w:rFonts w:ascii="Arial" w:hAnsi="Arial"/>
                <w:b w:val="0"/>
                <w:sz w:val="19"/>
              </w:rPr>
              <w:t>Belanja Perjalanan Dinas Paket Meeting</w:t>
            </w:r>
          </w:p>
        </w:tc>
        <w:tc>
          <w:tcPr>
            <w:tcW w:type="dxa" w:w="1304"/>
            <w:vAlign w:val="center"/>
            <w:tcMar>
              <w:top w:w="75" w:type="dxa"/>
              <w:bottom w:w="75" w:type="dxa"/>
              <w:left w:w="110" w:type="dxa"/>
              <w:right w:w="110" w:type="dxa"/>
            </w:tcMar>
          </w:tcPr>
          <w:p>
            <w:pPr>
              <w:spacing w:before="0" w:after="0" w:line="276" w:lineRule="auto"/>
              <w:jc w:val="right"/>
            </w:pPr>
            <w:r>
              <w:rPr>
                <w:rFonts w:ascii="Arial" w:hAnsi="Arial"/>
                <w:b w:val="0"/>
                <w:sz w:val="19"/>
              </w:rPr>
              <w:t>89.000.000</w:t>
            </w:r>
          </w:p>
        </w:tc>
        <w:tc>
          <w:tcPr>
            <w:tcW w:type="dxa" w:w="1417"/>
            <w:vAlign w:val="center"/>
            <w:tcMar>
              <w:top w:w="75" w:type="dxa"/>
              <w:bottom w:w="75" w:type="dxa"/>
              <w:left w:w="110" w:type="dxa"/>
              <w:right w:w="110" w:type="dxa"/>
            </w:tcMar>
          </w:tcPr>
          <w:p>
            <w:pPr>
              <w:spacing w:before="0" w:after="0" w:line="276" w:lineRule="auto"/>
              <w:jc w:val="right"/>
            </w:pPr>
            <w:r>
              <w:rPr>
                <w:rFonts w:ascii="Arial" w:hAnsi="Arial"/>
                <w:b w:val="0"/>
                <w:sz w:val="19"/>
              </w:rPr>
              <w:t>0</w:t>
            </w:r>
          </w:p>
        </w:tc>
        <w:tc>
          <w:tcPr>
            <w:tcW w:type="dxa" w:w="1304"/>
            <w:vAlign w:val="center"/>
            <w:tcMar>
              <w:top w:w="75" w:type="dxa"/>
              <w:bottom w:w="75" w:type="dxa"/>
              <w:left w:w="110" w:type="dxa"/>
              <w:right w:w="110" w:type="dxa"/>
            </w:tcMar>
          </w:tcPr>
          <w:p>
            <w:pPr>
              <w:spacing w:before="0" w:after="0" w:line="276" w:lineRule="auto"/>
              <w:jc w:val="right"/>
            </w:pPr>
            <w:r>
              <w:rPr>
                <w:rFonts w:ascii="Arial" w:hAnsi="Arial"/>
                <w:b w:val="0"/>
                <w:sz w:val="19"/>
              </w:rPr>
              <w:t>89.000.000</w:t>
            </w:r>
          </w:p>
        </w:tc>
        <w:tc>
          <w:tcPr>
            <w:tcW w:type="dxa" w:w="964"/>
            <w:vAlign w:val="center"/>
            <w:tcMar>
              <w:top w:w="75" w:type="dxa"/>
              <w:bottom w:w="75" w:type="dxa"/>
              <w:left w:w="110" w:type="dxa"/>
              <w:right w:w="110" w:type="dxa"/>
            </w:tcMar>
          </w:tcPr>
          <w:p>
            <w:pPr>
              <w:spacing w:before="0" w:after="0" w:line="276" w:lineRule="auto"/>
              <w:jc w:val="right"/>
            </w:pPr>
            <w:r>
              <w:rPr>
                <w:rFonts w:ascii="Arial" w:hAnsi="Arial"/>
                <w:b w:val="0"/>
                <w:sz w:val="19"/>
              </w:rPr>
              <w:t>0,00%</w:t>
            </w:r>
          </w:p>
        </w:tc>
      </w:tr>
      <w:tr>
        <w:trPr>
          <w:cantSplit/>
        </w:trPr>
        <w:tc>
          <w:tcPr>
            <w:tcW w:type="dxa" w:w="454"/>
            <w:vAlign w:val="center"/>
            <w:shd w:fill="F2F4F8"/>
            <w:tcMar>
              <w:top w:w="75" w:type="dxa"/>
              <w:bottom w:w="75" w:type="dxa"/>
              <w:left w:w="110" w:type="dxa"/>
              <w:right w:w="110" w:type="dxa"/>
            </w:tcMar>
          </w:tcPr>
          <w:p>
            <w:pPr>
              <w:spacing w:before="0" w:after="0" w:line="276" w:lineRule="auto"/>
              <w:jc w:val="center"/>
            </w:pPr>
            <w:r>
              <w:rPr>
                <w:rFonts w:ascii="Arial" w:hAnsi="Arial"/>
                <w:b/>
                <w:sz w:val="19"/>
              </w:rPr>
              <w:t>TOTAL</w:t>
            </w:r>
          </w:p>
        </w:tc>
        <w:tc>
          <w:tcPr>
            <w:tcW w:type="dxa" w:w="1020"/>
            <w:vAlign w:val="center"/>
            <w:shd w:fill="F2F4F8"/>
            <w:tcMar>
              <w:top w:w="75" w:type="dxa"/>
              <w:bottom w:w="75" w:type="dxa"/>
              <w:left w:w="110" w:type="dxa"/>
              <w:right w:w="110" w:type="dxa"/>
            </w:tcMar>
          </w:tcPr>
          <w:p>
            <w:pPr>
              <w:spacing w:before="0" w:after="0" w:line="276" w:lineRule="auto"/>
              <w:jc w:val="center"/>
            </w:pPr>
            <w:r>
              <w:rPr>
                <w:rFonts w:ascii="Arial" w:hAnsi="Arial"/>
                <w:b/>
                <w:sz w:val="19"/>
              </w:rPr>
            </w:r>
          </w:p>
        </w:tc>
        <w:tc>
          <w:tcPr>
            <w:tcW w:type="dxa" w:w="2891"/>
            <w:vAlign w:val="center"/>
            <w:shd w:fill="F2F4F8"/>
            <w:tcMar>
              <w:top w:w="75" w:type="dxa"/>
              <w:bottom w:w="75" w:type="dxa"/>
              <w:left w:w="110" w:type="dxa"/>
              <w:right w:w="110" w:type="dxa"/>
            </w:tcMar>
          </w:tcPr>
          <w:p>
            <w:pPr>
              <w:spacing w:before="0" w:after="0" w:line="276" w:lineRule="auto"/>
              <w:jc w:val="left"/>
            </w:pPr>
            <w:r>
              <w:rPr>
                <w:rFonts w:ascii="Arial" w:hAnsi="Arial"/>
                <w:b/>
                <w:sz w:val="19"/>
              </w:rPr>
              <w:t>TOTAL REKONSILIASI SWAKELOLA SPPG</w:t>
            </w:r>
          </w:p>
        </w:tc>
        <w:tc>
          <w:tcPr>
            <w:tcW w:type="dxa" w:w="1304"/>
            <w:vAlign w:val="center"/>
            <w:shd w:fill="F2F4F8"/>
            <w:tcMar>
              <w:top w:w="75" w:type="dxa"/>
              <w:bottom w:w="75" w:type="dxa"/>
              <w:left w:w="110" w:type="dxa"/>
              <w:right w:w="110" w:type="dxa"/>
            </w:tcMar>
          </w:tcPr>
          <w:p>
            <w:pPr>
              <w:spacing w:before="0" w:after="0" w:line="276" w:lineRule="auto"/>
              <w:jc w:val="right"/>
            </w:pPr>
            <w:r>
              <w:rPr>
                <w:rFonts w:ascii="Arial" w:hAnsi="Arial"/>
                <w:b/>
                <w:sz w:val="19"/>
              </w:rPr>
              <w:t>413.000.000</w:t>
            </w:r>
          </w:p>
        </w:tc>
        <w:tc>
          <w:tcPr>
            <w:tcW w:type="dxa" w:w="1417"/>
            <w:vAlign w:val="center"/>
            <w:shd w:fill="F2F4F8"/>
            <w:tcMar>
              <w:top w:w="75" w:type="dxa"/>
              <w:bottom w:w="75" w:type="dxa"/>
              <w:left w:w="110" w:type="dxa"/>
              <w:right w:w="110" w:type="dxa"/>
            </w:tcMar>
          </w:tcPr>
          <w:p>
            <w:pPr>
              <w:spacing w:before="0" w:after="0" w:line="276" w:lineRule="auto"/>
              <w:jc w:val="right"/>
            </w:pPr>
            <w:r>
              <w:rPr>
                <w:rFonts w:ascii="Arial" w:hAnsi="Arial"/>
                <w:b/>
                <w:sz w:val="19"/>
              </w:rPr>
              <w:t>141.159.100</w:t>
            </w:r>
          </w:p>
        </w:tc>
        <w:tc>
          <w:tcPr>
            <w:tcW w:type="dxa" w:w="1304"/>
            <w:vAlign w:val="center"/>
            <w:shd w:fill="F2F4F8"/>
            <w:tcMar>
              <w:top w:w="75" w:type="dxa"/>
              <w:bottom w:w="75" w:type="dxa"/>
              <w:left w:w="110" w:type="dxa"/>
              <w:right w:w="110" w:type="dxa"/>
            </w:tcMar>
          </w:tcPr>
          <w:p>
            <w:pPr>
              <w:spacing w:before="0" w:after="0" w:line="276" w:lineRule="auto"/>
              <w:jc w:val="right"/>
            </w:pPr>
            <w:r>
              <w:rPr>
                <w:rFonts w:ascii="Arial" w:hAnsi="Arial"/>
                <w:b/>
                <w:sz w:val="19"/>
              </w:rPr>
              <w:t>271.840.900</w:t>
            </w:r>
          </w:p>
        </w:tc>
        <w:tc>
          <w:tcPr>
            <w:tcW w:type="dxa" w:w="964"/>
            <w:vAlign w:val="center"/>
            <w:shd w:fill="F2F4F8"/>
            <w:tcMar>
              <w:top w:w="75" w:type="dxa"/>
              <w:bottom w:w="75" w:type="dxa"/>
              <w:left w:w="110" w:type="dxa"/>
              <w:right w:w="110" w:type="dxa"/>
            </w:tcMar>
          </w:tcPr>
          <w:p>
            <w:pPr>
              <w:spacing w:before="0" w:after="0" w:line="276" w:lineRule="auto"/>
              <w:jc w:val="right"/>
            </w:pPr>
            <w:r>
              <w:rPr>
                <w:rFonts w:ascii="Arial" w:hAnsi="Arial"/>
                <w:b/>
                <w:sz w:val="19"/>
              </w:rPr>
              <w:t>34,18%</w:t>
            </w:r>
          </w:p>
        </w:tc>
      </w:tr>
    </w:tbl>
    <w:p>
      <w:pPr>
        <w:spacing w:before="0" w:after="120"/>
      </w:pPr>
    </w:p>
    <w:p>
      <w:pPr>
        <w:keepNext/>
        <w:spacing w:before="160" w:after="80"/>
        <w:jc w:val="left"/>
      </w:pPr>
      <w:r>
        <w:rPr>
          <w:rFonts w:ascii="Arial" w:hAnsi="Arial"/>
          <w:b/>
          <w:sz w:val="21"/>
        </w:rPr>
        <w:t>II. KESIMPULAN REKONSILIASI</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7"/>
        <w:gridCol w:w="4677"/>
      </w:tblGrid>
      <w:tr>
        <w:tc>
          <w:tcPr>
            <w:tcW w:type="dxa" w:w="425"/>
            <w:tcMar>
              <w:top w:w="40" w:type="dxa"/>
              <w:bottom w:w="40" w:type="dxa"/>
              <w:left w:w="20" w:type="dxa"/>
              <w:right w:w="40" w:type="dxa"/>
            </w:tcMar>
          </w:tcPr>
          <w:p>
            <w:pPr>
              <w:spacing w:before="0" w:after="40" w:line="288" w:lineRule="auto"/>
              <w:jc w:val="left"/>
            </w:pPr>
            <w:r>
              <w:rPr>
                <w:rFonts w:ascii="Arial" w:hAnsi="Arial"/>
                <w:sz w:val="21"/>
              </w:rPr>
              <w:t>1.</w:t>
            </w:r>
          </w:p>
        </w:tc>
        <w:tc>
          <w:tcPr>
            <w:tcW w:type="dxa" w:w="8929"/>
            <w:tcMar>
              <w:top w:w="40" w:type="dxa"/>
              <w:bottom w:w="40" w:type="dxa"/>
              <w:left w:w="20" w:type="dxa"/>
              <w:right w:w="20" w:type="dxa"/>
            </w:tcMar>
          </w:tcPr>
          <w:p>
            <w:pPr>
              <w:spacing w:before="0" w:after="40" w:line="288" w:lineRule="auto"/>
              <w:jc w:val="both"/>
            </w:pPr>
            <w:r>
              <w:rPr>
                <w:rFonts w:ascii="Arial" w:hAnsi="Arial"/>
                <w:b/>
                <w:sz w:val="21"/>
              </w:rPr>
              <w:t>Realisasi Fisik Pekerjaan:</w:t>
            </w:r>
            <w:r>
              <w:rPr>
                <w:rFonts w:ascii="Arial" w:hAnsi="Arial"/>
                <w:sz w:val="21"/>
              </w:rPr>
              <w:t xml:space="preserve"> Mencapai 100,00% (seluruh target kegiatan koordinasi, survei, monitoring, dan pemberkasan administrasi SPPG telah selesai dilaksanakan).</w:t>
            </w:r>
          </w:p>
        </w:tc>
      </w:tr>
      <w:tr>
        <w:tc>
          <w:tcPr>
            <w:tcW w:type="dxa" w:w="425"/>
            <w:tcMar>
              <w:top w:w="40" w:type="dxa"/>
              <w:bottom w:w="40" w:type="dxa"/>
              <w:left w:w="20" w:type="dxa"/>
              <w:right w:w="40" w:type="dxa"/>
            </w:tcMar>
          </w:tcPr>
          <w:p>
            <w:pPr>
              <w:spacing w:before="0" w:after="40" w:line="288" w:lineRule="auto"/>
              <w:jc w:val="left"/>
            </w:pPr>
            <w:r>
              <w:rPr>
                <w:rFonts w:ascii="Arial" w:hAnsi="Arial"/>
                <w:sz w:val="21"/>
              </w:rPr>
              <w:t>2.</w:t>
            </w:r>
          </w:p>
        </w:tc>
        <w:tc>
          <w:tcPr>
            <w:tcW w:type="dxa" w:w="8929"/>
            <w:tcMar>
              <w:top w:w="40" w:type="dxa"/>
              <w:bottom w:w="40" w:type="dxa"/>
              <w:left w:w="20" w:type="dxa"/>
              <w:right w:w="20" w:type="dxa"/>
            </w:tcMar>
          </w:tcPr>
          <w:p>
            <w:pPr>
              <w:spacing w:before="0" w:after="40" w:line="288" w:lineRule="auto"/>
              <w:jc w:val="both"/>
            </w:pPr>
            <w:r>
              <w:rPr>
                <w:rFonts w:ascii="Arial" w:hAnsi="Arial"/>
                <w:b/>
                <w:sz w:val="21"/>
              </w:rPr>
              <w:t>Realisasi Keuangan:</w:t>
            </w:r>
            <w:r>
              <w:rPr>
                <w:rFonts w:ascii="Arial" w:hAnsi="Arial"/>
                <w:sz w:val="21"/>
              </w:rPr>
              <w:t xml:space="preserve"> Sebesar Rp 141.159.100,- (34,18% dari pagu Rp 413.000.000,-) yang terdiri atas 11 (sebelas) dokumen SPM/SP2D yang telah terverifikasi pada aplikasi SAKTI.</w:t>
            </w:r>
          </w:p>
        </w:tc>
      </w:tr>
      <w:tr>
        <w:tc>
          <w:tcPr>
            <w:tcW w:type="dxa" w:w="425"/>
            <w:tcMar>
              <w:top w:w="40" w:type="dxa"/>
              <w:bottom w:w="40" w:type="dxa"/>
              <w:left w:w="20" w:type="dxa"/>
              <w:right w:w="40" w:type="dxa"/>
            </w:tcMar>
          </w:tcPr>
          <w:p>
            <w:pPr>
              <w:spacing w:before="0" w:after="40" w:line="288" w:lineRule="auto"/>
              <w:jc w:val="left"/>
            </w:pPr>
            <w:r>
              <w:rPr>
                <w:rFonts w:ascii="Arial" w:hAnsi="Arial"/>
                <w:sz w:val="21"/>
              </w:rPr>
              <w:t>3.</w:t>
            </w:r>
          </w:p>
        </w:tc>
        <w:tc>
          <w:tcPr>
            <w:tcW w:type="dxa" w:w="8929"/>
            <w:tcMar>
              <w:top w:w="40" w:type="dxa"/>
              <w:bottom w:w="40" w:type="dxa"/>
              <w:left w:w="20" w:type="dxa"/>
              <w:right w:w="20" w:type="dxa"/>
            </w:tcMar>
          </w:tcPr>
          <w:p>
            <w:pPr>
              <w:spacing w:before="0" w:after="40" w:line="288" w:lineRule="auto"/>
              <w:jc w:val="both"/>
            </w:pPr>
            <w:r>
              <w:rPr>
                <w:rFonts w:ascii="Arial" w:hAnsi="Arial"/>
                <w:b/>
                <w:sz w:val="21"/>
              </w:rPr>
              <w:t>Selisih / Sisa Pagu Anggaran:</w:t>
            </w:r>
            <w:r>
              <w:rPr>
                <w:rFonts w:ascii="Arial" w:hAnsi="Arial"/>
                <w:sz w:val="21"/>
              </w:rPr>
              <w:t xml:space="preserve"> Sebesar Rp 271.840.900,- merupakan penghematan/efisiensi belanja negara di dalam Kas Negara.</w:t>
            </w:r>
          </w:p>
        </w:tc>
      </w:tr>
    </w:tbl>
    <w:p>
      <w:pPr>
        <w:spacing w:before="0" w:after="80"/>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7"/>
        <w:gridCol w:w="4677"/>
      </w:tblGrid>
      <w:tr>
        <w:trPr>
          <w:cantSplit/>
        </w:trPr>
        <w:tc>
          <w:tcPr>
            <w:tcW w:type="dxa" w:w="4677"/>
          </w:tcPr>
          <w:p>
            <w:pPr>
              <w:spacing w:before="160" w:line="276" w:lineRule="auto"/>
              <w:jc w:val="left"/>
            </w:pPr>
            <w:r>
              <w:rPr>
                <w:rFonts w:ascii="Arial" w:hAnsi="Arial"/>
                <w:sz w:val="21"/>
              </w:rPr>
              <w:t>Pejabat Pembuat Komitmen,</w:t>
              <w:br/>
            </w:r>
            <w:r>
              <w:rPr>
                <w:rFonts w:ascii="Arial" w:hAnsi="Arial"/>
                <w:b/>
                <w:sz w:val="21"/>
              </w:rPr>
              <w:t>Pejabat Pembuat Komitmen (PPK)</w:t>
              <w:br/>
              <w:t>Satker Pelaksanaan Prasarana Strategis Riau,</w:t>
              <w:br/>
              <w:br/>
              <w:br/>
              <w:br/>
            </w:r>
            <w:r>
              <w:rPr>
                <w:rFonts w:ascii="Arial" w:hAnsi="Arial"/>
                <w:b/>
                <w:sz w:val="21"/>
                <w:u w:val="single"/>
              </w:rPr>
              <w:t>Nurhidayat Nugroho, S.Ars.</w:t>
              <w:br/>
            </w:r>
            <w:r>
              <w:rPr>
                <w:rFonts w:ascii="Arial" w:hAnsi="Arial"/>
                <w:sz w:val="21"/>
              </w:rPr>
              <w:t>NIP. 19901221 201802 1 001</w:t>
            </w:r>
          </w:p>
        </w:tc>
        <w:tc>
          <w:tcPr>
            <w:tcW w:type="dxa" w:w="4677"/>
          </w:tcPr>
          <w:p>
            <w:pPr>
              <w:spacing w:before="160" w:line="276" w:lineRule="auto"/>
              <w:jc w:val="left"/>
            </w:pPr>
            <w:r>
              <w:rPr>
                <w:rFonts w:ascii="Arial" w:hAnsi="Arial"/>
                <w:sz w:val="21"/>
              </w:rPr>
              <w:t>Pekanbaru, 19 Desember 2025</w:t>
              <w:br/>
              <w:t>Bendahara Pengeluaran,</w:t>
              <w:br/>
            </w:r>
            <w:r>
              <w:rPr>
                <w:rFonts w:ascii="Arial" w:hAnsi="Arial"/>
                <w:b/>
                <w:sz w:val="21"/>
              </w:rPr>
              <w:t>Bendahara Pengeluaran Satker PPS Riau,</w:t>
              <w:br/>
              <w:br/>
              <w:br/>
              <w:br/>
            </w:r>
            <w:r>
              <w:rPr>
                <w:rFonts w:ascii="Arial" w:hAnsi="Arial"/>
                <w:b/>
                <w:sz w:val="21"/>
                <w:u w:val="single"/>
              </w:rPr>
              <w:t>Kh. Sri Handayani, S.Si., M.T.</w:t>
              <w:br/>
            </w:r>
            <w:r>
              <w:rPr>
                <w:rFonts w:ascii="Arial" w:hAnsi="Arial"/>
                <w:sz w:val="21"/>
              </w:rPr>
              <w:t>NIP. 19820402 201412 2 002</w:t>
            </w:r>
          </w:p>
        </w:tc>
      </w:tr>
    </w:tbl>
    <w:sectPr w:rsidR="00FC693F" w:rsidRPr="0006063C" w:rsidSect="00034616">
      <w:pgSz w:w="11906" w:h="16838"/>
      <w:pgMar w:top="1020"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