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8765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75466518_6770018a33b3f91eebd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76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 w:line="276" w:lineRule="auto"/>
        <w:jc w:val="center"/>
      </w:pPr>
      <w:r>
        <w:rPr>
          <w:rFonts w:ascii="Arial" w:hAnsi="Arial"/>
          <w:b/>
          <w:sz w:val="23"/>
        </w:rPr>
        <w:t>CATATAN EVALUASI PENGENDALIAN DAN BUKTI TINDAK LANJUT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sz w:val="22"/>
        </w:rPr>
        <w:t>KEGIATAN SWAKELOLA TIPE I</w:t>
      </w:r>
    </w:p>
    <w:p>
      <w:pPr>
        <w:spacing w:before="0" w:after="200" w:line="276" w:lineRule="auto"/>
        <w:jc w:val="center"/>
      </w:pPr>
      <w:r>
        <w:rPr>
          <w:rFonts w:ascii="Arial" w:hAnsi="Arial"/>
          <w:b/>
          <w:sz w:val="22"/>
        </w:rPr>
        <w:t>ADMINISTRASI KEGIATAN PEMBANGUNAN GEDUNG SPPG PROVINSI RIAU TA 2025</w:t>
      </w:r>
    </w:p>
    <w:p>
      <w:pPr>
        <w:keepNext/>
        <w:spacing w:before="160" w:after="80"/>
        <w:jc w:val="left"/>
      </w:pPr>
      <w:r>
        <w:rPr>
          <w:rFonts w:ascii="Arial" w:hAnsi="Arial"/>
          <w:b/>
          <w:sz w:val="21"/>
        </w:rPr>
        <w:t>I. EVALUASI DEVIASI FISIK DAN KEUANGAN</w:t>
      </w:r>
    </w:p>
    <w:p>
      <w:pPr>
        <w:spacing w:before="0" w:after="120" w:line="300" w:lineRule="auto"/>
        <w:jc w:val="both"/>
      </w:pPr>
      <w:r>
        <w:rPr>
          <w:rFonts w:ascii="Arial" w:hAnsi="Arial"/>
          <w:b w:val="0"/>
          <w:sz w:val="21"/>
        </w:rPr>
        <w:t>Berdasarkan hasil pemantauan berkala dan rekonsiliasi realisasi pelaksanaan kegiatan Swakelola Tipe I Administrasi Kegiatan Pembangunan Gedung SPPG Provinsi Riau TA 2025, Tim Pengawas bersama PPK melakukan evaluasi terhadap potensi penyimpangan (deviasi) serta langkah tindak lanjut pengendalian sebagai berikut: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</w:tblPr>
      <w:tblGrid>
        <w:gridCol w:w="1871"/>
        <w:gridCol w:w="1871"/>
        <w:gridCol w:w="1871"/>
        <w:gridCol w:w="1871"/>
        <w:gridCol w:w="1871"/>
      </w:tblGrid>
      <w:tr>
        <w:trPr>
          <w:tblHeader/>
          <w:cantSplit/>
        </w:trPr>
        <w:tc>
          <w:tcPr>
            <w:tcW w:type="dxa" w:w="454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No.</w:t>
            </w:r>
          </w:p>
        </w:tc>
        <w:tc>
          <w:tcPr>
            <w:tcW w:type="dxa" w:w="1814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Aspek Evaluasi</w:t>
            </w:r>
          </w:p>
        </w:tc>
        <w:tc>
          <w:tcPr>
            <w:tcW w:type="dxa" w:w="2324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Temuan / Kondisi Pelaksanaan</w:t>
            </w:r>
          </w:p>
        </w:tc>
        <w:tc>
          <w:tcPr>
            <w:tcW w:type="dxa" w:w="2324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Analisis Penyebab</w:t>
            </w:r>
          </w:p>
        </w:tc>
        <w:tc>
          <w:tcPr>
            <w:tcW w:type="dxa" w:w="2438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Tindak Lanjut Pengendalian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Deviasi Jadwal &amp; Fisik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Tidak terdapat keterlambatan jadwal. Capaian fisik 100% selesai pada Desember 2025.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Perencanaan jadwal dan pembagian tugas tim berjalan efektif.</w:t>
            </w:r>
          </w:p>
        </w:tc>
        <w:tc>
          <w:tcPr>
            <w:tcW w:type="dxa" w:w="243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Mempertahankan tertib dokumentasi hingga serah terima akhir.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Deviasi Penyerapan Anggaran (Efisiensi 65,82%)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Realisasi keuangan Rp 141.159.100,- (34,18%) dari pagu Rp 413.000.000,-.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Rapat koordinasi dioptimalkan secara hybrid/internal dan perjalanan dinas dibayarkan sesuai pengeluaran riil (at cost).</w:t>
            </w:r>
          </w:p>
        </w:tc>
        <w:tc>
          <w:tcPr>
            <w:tcW w:type="dxa" w:w="243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Sisa pagu Rp 271.840.900,- dicatat sebagai efisiensi anggaran dalam BA Rekonsiliasi.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Penataan Dokumen Administrasi Swakelola (Tindak Lanjut LHA No. 9)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Perlunya penguatan kelengkapan dokumen perencanaan, persiapan, pengawasan, dan serah terima Swakelola.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Penyesuaian terhadap standar pemeriksaan dokumen tahapan Swakelola Tipe I (Perlem LKPP No. 3 Tahun 2021).</w:t>
            </w:r>
          </w:p>
        </w:tc>
        <w:tc>
          <w:tcPr>
            <w:tcW w:type="dxa" w:w="243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Melengkapi dan mengarsipkan seluruh 28 dokumen tahapan A s/d E secara terstruktur pada sistem informasi Satker.</w:t>
            </w:r>
          </w:p>
        </w:tc>
      </w:tr>
    </w:tbl>
    <w:p>
      <w:pPr>
        <w:spacing w:before="0" w:after="120"/>
      </w:pPr>
    </w:p>
    <w:p>
      <w:pPr>
        <w:keepNext/>
        <w:spacing w:before="160" w:after="80"/>
        <w:jc w:val="left"/>
      </w:pPr>
      <w:r>
        <w:rPr>
          <w:rFonts w:ascii="Arial" w:hAnsi="Arial"/>
          <w:b/>
          <w:sz w:val="21"/>
        </w:rPr>
        <w:t>II. KESIMPULAN TINDAK LANJUT</w:t>
      </w:r>
    </w:p>
    <w:p>
      <w:pPr>
        <w:spacing w:before="0" w:after="120" w:line="300" w:lineRule="auto"/>
        <w:jc w:val="both"/>
      </w:pPr>
      <w:r>
        <w:rPr>
          <w:rFonts w:ascii="Arial" w:hAnsi="Arial"/>
          <w:b w:val="0"/>
          <w:sz w:val="21"/>
        </w:rPr>
        <w:t>Tidak ditemukan penyimpangan keuangan yang merugikan negara dalam pelaksanaan kegiatan ini. Seluruh catatan evaluasi administratif telah ditindaklanjuti secara tuntas oleh Tim Pelaksana dan diverifikasi oleh Tim Pengawas.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</w:tcPr>
          <w:p>
            <w:pPr>
              <w:spacing w:before="160" w:line="276" w:lineRule="auto"/>
              <w:jc w:val="left"/>
            </w:pPr>
            <w:r>
              <w:rPr>
                <w:rFonts w:ascii="Arial" w:hAnsi="Arial"/>
                <w:sz w:val="21"/>
              </w:rPr>
              <w:t>Mengetahui,</w:t>
              <w:br/>
            </w:r>
            <w:r>
              <w:rPr>
                <w:rFonts w:ascii="Arial" w:hAnsi="Arial"/>
                <w:b/>
                <w:sz w:val="21"/>
              </w:rPr>
              <w:t>Pejabat Pembuat Komitmen (PPK)</w:t>
              <w:br/>
              <w:t>Satker Pelaksanaan Prasarana Strategis Riau,</w:t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  <w:u w:val="single"/>
              </w:rPr>
              <w:t>Nurhidayat Nugroho, S.Ars.</w:t>
              <w:br/>
            </w:r>
            <w:r>
              <w:rPr>
                <w:rFonts w:ascii="Arial" w:hAnsi="Arial"/>
                <w:sz w:val="21"/>
              </w:rPr>
              <w:t>NIP. 19901221 201802 1 001</w:t>
            </w:r>
          </w:p>
        </w:tc>
        <w:tc>
          <w:tcPr>
            <w:tcW w:type="dxa" w:w="4677"/>
          </w:tcPr>
          <w:p>
            <w:pPr>
              <w:spacing w:before="160" w:line="276" w:lineRule="auto"/>
              <w:jc w:val="left"/>
            </w:pPr>
            <w:r>
              <w:rPr>
                <w:rFonts w:ascii="Arial" w:hAnsi="Arial"/>
                <w:sz w:val="21"/>
              </w:rPr>
              <w:t>Pekanbaru, 19 Desember 2025</w:t>
              <w:br/>
              <w:t>Dievaluasi oleh,</w:t>
              <w:br/>
            </w:r>
            <w:r>
              <w:rPr>
                <w:rFonts w:ascii="Arial" w:hAnsi="Arial"/>
                <w:b/>
                <w:sz w:val="21"/>
              </w:rPr>
              <w:t>Ketua Tim Pengawas Swakelola,</w:t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  <w:u w:val="single"/>
              </w:rPr>
              <w:t>Hendra, S.T.</w:t>
              <w:br/>
            </w:r>
            <w:r>
              <w:rPr>
                <w:rFonts w:ascii="Arial" w:hAnsi="Arial"/>
                <w:sz w:val="21"/>
              </w:rPr>
              <w:t>NIP. 19770909 200902 1 005</w:t>
            </w:r>
          </w:p>
        </w:tc>
      </w:tr>
    </w:tbl>
    <w:sectPr w:rsidR="00FC693F" w:rsidRPr="0006063C" w:rsidSect="00034616">
      <w:pgSz w:w="11906" w:h="16838"/>
      <w:pgMar w:top="1020" w:right="1276" w:bottom="1134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