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drawing>
          <wp:inline xmlns:a="http://schemas.openxmlformats.org/drawingml/2006/main" xmlns:pic="http://schemas.openxmlformats.org/drawingml/2006/picture">
            <wp:extent cx="5940000" cy="876504"/>
            <wp:docPr id="1" name="Picture 1"/>
            <wp:cNvGraphicFramePr>
              <a:graphicFrameLocks noChangeAspect="1"/>
            </wp:cNvGraphicFramePr>
            <a:graphic>
              <a:graphicData uri="http://schemas.openxmlformats.org/drawingml/2006/picture">
                <pic:pic>
                  <pic:nvPicPr>
                    <pic:cNvPr id="0" name="1775466518_6770018a33b3f91eebd0.png"/>
                    <pic:cNvPicPr/>
                  </pic:nvPicPr>
                  <pic:blipFill>
                    <a:blip r:embed="rId9"/>
                    <a:stretch>
                      <a:fillRect/>
                    </a:stretch>
                  </pic:blipFill>
                  <pic:spPr>
                    <a:xfrm>
                      <a:off x="0" y="0"/>
                      <a:ext cx="5940000" cy="876504"/>
                    </a:xfrm>
                    <a:prstGeom prst="rect"/>
                  </pic:spPr>
                </pic:pic>
              </a:graphicData>
            </a:graphic>
          </wp:inline>
        </w:drawing>
      </w:r>
    </w:p>
    <w:p>
      <w:pPr>
        <w:spacing w:before="40" w:after="40" w:line="276" w:lineRule="auto"/>
        <w:jc w:val="center"/>
      </w:pPr>
      <w:r>
        <w:rPr>
          <w:rFonts w:ascii="Arial" w:hAnsi="Arial"/>
          <w:b/>
          <w:sz w:val="23"/>
        </w:rPr>
        <w:t>LAPORAN AKHIR PELAKSANAAN SWAKELOLA TIPE I</w:t>
      </w:r>
    </w:p>
    <w:p>
      <w:pPr>
        <w:spacing w:before="0" w:after="40" w:line="276" w:lineRule="auto"/>
        <w:jc w:val="center"/>
      </w:pPr>
      <w:r>
        <w:rPr>
          <w:rFonts w:ascii="Arial" w:hAnsi="Arial"/>
          <w:b/>
          <w:sz w:val="22"/>
        </w:rPr>
        <w:t>ADMINISTRASI KEGIATAN PEMBANGUNAN GEDUNG SPPG PROVINSI RIAU</w:t>
      </w:r>
    </w:p>
    <w:p>
      <w:pPr>
        <w:spacing w:before="0" w:after="200" w:line="276" w:lineRule="auto"/>
        <w:jc w:val="center"/>
      </w:pPr>
      <w:r>
        <w:rPr>
          <w:rFonts w:ascii="Arial" w:hAnsi="Arial"/>
          <w:b/>
          <w:sz w:val="22"/>
        </w:rPr>
        <w:t>SATUAN KERJA PELAKSANAAN PRASARANA STRATEGIS RIAU TA 2025</w:t>
      </w:r>
    </w:p>
    <w:p>
      <w:pPr>
        <w:keepNext/>
        <w:spacing w:before="160" w:after="80"/>
        <w:jc w:val="left"/>
      </w:pPr>
      <w:r>
        <w:rPr>
          <w:rFonts w:ascii="Arial" w:hAnsi="Arial"/>
          <w:b/>
          <w:sz w:val="21"/>
        </w:rPr>
        <w:t>BAB I. PENDAHULUAN</w:t>
      </w:r>
    </w:p>
    <w:p>
      <w:pPr>
        <w:spacing w:before="0" w:after="120" w:line="300" w:lineRule="auto"/>
        <w:jc w:val="both"/>
      </w:pPr>
      <w:r>
        <w:rPr>
          <w:rFonts w:ascii="Arial" w:hAnsi="Arial"/>
          <w:b w:val="0"/>
          <w:sz w:val="21"/>
        </w:rPr>
        <w:t>Kegiatan Administrasi Pembangunan Gedung Satuan Pelayanan Pemenuhan Gizi (SPPG) Provinsi Riau Tahun Anggaran 2025 merupakan bagian integral dari dukungan Direktorat Jenderal Prasarana Strategis Kementerian Pekerjaan Umum terhadap percepatan penyediaan sarana pemenuhan gizi nasional. Kegiatan ini dilaksanakan melalui mekanisme Swakelola Tipe I berdasarkan DIPA Satuan Kerja Pelaksanaan Prasarana Strategis Riau Nomor: DIPA-145.06.1.691285/2025 pada MAK 06.691285.GM.7717.CBI.001.900.A.</w:t>
      </w:r>
    </w:p>
    <w:p>
      <w:pPr>
        <w:keepNext/>
        <w:spacing w:before="160" w:after="80"/>
        <w:jc w:val="left"/>
      </w:pPr>
      <w:r>
        <w:rPr>
          <w:rFonts w:ascii="Arial" w:hAnsi="Arial"/>
          <w:b/>
          <w:sz w:val="21"/>
        </w:rPr>
        <w:t>BAB II. PELAKSANAAN KEGIATAN DAN CAPAIAN KELUARAN</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7"/>
        <w:gridCol w:w="4677"/>
      </w:tblGrid>
      <w:tr>
        <w:tc>
          <w:tcPr>
            <w:tcW w:type="dxa" w:w="425"/>
            <w:tcMar>
              <w:top w:w="40" w:type="dxa"/>
              <w:bottom w:w="40" w:type="dxa"/>
              <w:left w:w="20" w:type="dxa"/>
              <w:right w:w="40" w:type="dxa"/>
            </w:tcMar>
          </w:tcPr>
          <w:p>
            <w:pPr>
              <w:spacing w:before="0" w:after="40" w:line="288" w:lineRule="auto"/>
              <w:jc w:val="left"/>
            </w:pPr>
            <w:r>
              <w:rPr>
                <w:rFonts w:ascii="Arial" w:hAnsi="Arial"/>
                <w:sz w:val="21"/>
              </w:rPr>
              <w:t>1.</w:t>
            </w:r>
          </w:p>
        </w:tc>
        <w:tc>
          <w:tcPr>
            <w:tcW w:type="dxa" w:w="8929"/>
            <w:tcMar>
              <w:top w:w="40" w:type="dxa"/>
              <w:bottom w:w="40" w:type="dxa"/>
              <w:left w:w="20" w:type="dxa"/>
              <w:right w:w="20" w:type="dxa"/>
            </w:tcMar>
          </w:tcPr>
          <w:p>
            <w:pPr>
              <w:spacing w:before="0" w:after="40" w:line="288" w:lineRule="auto"/>
              <w:jc w:val="both"/>
            </w:pPr>
            <w:r>
              <w:rPr>
                <w:rFonts w:ascii="Arial" w:hAnsi="Arial"/>
                <w:b/>
                <w:sz w:val="21"/>
              </w:rPr>
              <w:t>Penyelenggara Kegiatan:</w:t>
            </w:r>
            <w:r>
              <w:rPr>
                <w:rFonts w:ascii="Arial" w:hAnsi="Arial"/>
                <w:sz w:val="21"/>
              </w:rPr>
              <w:t xml:space="preserve"> Dilaksanakan oleh Tim Penyelenggara Swakelola Satker Pelaksanaan Prasarana Strategis Riau berdasarkan SK KPA Nomor: 28/KPTS/SATKER-PPS.RIAU/2025 tanggal 23 September 2025.</w:t>
            </w:r>
          </w:p>
        </w:tc>
      </w:tr>
      <w:tr>
        <w:tc>
          <w:tcPr>
            <w:tcW w:type="dxa" w:w="425"/>
            <w:tcMar>
              <w:top w:w="40" w:type="dxa"/>
              <w:bottom w:w="40" w:type="dxa"/>
              <w:left w:w="20" w:type="dxa"/>
              <w:right w:w="40" w:type="dxa"/>
            </w:tcMar>
          </w:tcPr>
          <w:p>
            <w:pPr>
              <w:spacing w:before="0" w:after="40" w:line="288" w:lineRule="auto"/>
              <w:jc w:val="left"/>
            </w:pPr>
            <w:r>
              <w:rPr>
                <w:rFonts w:ascii="Arial" w:hAnsi="Arial"/>
                <w:sz w:val="21"/>
              </w:rPr>
              <w:t>2.</w:t>
            </w:r>
          </w:p>
        </w:tc>
        <w:tc>
          <w:tcPr>
            <w:tcW w:type="dxa" w:w="8929"/>
            <w:tcMar>
              <w:top w:w="40" w:type="dxa"/>
              <w:bottom w:w="40" w:type="dxa"/>
              <w:left w:w="20" w:type="dxa"/>
              <w:right w:w="20" w:type="dxa"/>
            </w:tcMar>
          </w:tcPr>
          <w:p>
            <w:pPr>
              <w:spacing w:before="0" w:after="40" w:line="288" w:lineRule="auto"/>
              <w:jc w:val="both"/>
            </w:pPr>
            <w:r>
              <w:rPr>
                <w:rFonts w:ascii="Arial" w:hAnsi="Arial"/>
                <w:b/>
                <w:sz w:val="21"/>
              </w:rPr>
              <w:t>Pemenuhan Kebutuhan Bahan Operasional:</w:t>
            </w:r>
            <w:r>
              <w:rPr>
                <w:rFonts w:ascii="Arial" w:hAnsi="Arial"/>
                <w:sz w:val="21"/>
              </w:rPr>
              <w:t xml:space="preserve"> Telah dilaksanakan pengadaan Alat Tulis Kantor (ATK) sebesar Rp 10.750.000,- dan Computer Supplies sebesar Rp 9.485.000,- untuk menunjang penyusunan dokumen pengadaan, pemberkasan kontrak, dan pelaporan teknis SPPG.</w:t>
            </w:r>
          </w:p>
        </w:tc>
      </w:tr>
      <w:tr>
        <w:tc>
          <w:tcPr>
            <w:tcW w:type="dxa" w:w="425"/>
            <w:tcMar>
              <w:top w:w="40" w:type="dxa"/>
              <w:bottom w:w="40" w:type="dxa"/>
              <w:left w:w="20" w:type="dxa"/>
              <w:right w:w="40" w:type="dxa"/>
            </w:tcMar>
          </w:tcPr>
          <w:p>
            <w:pPr>
              <w:spacing w:before="0" w:after="40" w:line="288" w:lineRule="auto"/>
              <w:jc w:val="left"/>
            </w:pPr>
            <w:r>
              <w:rPr>
                <w:rFonts w:ascii="Arial" w:hAnsi="Arial"/>
                <w:sz w:val="21"/>
              </w:rPr>
              <w:t>3.</w:t>
            </w:r>
          </w:p>
        </w:tc>
        <w:tc>
          <w:tcPr>
            <w:tcW w:type="dxa" w:w="8929"/>
            <w:tcMar>
              <w:top w:w="40" w:type="dxa"/>
              <w:bottom w:w="40" w:type="dxa"/>
              <w:left w:w="20" w:type="dxa"/>
              <w:right w:w="20" w:type="dxa"/>
            </w:tcMar>
          </w:tcPr>
          <w:p>
            <w:pPr>
              <w:spacing w:before="0" w:after="40" w:line="288" w:lineRule="auto"/>
              <w:jc w:val="both"/>
            </w:pPr>
            <w:r>
              <w:rPr>
                <w:rFonts w:ascii="Arial" w:hAnsi="Arial"/>
                <w:sz w:val="21"/>
              </w:rPr>
              <w:t>Pelaksanaan Koordinasi, Survei, dan Monitoring Lapangan: Telah dilaksanakan 8 (delapan) kegiatan perjalanan dinas luar kota (Kabupaten Kampar, Kota Dumai, Kabupaten Siak, Jakarta, dan Medan) senilai Rp 114.974.100,- serta 1 (satu) kegiatan perjalanan dinas dalam kota Pekanbaru senilai Rp 5.950.000,-.</w:t>
            </w:r>
          </w:p>
        </w:tc>
      </w:tr>
    </w:tbl>
    <w:p>
      <w:pPr>
        <w:spacing w:before="0" w:after="80"/>
      </w:pPr>
    </w:p>
    <w:p>
      <w:pPr>
        <w:keepNext/>
        <w:spacing w:before="160" w:after="80"/>
        <w:jc w:val="left"/>
      </w:pPr>
      <w:r>
        <w:rPr>
          <w:rFonts w:ascii="Arial" w:hAnsi="Arial"/>
          <w:b/>
          <w:sz w:val="21"/>
        </w:rPr>
        <w:t>BAB III. REALISASI ANGGARAN DAN AKUNTABILITAS</w:t>
      </w:r>
    </w:p>
    <w:tbl>
      <w:tblPr>
        <w:tblW w:type="auto" w:w="0"/>
        <w:jc w:val="center"/>
        <w:tblLayout w:type="fixed"/>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59"/>
        <w:gridCol w:w="1559"/>
        <w:gridCol w:w="1559"/>
        <w:gridCol w:w="1559"/>
        <w:gridCol w:w="1559"/>
        <w:gridCol w:w="1559"/>
      </w:tblGrid>
      <w:tr>
        <w:trPr>
          <w:tblHeader/>
          <w:cantSplit/>
        </w:trPr>
        <w:tc>
          <w:tcPr>
            <w:tcW w:type="dxa" w:w="510"/>
            <w:vAlign w:val="center"/>
            <w:shd w:fill="D9E2F3"/>
            <w:tcMar>
              <w:top w:w="90" w:type="dxa"/>
              <w:bottom w:w="90" w:type="dxa"/>
              <w:left w:w="110" w:type="dxa"/>
              <w:right w:w="110" w:type="dxa"/>
            </w:tcMar>
          </w:tcPr>
          <w:p>
            <w:pPr>
              <w:spacing w:before="0" w:after="0" w:line="276" w:lineRule="auto"/>
              <w:jc w:val="center"/>
            </w:pPr>
            <w:r>
              <w:rPr>
                <w:rFonts w:ascii="Arial" w:hAnsi="Arial"/>
                <w:b/>
                <w:sz w:val="19"/>
              </w:rPr>
              <w:t>No.</w:t>
            </w:r>
          </w:p>
        </w:tc>
        <w:tc>
          <w:tcPr>
            <w:tcW w:type="dxa" w:w="2948"/>
            <w:vAlign w:val="center"/>
            <w:shd w:fill="D9E2F3"/>
            <w:tcMar>
              <w:top w:w="90" w:type="dxa"/>
              <w:bottom w:w="90" w:type="dxa"/>
              <w:left w:w="110" w:type="dxa"/>
              <w:right w:w="110" w:type="dxa"/>
            </w:tcMar>
          </w:tcPr>
          <w:p>
            <w:pPr>
              <w:spacing w:before="0" w:after="0" w:line="276" w:lineRule="auto"/>
              <w:jc w:val="center"/>
            </w:pPr>
            <w:r>
              <w:rPr>
                <w:rFonts w:ascii="Arial" w:hAnsi="Arial"/>
                <w:b/>
                <w:sz w:val="19"/>
              </w:rPr>
              <w:t>Komponen Belanja</w:t>
            </w:r>
          </w:p>
        </w:tc>
        <w:tc>
          <w:tcPr>
            <w:tcW w:type="dxa" w:w="1587"/>
            <w:vAlign w:val="center"/>
            <w:shd w:fill="D9E2F3"/>
            <w:tcMar>
              <w:top w:w="90" w:type="dxa"/>
              <w:bottom w:w="90" w:type="dxa"/>
              <w:left w:w="110" w:type="dxa"/>
              <w:right w:w="110" w:type="dxa"/>
            </w:tcMar>
          </w:tcPr>
          <w:p>
            <w:pPr>
              <w:spacing w:before="0" w:after="0" w:line="276" w:lineRule="auto"/>
              <w:jc w:val="center"/>
            </w:pPr>
            <w:r>
              <w:rPr>
                <w:rFonts w:ascii="Arial" w:hAnsi="Arial"/>
                <w:b/>
                <w:sz w:val="19"/>
              </w:rPr>
              <w:t>Pagu Anggaran (Rp)</w:t>
            </w:r>
          </w:p>
        </w:tc>
        <w:tc>
          <w:tcPr>
            <w:tcW w:type="dxa" w:w="1587"/>
            <w:vAlign w:val="center"/>
            <w:shd w:fill="D9E2F3"/>
            <w:tcMar>
              <w:top w:w="90" w:type="dxa"/>
              <w:bottom w:w="90" w:type="dxa"/>
              <w:left w:w="110" w:type="dxa"/>
              <w:right w:w="110" w:type="dxa"/>
            </w:tcMar>
          </w:tcPr>
          <w:p>
            <w:pPr>
              <w:spacing w:before="0" w:after="0" w:line="276" w:lineRule="auto"/>
              <w:jc w:val="center"/>
            </w:pPr>
            <w:r>
              <w:rPr>
                <w:rFonts w:ascii="Arial" w:hAnsi="Arial"/>
                <w:b/>
                <w:sz w:val="19"/>
              </w:rPr>
              <w:t>Realisasi (Rp)</w:t>
            </w:r>
          </w:p>
        </w:tc>
        <w:tc>
          <w:tcPr>
            <w:tcW w:type="dxa" w:w="1587"/>
            <w:vAlign w:val="center"/>
            <w:shd w:fill="D9E2F3"/>
            <w:tcMar>
              <w:top w:w="90" w:type="dxa"/>
              <w:bottom w:w="90" w:type="dxa"/>
              <w:left w:w="110" w:type="dxa"/>
              <w:right w:w="110" w:type="dxa"/>
            </w:tcMar>
          </w:tcPr>
          <w:p>
            <w:pPr>
              <w:spacing w:before="0" w:after="0" w:line="276" w:lineRule="auto"/>
              <w:jc w:val="center"/>
            </w:pPr>
            <w:r>
              <w:rPr>
                <w:rFonts w:ascii="Arial" w:hAnsi="Arial"/>
                <w:b/>
                <w:sz w:val="19"/>
              </w:rPr>
              <w:t>Efisiensi / Sisa (Rp)</w:t>
            </w:r>
          </w:p>
        </w:tc>
        <w:tc>
          <w:tcPr>
            <w:tcW w:type="dxa" w:w="1134"/>
            <w:vAlign w:val="center"/>
            <w:shd w:fill="D9E2F3"/>
            <w:tcMar>
              <w:top w:w="90" w:type="dxa"/>
              <w:bottom w:w="90" w:type="dxa"/>
              <w:left w:w="110" w:type="dxa"/>
              <w:right w:w="110" w:type="dxa"/>
            </w:tcMar>
          </w:tcPr>
          <w:p>
            <w:pPr>
              <w:spacing w:before="0" w:after="0" w:line="276" w:lineRule="auto"/>
              <w:jc w:val="center"/>
            </w:pPr>
            <w:r>
              <w:rPr>
                <w:rFonts w:ascii="Arial" w:hAnsi="Arial"/>
                <w:b/>
                <w:sz w:val="19"/>
              </w:rPr>
              <w:t>Capaian Fisik</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1</w:t>
            </w:r>
          </w:p>
        </w:tc>
        <w:tc>
          <w:tcPr>
            <w:tcW w:type="dxa" w:w="2948"/>
            <w:vAlign w:val="center"/>
            <w:tcMar>
              <w:top w:w="75" w:type="dxa"/>
              <w:bottom w:w="75" w:type="dxa"/>
              <w:left w:w="110" w:type="dxa"/>
              <w:right w:w="110" w:type="dxa"/>
            </w:tcMar>
          </w:tcPr>
          <w:p>
            <w:pPr>
              <w:spacing w:before="0" w:after="0" w:line="276" w:lineRule="auto"/>
              <w:jc w:val="left"/>
            </w:pPr>
            <w:r>
              <w:rPr>
                <w:rFonts w:ascii="Arial" w:hAnsi="Arial"/>
                <w:b w:val="0"/>
                <w:sz w:val="19"/>
              </w:rPr>
              <w:t>521211 - Belanja Bahan</w:t>
            </w:r>
          </w:p>
        </w:tc>
        <w:tc>
          <w:tcPr>
            <w:tcW w:type="dxa" w:w="1587"/>
            <w:vAlign w:val="center"/>
            <w:tcMar>
              <w:top w:w="75" w:type="dxa"/>
              <w:bottom w:w="75" w:type="dxa"/>
              <w:left w:w="110" w:type="dxa"/>
              <w:right w:w="110" w:type="dxa"/>
            </w:tcMar>
          </w:tcPr>
          <w:p>
            <w:pPr>
              <w:spacing w:before="0" w:after="0" w:line="276" w:lineRule="auto"/>
              <w:jc w:val="right"/>
            </w:pPr>
            <w:r>
              <w:rPr>
                <w:rFonts w:ascii="Arial" w:hAnsi="Arial"/>
                <w:b w:val="0"/>
                <w:sz w:val="19"/>
              </w:rPr>
              <w:t>45.320.000</w:t>
            </w:r>
          </w:p>
        </w:tc>
        <w:tc>
          <w:tcPr>
            <w:tcW w:type="dxa" w:w="1587"/>
            <w:vAlign w:val="center"/>
            <w:tcMar>
              <w:top w:w="75" w:type="dxa"/>
              <w:bottom w:w="75" w:type="dxa"/>
              <w:left w:w="110" w:type="dxa"/>
              <w:right w:w="110" w:type="dxa"/>
            </w:tcMar>
          </w:tcPr>
          <w:p>
            <w:pPr>
              <w:spacing w:before="0" w:after="0" w:line="276" w:lineRule="auto"/>
              <w:jc w:val="right"/>
            </w:pPr>
            <w:r>
              <w:rPr>
                <w:rFonts w:ascii="Arial" w:hAnsi="Arial"/>
                <w:b w:val="0"/>
                <w:sz w:val="19"/>
              </w:rPr>
              <w:t>20.235.000</w:t>
            </w:r>
          </w:p>
        </w:tc>
        <w:tc>
          <w:tcPr>
            <w:tcW w:type="dxa" w:w="1587"/>
            <w:vAlign w:val="center"/>
            <w:tcMar>
              <w:top w:w="75" w:type="dxa"/>
              <w:bottom w:w="75" w:type="dxa"/>
              <w:left w:w="110" w:type="dxa"/>
              <w:right w:w="110" w:type="dxa"/>
            </w:tcMar>
          </w:tcPr>
          <w:p>
            <w:pPr>
              <w:spacing w:before="0" w:after="0" w:line="276" w:lineRule="auto"/>
              <w:jc w:val="right"/>
            </w:pPr>
            <w:r>
              <w:rPr>
                <w:rFonts w:ascii="Arial" w:hAnsi="Arial"/>
                <w:b w:val="0"/>
                <w:sz w:val="19"/>
              </w:rPr>
              <w:t>25.085.000</w:t>
            </w:r>
          </w:p>
        </w:tc>
        <w:tc>
          <w:tcPr>
            <w:tcW w:type="dxa" w:w="1134"/>
            <w:vAlign w:val="center"/>
            <w:tcMar>
              <w:top w:w="75" w:type="dxa"/>
              <w:bottom w:w="75" w:type="dxa"/>
              <w:left w:w="110" w:type="dxa"/>
              <w:right w:w="110" w:type="dxa"/>
            </w:tcMar>
          </w:tcPr>
          <w:p>
            <w:pPr>
              <w:spacing w:before="0" w:after="0" w:line="276" w:lineRule="auto"/>
              <w:jc w:val="right"/>
            </w:pPr>
            <w:r>
              <w:rPr>
                <w:rFonts w:ascii="Arial" w:hAnsi="Arial"/>
                <w:b w:val="0"/>
                <w:sz w:val="19"/>
              </w:rPr>
              <w:t>100,00%</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2</w:t>
            </w:r>
          </w:p>
        </w:tc>
        <w:tc>
          <w:tcPr>
            <w:tcW w:type="dxa" w:w="2948"/>
            <w:vAlign w:val="center"/>
            <w:tcMar>
              <w:top w:w="75" w:type="dxa"/>
              <w:bottom w:w="75" w:type="dxa"/>
              <w:left w:w="110" w:type="dxa"/>
              <w:right w:w="110" w:type="dxa"/>
            </w:tcMar>
          </w:tcPr>
          <w:p>
            <w:pPr>
              <w:spacing w:before="0" w:after="0" w:line="276" w:lineRule="auto"/>
              <w:jc w:val="left"/>
            </w:pPr>
            <w:r>
              <w:rPr>
                <w:rFonts w:ascii="Arial" w:hAnsi="Arial"/>
                <w:b w:val="0"/>
                <w:sz w:val="19"/>
              </w:rPr>
              <w:t>521213 - Belanja Honor Output Kegiatan</w:t>
            </w:r>
          </w:p>
        </w:tc>
        <w:tc>
          <w:tcPr>
            <w:tcW w:type="dxa" w:w="1587"/>
            <w:vAlign w:val="center"/>
            <w:tcMar>
              <w:top w:w="75" w:type="dxa"/>
              <w:bottom w:w="75" w:type="dxa"/>
              <w:left w:w="110" w:type="dxa"/>
              <w:right w:w="110" w:type="dxa"/>
            </w:tcMar>
          </w:tcPr>
          <w:p>
            <w:pPr>
              <w:spacing w:before="0" w:after="0" w:line="276" w:lineRule="auto"/>
              <w:jc w:val="right"/>
            </w:pPr>
            <w:r>
              <w:rPr>
                <w:rFonts w:ascii="Arial" w:hAnsi="Arial"/>
                <w:b w:val="0"/>
                <w:sz w:val="19"/>
              </w:rPr>
              <w:t>43.200.000</w:t>
            </w:r>
          </w:p>
        </w:tc>
        <w:tc>
          <w:tcPr>
            <w:tcW w:type="dxa" w:w="1587"/>
            <w:vAlign w:val="center"/>
            <w:tcMar>
              <w:top w:w="75" w:type="dxa"/>
              <w:bottom w:w="75" w:type="dxa"/>
              <w:left w:w="110" w:type="dxa"/>
              <w:right w:w="110" w:type="dxa"/>
            </w:tcMar>
          </w:tcPr>
          <w:p>
            <w:pPr>
              <w:spacing w:before="0" w:after="0" w:line="276" w:lineRule="auto"/>
              <w:jc w:val="right"/>
            </w:pPr>
            <w:r>
              <w:rPr>
                <w:rFonts w:ascii="Arial" w:hAnsi="Arial"/>
                <w:b w:val="0"/>
                <w:sz w:val="19"/>
              </w:rPr>
              <w:t>0</w:t>
            </w:r>
          </w:p>
        </w:tc>
        <w:tc>
          <w:tcPr>
            <w:tcW w:type="dxa" w:w="1587"/>
            <w:vAlign w:val="center"/>
            <w:tcMar>
              <w:top w:w="75" w:type="dxa"/>
              <w:bottom w:w="75" w:type="dxa"/>
              <w:left w:w="110" w:type="dxa"/>
              <w:right w:w="110" w:type="dxa"/>
            </w:tcMar>
          </w:tcPr>
          <w:p>
            <w:pPr>
              <w:spacing w:before="0" w:after="0" w:line="276" w:lineRule="auto"/>
              <w:jc w:val="right"/>
            </w:pPr>
            <w:r>
              <w:rPr>
                <w:rFonts w:ascii="Arial" w:hAnsi="Arial"/>
                <w:b w:val="0"/>
                <w:sz w:val="19"/>
              </w:rPr>
              <w:t>43.200.000</w:t>
            </w:r>
          </w:p>
        </w:tc>
        <w:tc>
          <w:tcPr>
            <w:tcW w:type="dxa" w:w="1134"/>
            <w:vAlign w:val="center"/>
            <w:tcMar>
              <w:top w:w="75" w:type="dxa"/>
              <w:bottom w:w="75" w:type="dxa"/>
              <w:left w:w="110" w:type="dxa"/>
              <w:right w:w="110" w:type="dxa"/>
            </w:tcMar>
          </w:tcPr>
          <w:p>
            <w:pPr>
              <w:spacing w:before="0" w:after="0" w:line="276" w:lineRule="auto"/>
              <w:jc w:val="right"/>
            </w:pPr>
            <w:r>
              <w:rPr>
                <w:rFonts w:ascii="Arial" w:hAnsi="Arial"/>
                <w:b w:val="0"/>
                <w:sz w:val="19"/>
              </w:rPr>
              <w:t>100,00%</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3</w:t>
            </w:r>
          </w:p>
        </w:tc>
        <w:tc>
          <w:tcPr>
            <w:tcW w:type="dxa" w:w="2948"/>
            <w:vAlign w:val="center"/>
            <w:tcMar>
              <w:top w:w="75" w:type="dxa"/>
              <w:bottom w:w="75" w:type="dxa"/>
              <w:left w:w="110" w:type="dxa"/>
              <w:right w:w="110" w:type="dxa"/>
            </w:tcMar>
          </w:tcPr>
          <w:p>
            <w:pPr>
              <w:spacing w:before="0" w:after="0" w:line="276" w:lineRule="auto"/>
              <w:jc w:val="left"/>
            </w:pPr>
            <w:r>
              <w:rPr>
                <w:rFonts w:ascii="Arial" w:hAnsi="Arial"/>
                <w:b w:val="0"/>
                <w:sz w:val="19"/>
              </w:rPr>
              <w:t>524111 - Belanja Perjalanan Dinas Biasa</w:t>
            </w:r>
          </w:p>
        </w:tc>
        <w:tc>
          <w:tcPr>
            <w:tcW w:type="dxa" w:w="1587"/>
            <w:vAlign w:val="center"/>
            <w:tcMar>
              <w:top w:w="75" w:type="dxa"/>
              <w:bottom w:w="75" w:type="dxa"/>
              <w:left w:w="110" w:type="dxa"/>
              <w:right w:w="110" w:type="dxa"/>
            </w:tcMar>
          </w:tcPr>
          <w:p>
            <w:pPr>
              <w:spacing w:before="0" w:after="0" w:line="276" w:lineRule="auto"/>
              <w:jc w:val="right"/>
            </w:pPr>
            <w:r>
              <w:rPr>
                <w:rFonts w:ascii="Arial" w:hAnsi="Arial"/>
                <w:b w:val="0"/>
                <w:sz w:val="19"/>
              </w:rPr>
              <w:t>225.730.000</w:t>
            </w:r>
          </w:p>
        </w:tc>
        <w:tc>
          <w:tcPr>
            <w:tcW w:type="dxa" w:w="1587"/>
            <w:vAlign w:val="center"/>
            <w:tcMar>
              <w:top w:w="75" w:type="dxa"/>
              <w:bottom w:w="75" w:type="dxa"/>
              <w:left w:w="110" w:type="dxa"/>
              <w:right w:w="110" w:type="dxa"/>
            </w:tcMar>
          </w:tcPr>
          <w:p>
            <w:pPr>
              <w:spacing w:before="0" w:after="0" w:line="276" w:lineRule="auto"/>
              <w:jc w:val="right"/>
            </w:pPr>
            <w:r>
              <w:rPr>
                <w:rFonts w:ascii="Arial" w:hAnsi="Arial"/>
                <w:b w:val="0"/>
                <w:sz w:val="19"/>
              </w:rPr>
              <w:t>114.974.100</w:t>
            </w:r>
          </w:p>
        </w:tc>
        <w:tc>
          <w:tcPr>
            <w:tcW w:type="dxa" w:w="1587"/>
            <w:vAlign w:val="center"/>
            <w:tcMar>
              <w:top w:w="75" w:type="dxa"/>
              <w:bottom w:w="75" w:type="dxa"/>
              <w:left w:w="110" w:type="dxa"/>
              <w:right w:w="110" w:type="dxa"/>
            </w:tcMar>
          </w:tcPr>
          <w:p>
            <w:pPr>
              <w:spacing w:before="0" w:after="0" w:line="276" w:lineRule="auto"/>
              <w:jc w:val="right"/>
            </w:pPr>
            <w:r>
              <w:rPr>
                <w:rFonts w:ascii="Arial" w:hAnsi="Arial"/>
                <w:b w:val="0"/>
                <w:sz w:val="19"/>
              </w:rPr>
              <w:t>110.755.900</w:t>
            </w:r>
          </w:p>
        </w:tc>
        <w:tc>
          <w:tcPr>
            <w:tcW w:type="dxa" w:w="1134"/>
            <w:vAlign w:val="center"/>
            <w:tcMar>
              <w:top w:w="75" w:type="dxa"/>
              <w:bottom w:w="75" w:type="dxa"/>
              <w:left w:w="110" w:type="dxa"/>
              <w:right w:w="110" w:type="dxa"/>
            </w:tcMar>
          </w:tcPr>
          <w:p>
            <w:pPr>
              <w:spacing w:before="0" w:after="0" w:line="276" w:lineRule="auto"/>
              <w:jc w:val="right"/>
            </w:pPr>
            <w:r>
              <w:rPr>
                <w:rFonts w:ascii="Arial" w:hAnsi="Arial"/>
                <w:b w:val="0"/>
                <w:sz w:val="19"/>
              </w:rPr>
              <w:t>100,00%</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4</w:t>
            </w:r>
          </w:p>
        </w:tc>
        <w:tc>
          <w:tcPr>
            <w:tcW w:type="dxa" w:w="2948"/>
            <w:vAlign w:val="center"/>
            <w:tcMar>
              <w:top w:w="75" w:type="dxa"/>
              <w:bottom w:w="75" w:type="dxa"/>
              <w:left w:w="110" w:type="dxa"/>
              <w:right w:w="110" w:type="dxa"/>
            </w:tcMar>
          </w:tcPr>
          <w:p>
            <w:pPr>
              <w:spacing w:before="0" w:after="0" w:line="276" w:lineRule="auto"/>
              <w:jc w:val="left"/>
            </w:pPr>
            <w:r>
              <w:rPr>
                <w:rFonts w:ascii="Arial" w:hAnsi="Arial"/>
                <w:b w:val="0"/>
                <w:sz w:val="19"/>
              </w:rPr>
              <w:t>524113 - Belanja Perjalanan Dinas Dalam Kota</w:t>
            </w:r>
          </w:p>
        </w:tc>
        <w:tc>
          <w:tcPr>
            <w:tcW w:type="dxa" w:w="1587"/>
            <w:vAlign w:val="center"/>
            <w:tcMar>
              <w:top w:w="75" w:type="dxa"/>
              <w:bottom w:w="75" w:type="dxa"/>
              <w:left w:w="110" w:type="dxa"/>
              <w:right w:w="110" w:type="dxa"/>
            </w:tcMar>
          </w:tcPr>
          <w:p>
            <w:pPr>
              <w:spacing w:before="0" w:after="0" w:line="276" w:lineRule="auto"/>
              <w:jc w:val="right"/>
            </w:pPr>
            <w:r>
              <w:rPr>
                <w:rFonts w:ascii="Arial" w:hAnsi="Arial"/>
                <w:b w:val="0"/>
                <w:sz w:val="19"/>
              </w:rPr>
              <w:t>9.750.000</w:t>
            </w:r>
          </w:p>
        </w:tc>
        <w:tc>
          <w:tcPr>
            <w:tcW w:type="dxa" w:w="1587"/>
            <w:vAlign w:val="center"/>
            <w:tcMar>
              <w:top w:w="75" w:type="dxa"/>
              <w:bottom w:w="75" w:type="dxa"/>
              <w:left w:w="110" w:type="dxa"/>
              <w:right w:w="110" w:type="dxa"/>
            </w:tcMar>
          </w:tcPr>
          <w:p>
            <w:pPr>
              <w:spacing w:before="0" w:after="0" w:line="276" w:lineRule="auto"/>
              <w:jc w:val="right"/>
            </w:pPr>
            <w:r>
              <w:rPr>
                <w:rFonts w:ascii="Arial" w:hAnsi="Arial"/>
                <w:b w:val="0"/>
                <w:sz w:val="19"/>
              </w:rPr>
              <w:t>5.950.000</w:t>
            </w:r>
          </w:p>
        </w:tc>
        <w:tc>
          <w:tcPr>
            <w:tcW w:type="dxa" w:w="1587"/>
            <w:vAlign w:val="center"/>
            <w:tcMar>
              <w:top w:w="75" w:type="dxa"/>
              <w:bottom w:w="75" w:type="dxa"/>
              <w:left w:w="110" w:type="dxa"/>
              <w:right w:w="110" w:type="dxa"/>
            </w:tcMar>
          </w:tcPr>
          <w:p>
            <w:pPr>
              <w:spacing w:before="0" w:after="0" w:line="276" w:lineRule="auto"/>
              <w:jc w:val="right"/>
            </w:pPr>
            <w:r>
              <w:rPr>
                <w:rFonts w:ascii="Arial" w:hAnsi="Arial"/>
                <w:b w:val="0"/>
                <w:sz w:val="19"/>
              </w:rPr>
              <w:t>3.800.000</w:t>
            </w:r>
          </w:p>
        </w:tc>
        <w:tc>
          <w:tcPr>
            <w:tcW w:type="dxa" w:w="1134"/>
            <w:vAlign w:val="center"/>
            <w:tcMar>
              <w:top w:w="75" w:type="dxa"/>
              <w:bottom w:w="75" w:type="dxa"/>
              <w:left w:w="110" w:type="dxa"/>
              <w:right w:w="110" w:type="dxa"/>
            </w:tcMar>
          </w:tcPr>
          <w:p>
            <w:pPr>
              <w:spacing w:before="0" w:after="0" w:line="276" w:lineRule="auto"/>
              <w:jc w:val="right"/>
            </w:pPr>
            <w:r>
              <w:rPr>
                <w:rFonts w:ascii="Arial" w:hAnsi="Arial"/>
                <w:b w:val="0"/>
                <w:sz w:val="19"/>
              </w:rPr>
              <w:t>100,00%</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5</w:t>
            </w:r>
          </w:p>
        </w:tc>
        <w:tc>
          <w:tcPr>
            <w:tcW w:type="dxa" w:w="2948"/>
            <w:vAlign w:val="center"/>
            <w:tcMar>
              <w:top w:w="75" w:type="dxa"/>
              <w:bottom w:w="75" w:type="dxa"/>
              <w:left w:w="110" w:type="dxa"/>
              <w:right w:w="110" w:type="dxa"/>
            </w:tcMar>
          </w:tcPr>
          <w:p>
            <w:pPr>
              <w:spacing w:before="0" w:after="0" w:line="276" w:lineRule="auto"/>
              <w:jc w:val="left"/>
            </w:pPr>
            <w:r>
              <w:rPr>
                <w:rFonts w:ascii="Arial" w:hAnsi="Arial"/>
                <w:b w:val="0"/>
                <w:sz w:val="19"/>
              </w:rPr>
              <w:t>524114 - Belanja Perjalanan Dinas Paket Meeting</w:t>
            </w:r>
          </w:p>
        </w:tc>
        <w:tc>
          <w:tcPr>
            <w:tcW w:type="dxa" w:w="1587"/>
            <w:vAlign w:val="center"/>
            <w:tcMar>
              <w:top w:w="75" w:type="dxa"/>
              <w:bottom w:w="75" w:type="dxa"/>
              <w:left w:w="110" w:type="dxa"/>
              <w:right w:w="110" w:type="dxa"/>
            </w:tcMar>
          </w:tcPr>
          <w:p>
            <w:pPr>
              <w:spacing w:before="0" w:after="0" w:line="276" w:lineRule="auto"/>
              <w:jc w:val="right"/>
            </w:pPr>
            <w:r>
              <w:rPr>
                <w:rFonts w:ascii="Arial" w:hAnsi="Arial"/>
                <w:b w:val="0"/>
                <w:sz w:val="19"/>
              </w:rPr>
              <w:t>89.000.000</w:t>
            </w:r>
          </w:p>
        </w:tc>
        <w:tc>
          <w:tcPr>
            <w:tcW w:type="dxa" w:w="1587"/>
            <w:vAlign w:val="center"/>
            <w:tcMar>
              <w:top w:w="75" w:type="dxa"/>
              <w:bottom w:w="75" w:type="dxa"/>
              <w:left w:w="110" w:type="dxa"/>
              <w:right w:w="110" w:type="dxa"/>
            </w:tcMar>
          </w:tcPr>
          <w:p>
            <w:pPr>
              <w:spacing w:before="0" w:after="0" w:line="276" w:lineRule="auto"/>
              <w:jc w:val="right"/>
            </w:pPr>
            <w:r>
              <w:rPr>
                <w:rFonts w:ascii="Arial" w:hAnsi="Arial"/>
                <w:b w:val="0"/>
                <w:sz w:val="19"/>
              </w:rPr>
              <w:t>0</w:t>
            </w:r>
          </w:p>
        </w:tc>
        <w:tc>
          <w:tcPr>
            <w:tcW w:type="dxa" w:w="1587"/>
            <w:vAlign w:val="center"/>
            <w:tcMar>
              <w:top w:w="75" w:type="dxa"/>
              <w:bottom w:w="75" w:type="dxa"/>
              <w:left w:w="110" w:type="dxa"/>
              <w:right w:w="110" w:type="dxa"/>
            </w:tcMar>
          </w:tcPr>
          <w:p>
            <w:pPr>
              <w:spacing w:before="0" w:after="0" w:line="276" w:lineRule="auto"/>
              <w:jc w:val="right"/>
            </w:pPr>
            <w:r>
              <w:rPr>
                <w:rFonts w:ascii="Arial" w:hAnsi="Arial"/>
                <w:b w:val="0"/>
                <w:sz w:val="19"/>
              </w:rPr>
              <w:t>89.000.000</w:t>
            </w:r>
          </w:p>
        </w:tc>
        <w:tc>
          <w:tcPr>
            <w:tcW w:type="dxa" w:w="1134"/>
            <w:vAlign w:val="center"/>
            <w:tcMar>
              <w:top w:w="75" w:type="dxa"/>
              <w:bottom w:w="75" w:type="dxa"/>
              <w:left w:w="110" w:type="dxa"/>
              <w:right w:w="110" w:type="dxa"/>
            </w:tcMar>
          </w:tcPr>
          <w:p>
            <w:pPr>
              <w:spacing w:before="0" w:after="0" w:line="276" w:lineRule="auto"/>
              <w:jc w:val="right"/>
            </w:pPr>
            <w:r>
              <w:rPr>
                <w:rFonts w:ascii="Arial" w:hAnsi="Arial"/>
                <w:b w:val="0"/>
                <w:sz w:val="19"/>
              </w:rPr>
              <w:t>100,00%</w:t>
            </w:r>
          </w:p>
        </w:tc>
      </w:tr>
      <w:tr>
        <w:trPr>
          <w:cantSplit/>
        </w:trPr>
        <w:tc>
          <w:tcPr>
            <w:tcW w:type="dxa" w:w="510"/>
            <w:vAlign w:val="center"/>
            <w:shd w:fill="F2F4F8"/>
            <w:tcMar>
              <w:top w:w="75" w:type="dxa"/>
              <w:bottom w:w="75" w:type="dxa"/>
              <w:left w:w="110" w:type="dxa"/>
              <w:right w:w="110" w:type="dxa"/>
            </w:tcMar>
          </w:tcPr>
          <w:p>
            <w:pPr>
              <w:spacing w:before="0" w:after="0" w:line="276" w:lineRule="auto"/>
              <w:jc w:val="center"/>
            </w:pPr>
            <w:r>
              <w:rPr>
                <w:rFonts w:ascii="Arial" w:hAnsi="Arial"/>
                <w:b/>
                <w:sz w:val="19"/>
              </w:rPr>
              <w:t>TOTAL</w:t>
            </w:r>
          </w:p>
        </w:tc>
        <w:tc>
          <w:tcPr>
            <w:tcW w:type="dxa" w:w="2948"/>
            <w:vAlign w:val="center"/>
            <w:shd w:fill="F2F4F8"/>
            <w:tcMar>
              <w:top w:w="75" w:type="dxa"/>
              <w:bottom w:w="75" w:type="dxa"/>
              <w:left w:w="110" w:type="dxa"/>
              <w:right w:w="110" w:type="dxa"/>
            </w:tcMar>
          </w:tcPr>
          <w:p>
            <w:pPr>
              <w:spacing w:before="0" w:after="0" w:line="276" w:lineRule="auto"/>
              <w:jc w:val="left"/>
            </w:pPr>
            <w:r>
              <w:rPr>
                <w:rFonts w:ascii="Arial" w:hAnsi="Arial"/>
                <w:b/>
                <w:sz w:val="19"/>
              </w:rPr>
              <w:t>JUMLAH KESELURUHAN</w:t>
            </w:r>
          </w:p>
        </w:tc>
        <w:tc>
          <w:tcPr>
            <w:tcW w:type="dxa" w:w="1587"/>
            <w:vAlign w:val="center"/>
            <w:shd w:fill="F2F4F8"/>
            <w:tcMar>
              <w:top w:w="75" w:type="dxa"/>
              <w:bottom w:w="75" w:type="dxa"/>
              <w:left w:w="110" w:type="dxa"/>
              <w:right w:w="110" w:type="dxa"/>
            </w:tcMar>
          </w:tcPr>
          <w:p>
            <w:pPr>
              <w:spacing w:before="0" w:after="0" w:line="276" w:lineRule="auto"/>
              <w:jc w:val="right"/>
            </w:pPr>
            <w:r>
              <w:rPr>
                <w:rFonts w:ascii="Arial" w:hAnsi="Arial"/>
                <w:b/>
                <w:sz w:val="19"/>
              </w:rPr>
              <w:t>413.000.000</w:t>
            </w:r>
          </w:p>
        </w:tc>
        <w:tc>
          <w:tcPr>
            <w:tcW w:type="dxa" w:w="1587"/>
            <w:vAlign w:val="center"/>
            <w:shd w:fill="F2F4F8"/>
            <w:tcMar>
              <w:top w:w="75" w:type="dxa"/>
              <w:bottom w:w="75" w:type="dxa"/>
              <w:left w:w="110" w:type="dxa"/>
              <w:right w:w="110" w:type="dxa"/>
            </w:tcMar>
          </w:tcPr>
          <w:p>
            <w:pPr>
              <w:spacing w:before="0" w:after="0" w:line="276" w:lineRule="auto"/>
              <w:jc w:val="right"/>
            </w:pPr>
            <w:r>
              <w:rPr>
                <w:rFonts w:ascii="Arial" w:hAnsi="Arial"/>
                <w:b/>
                <w:sz w:val="19"/>
              </w:rPr>
              <w:t>141.159.100</w:t>
            </w:r>
          </w:p>
        </w:tc>
        <w:tc>
          <w:tcPr>
            <w:tcW w:type="dxa" w:w="1587"/>
            <w:vAlign w:val="center"/>
            <w:shd w:fill="F2F4F8"/>
            <w:tcMar>
              <w:top w:w="75" w:type="dxa"/>
              <w:bottom w:w="75" w:type="dxa"/>
              <w:left w:w="110" w:type="dxa"/>
              <w:right w:w="110" w:type="dxa"/>
            </w:tcMar>
          </w:tcPr>
          <w:p>
            <w:pPr>
              <w:spacing w:before="0" w:after="0" w:line="276" w:lineRule="auto"/>
              <w:jc w:val="right"/>
            </w:pPr>
            <w:r>
              <w:rPr>
                <w:rFonts w:ascii="Arial" w:hAnsi="Arial"/>
                <w:b/>
                <w:sz w:val="19"/>
              </w:rPr>
              <w:t>271.840.900</w:t>
            </w:r>
          </w:p>
        </w:tc>
        <w:tc>
          <w:tcPr>
            <w:tcW w:type="dxa" w:w="1134"/>
            <w:vAlign w:val="center"/>
            <w:shd w:fill="F2F4F8"/>
            <w:tcMar>
              <w:top w:w="75" w:type="dxa"/>
              <w:bottom w:w="75" w:type="dxa"/>
              <w:left w:w="110" w:type="dxa"/>
              <w:right w:w="110" w:type="dxa"/>
            </w:tcMar>
          </w:tcPr>
          <w:p>
            <w:pPr>
              <w:spacing w:before="0" w:after="0" w:line="276" w:lineRule="auto"/>
              <w:jc w:val="right"/>
            </w:pPr>
            <w:r>
              <w:rPr>
                <w:rFonts w:ascii="Arial" w:hAnsi="Arial"/>
                <w:b/>
                <w:sz w:val="19"/>
              </w:rPr>
              <w:t>100,00%</w:t>
            </w:r>
          </w:p>
        </w:tc>
      </w:tr>
    </w:tbl>
    <w:p>
      <w:pPr>
        <w:spacing w:before="0" w:after="120"/>
      </w:pPr>
    </w:p>
    <w:p>
      <w:pPr>
        <w:keepNext/>
        <w:spacing w:before="160" w:after="80"/>
        <w:jc w:val="left"/>
      </w:pPr>
      <w:r>
        <w:rPr>
          <w:rFonts w:ascii="Arial" w:hAnsi="Arial"/>
          <w:b/>
          <w:sz w:val="21"/>
        </w:rPr>
        <w:t>BAB IV. PENUTUP</w:t>
      </w:r>
    </w:p>
    <w:p>
      <w:pPr>
        <w:spacing w:before="0" w:after="120" w:line="300" w:lineRule="auto"/>
        <w:jc w:val="both"/>
      </w:pPr>
      <w:r>
        <w:rPr>
          <w:rFonts w:ascii="Arial" w:hAnsi="Arial"/>
          <w:b w:val="0"/>
          <w:sz w:val="21"/>
        </w:rPr>
        <w:t>Seluruh rangkaian kegiatan Swakelola Tipe I Administrasi Kegiatan Pembangunan Gedung SPPG Provinsi Riau TA 2025 telah selesai dilaksanakan 100% dengan tertib administrasi, tepat waktu, dan menghasilkan efisiensi anggaran negara sebesar Rp 271.840.900,-.</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7"/>
        <w:gridCol w:w="4677"/>
      </w:tblGrid>
      <w:tr>
        <w:trPr>
          <w:cantSplit/>
        </w:trPr>
        <w:tc>
          <w:tcPr>
            <w:tcW w:type="dxa" w:w="4677"/>
          </w:tcPr>
          <w:p>
            <w:pPr>
              <w:spacing w:before="160" w:line="276" w:lineRule="auto"/>
              <w:jc w:val="left"/>
            </w:pPr>
            <w:r>
              <w:rPr>
                <w:rFonts w:ascii="Arial" w:hAnsi="Arial"/>
                <w:sz w:val="21"/>
              </w:rPr>
              <w:t>Disetujui oleh,</w:t>
              <w:br/>
            </w:r>
            <w:r>
              <w:rPr>
                <w:rFonts w:ascii="Arial" w:hAnsi="Arial"/>
                <w:b/>
                <w:sz w:val="21"/>
              </w:rPr>
              <w:t>Pejabat Pembuat Komitmen (PPK)</w:t>
              <w:br/>
              <w:t>Satker Pelaksanaan Prasarana Strategis Riau,</w:t>
              <w:br/>
              <w:br/>
              <w:br/>
              <w:br/>
            </w:r>
            <w:r>
              <w:rPr>
                <w:rFonts w:ascii="Arial" w:hAnsi="Arial"/>
                <w:b/>
                <w:sz w:val="21"/>
                <w:u w:val="single"/>
              </w:rPr>
              <w:t>Nurhidayat Nugroho, S.Ars.</w:t>
              <w:br/>
            </w:r>
            <w:r>
              <w:rPr>
                <w:rFonts w:ascii="Arial" w:hAnsi="Arial"/>
                <w:sz w:val="21"/>
              </w:rPr>
              <w:t>NIP. 19901221 201802 1 001</w:t>
            </w:r>
          </w:p>
        </w:tc>
        <w:tc>
          <w:tcPr>
            <w:tcW w:type="dxa" w:w="4677"/>
          </w:tcPr>
          <w:p>
            <w:pPr>
              <w:spacing w:before="160" w:line="276" w:lineRule="auto"/>
              <w:jc w:val="left"/>
            </w:pPr>
            <w:r>
              <w:rPr>
                <w:rFonts w:ascii="Arial" w:hAnsi="Arial"/>
                <w:sz w:val="21"/>
              </w:rPr>
              <w:t>Pekanbaru, 22 Desember 2025</w:t>
              <w:br/>
              <w:t>Disusun oleh,</w:t>
              <w:br/>
            </w:r>
            <w:r>
              <w:rPr>
                <w:rFonts w:ascii="Arial" w:hAnsi="Arial"/>
                <w:b/>
                <w:sz w:val="21"/>
              </w:rPr>
              <w:t>Ketua Tim Pelaksana Swakelola,</w:t>
              <w:br/>
              <w:br/>
              <w:br/>
              <w:br/>
            </w:r>
            <w:r>
              <w:rPr>
                <w:rFonts w:ascii="Arial" w:hAnsi="Arial"/>
                <w:b/>
                <w:sz w:val="21"/>
                <w:u w:val="single"/>
              </w:rPr>
              <w:t>Junaidi</w:t>
              <w:br/>
            </w:r>
            <w:r>
              <w:rPr>
                <w:rFonts w:ascii="Arial" w:hAnsi="Arial"/>
                <w:sz w:val="21"/>
              </w:rPr>
              <w:t>NIP. 19740704 200701 1 002</w:t>
            </w:r>
          </w:p>
        </w:tc>
      </w:tr>
    </w:tbl>
    <w:sectPr w:rsidR="00FC693F" w:rsidRPr="0006063C" w:rsidSect="00034616">
      <w:pgSz w:w="11906" w:h="16838"/>
      <w:pgMar w:top="1020"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