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jc w:val="center"/>
      </w:pPr>
      <w:r>
        <w:drawing>
          <wp:inline xmlns:a="http://schemas.openxmlformats.org/drawingml/2006/main" xmlns:pic="http://schemas.openxmlformats.org/drawingml/2006/picture">
            <wp:extent cx="5940000" cy="876504"/>
            <wp:docPr id="1" name="Picture 1"/>
            <wp:cNvGraphicFramePr>
              <a:graphicFrameLocks noChangeAspect="1"/>
            </wp:cNvGraphicFramePr>
            <a:graphic>
              <a:graphicData uri="http://schemas.openxmlformats.org/drawingml/2006/picture">
                <pic:pic>
                  <pic:nvPicPr>
                    <pic:cNvPr id="0" name="1775466518_6770018a33b3f91eebd0.png"/>
                    <pic:cNvPicPr/>
                  </pic:nvPicPr>
                  <pic:blipFill>
                    <a:blip r:embed="rId9"/>
                    <a:stretch>
                      <a:fillRect/>
                    </a:stretch>
                  </pic:blipFill>
                  <pic:spPr>
                    <a:xfrm>
                      <a:off x="0" y="0"/>
                      <a:ext cx="5940000" cy="876504"/>
                    </a:xfrm>
                    <a:prstGeom prst="rect"/>
                  </pic:spPr>
                </pic:pic>
              </a:graphicData>
            </a:graphic>
          </wp:inline>
        </w:drawing>
      </w:r>
    </w:p>
    <w:p>
      <w:pPr>
        <w:spacing w:before="40" w:after="40" w:line="276" w:lineRule="auto"/>
        <w:jc w:val="center"/>
      </w:pPr>
      <w:r>
        <w:rPr>
          <w:rFonts w:ascii="Arial" w:hAnsi="Arial"/>
          <w:b/>
          <w:sz w:val="23"/>
        </w:rPr>
        <w:t>BERITA ACARA PENYELESAIAN PEMBAYARAN DAN PERPAJAKAN</w:t>
      </w:r>
    </w:p>
    <w:p>
      <w:pPr>
        <w:spacing w:before="0" w:after="40" w:line="276" w:lineRule="auto"/>
        <w:jc w:val="center"/>
      </w:pPr>
      <w:r>
        <w:rPr>
          <w:rFonts w:ascii="Arial" w:hAnsi="Arial"/>
          <w:b/>
          <w:sz w:val="22"/>
        </w:rPr>
        <w:t>ADMINISTRASI KEGIATAN PEMBANGUNAN GEDUNG SPPG PROVINSI RIAU</w:t>
      </w:r>
    </w:p>
    <w:p>
      <w:pPr>
        <w:spacing w:before="0" w:after="40" w:line="276" w:lineRule="auto"/>
        <w:jc w:val="center"/>
      </w:pPr>
      <w:r>
        <w:rPr>
          <w:rFonts w:ascii="Arial" w:hAnsi="Arial"/>
          <w:b/>
          <w:sz w:val="22"/>
        </w:rPr>
        <w:t>TAHUN ANGGARAN 2025</w:t>
      </w:r>
    </w:p>
    <w:p>
      <w:pPr>
        <w:spacing w:before="40" w:after="200" w:line="276" w:lineRule="auto"/>
        <w:jc w:val="center"/>
      </w:pPr>
      <w:r>
        <w:rPr>
          <w:rFonts w:ascii="Arial" w:hAnsi="Arial"/>
          <w:b/>
          <w:sz w:val="21"/>
        </w:rPr>
        <w:t>NOMOR : 01/BA-PAJAK/SWK-SPPG/2025</w:t>
      </w:r>
    </w:p>
    <w:p>
      <w:pPr>
        <w:spacing w:before="0" w:after="120" w:line="300" w:lineRule="auto"/>
        <w:jc w:val="both"/>
      </w:pPr>
      <w:r>
        <w:rPr>
          <w:rFonts w:ascii="Arial" w:hAnsi="Arial"/>
          <w:b w:val="0"/>
          <w:sz w:val="21"/>
        </w:rPr>
        <w:t>Pejabat Pembuat Komitmen (PPK) bersama Pejabat Penandatangan Surat Perintah Membayar (PPSPM) dan Bendahara Pengeluaran Satuan Kerja Pelaksanaan Prasarana Strategis Riau menerangkan bahwa seluruh tagihan pembayaran dan kewajiban perpajakan negara atas pelaksanaan kegiatan Swakelola Tipe I Administrasi Kegiatan Pembangunan Gedung SPPG Provinsi Riau TA 2025 telah diselesaikan 100% sesuai ketentuan peraturan perpajakan yang berlaku.</w:t>
      </w:r>
    </w:p>
    <w:p>
      <w:pPr>
        <w:keepNext/>
        <w:spacing w:before="160" w:after="80"/>
        <w:jc w:val="left"/>
      </w:pPr>
      <w:r>
        <w:rPr>
          <w:rFonts w:ascii="Arial" w:hAnsi="Arial"/>
          <w:b/>
          <w:sz w:val="21"/>
        </w:rPr>
        <w:t>I. REKAPITULASI PEMOTONGAN DAN PENYETORAN PAJAK</w:t>
      </w:r>
    </w:p>
    <w:tbl>
      <w:tblPr>
        <w:tblW w:type="auto" w:w="0"/>
        <w:jc w:val="center"/>
        <w:tblLayout w:type="fixed"/>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336"/>
        <w:gridCol w:w="1336"/>
        <w:gridCol w:w="1336"/>
        <w:gridCol w:w="1336"/>
        <w:gridCol w:w="1336"/>
        <w:gridCol w:w="1336"/>
        <w:gridCol w:w="1336"/>
      </w:tblGrid>
      <w:tr>
        <w:trPr>
          <w:tblHeader/>
          <w:cantSplit/>
        </w:trPr>
        <w:tc>
          <w:tcPr>
            <w:tcW w:type="dxa" w:w="454"/>
            <w:vAlign w:val="center"/>
            <w:shd w:fill="D9E2F3"/>
            <w:tcMar>
              <w:top w:w="90" w:type="dxa"/>
              <w:bottom w:w="90" w:type="dxa"/>
              <w:left w:w="110" w:type="dxa"/>
              <w:right w:w="110" w:type="dxa"/>
            </w:tcMar>
          </w:tcPr>
          <w:p>
            <w:pPr>
              <w:spacing w:before="0" w:after="0" w:line="276" w:lineRule="auto"/>
              <w:jc w:val="center"/>
            </w:pPr>
            <w:r>
              <w:rPr>
                <w:rFonts w:ascii="Arial" w:hAnsi="Arial"/>
                <w:b/>
                <w:sz w:val="19"/>
              </w:rPr>
              <w:t>No.</w:t>
            </w:r>
          </w:p>
        </w:tc>
        <w:tc>
          <w:tcPr>
            <w:tcW w:type="dxa" w:w="1304"/>
            <w:vAlign w:val="center"/>
            <w:shd w:fill="D9E2F3"/>
            <w:tcMar>
              <w:top w:w="90" w:type="dxa"/>
              <w:bottom w:w="90" w:type="dxa"/>
              <w:left w:w="110" w:type="dxa"/>
              <w:right w:w="110" w:type="dxa"/>
            </w:tcMar>
          </w:tcPr>
          <w:p>
            <w:pPr>
              <w:spacing w:before="0" w:after="0" w:line="276" w:lineRule="auto"/>
              <w:jc w:val="center"/>
            </w:pPr>
            <w:r>
              <w:rPr>
                <w:rFonts w:ascii="Arial" w:hAnsi="Arial"/>
                <w:b/>
                <w:sz w:val="19"/>
              </w:rPr>
              <w:t>Nomor SPM &amp; Akun</w:t>
            </w:r>
          </w:p>
        </w:tc>
        <w:tc>
          <w:tcPr>
            <w:tcW w:type="dxa" w:w="2608"/>
            <w:vAlign w:val="center"/>
            <w:shd w:fill="D9E2F3"/>
            <w:tcMar>
              <w:top w:w="90" w:type="dxa"/>
              <w:bottom w:w="90" w:type="dxa"/>
              <w:left w:w="110" w:type="dxa"/>
              <w:right w:w="110" w:type="dxa"/>
            </w:tcMar>
          </w:tcPr>
          <w:p>
            <w:pPr>
              <w:spacing w:before="0" w:after="0" w:line="276" w:lineRule="auto"/>
              <w:jc w:val="center"/>
            </w:pPr>
            <w:r>
              <w:rPr>
                <w:rFonts w:ascii="Arial" w:hAnsi="Arial"/>
                <w:b/>
                <w:sz w:val="19"/>
              </w:rPr>
              <w:t>Uraian Transaksi Belanja</w:t>
            </w:r>
          </w:p>
        </w:tc>
        <w:tc>
          <w:tcPr>
            <w:tcW w:type="dxa" w:w="1247"/>
            <w:vAlign w:val="center"/>
            <w:shd w:fill="D9E2F3"/>
            <w:tcMar>
              <w:top w:w="90" w:type="dxa"/>
              <w:bottom w:w="90" w:type="dxa"/>
              <w:left w:w="110" w:type="dxa"/>
              <w:right w:w="110" w:type="dxa"/>
            </w:tcMar>
          </w:tcPr>
          <w:p>
            <w:pPr>
              <w:spacing w:before="0" w:after="0" w:line="276" w:lineRule="auto"/>
              <w:jc w:val="center"/>
            </w:pPr>
            <w:r>
              <w:rPr>
                <w:rFonts w:ascii="Arial" w:hAnsi="Arial"/>
                <w:b/>
                <w:sz w:val="19"/>
              </w:rPr>
              <w:t>Nilai Bruto (Rp)</w:t>
            </w:r>
          </w:p>
        </w:tc>
        <w:tc>
          <w:tcPr>
            <w:tcW w:type="dxa" w:w="1191"/>
            <w:vAlign w:val="center"/>
            <w:shd w:fill="D9E2F3"/>
            <w:tcMar>
              <w:top w:w="90" w:type="dxa"/>
              <w:bottom w:w="90" w:type="dxa"/>
              <w:left w:w="110" w:type="dxa"/>
              <w:right w:w="110" w:type="dxa"/>
            </w:tcMar>
          </w:tcPr>
          <w:p>
            <w:pPr>
              <w:spacing w:before="0" w:after="0" w:line="276" w:lineRule="auto"/>
              <w:jc w:val="center"/>
            </w:pPr>
            <w:r>
              <w:rPr>
                <w:rFonts w:ascii="Arial" w:hAnsi="Arial"/>
                <w:b/>
                <w:sz w:val="19"/>
              </w:rPr>
              <w:t>DPP (Rp)</w:t>
            </w:r>
          </w:p>
        </w:tc>
        <w:tc>
          <w:tcPr>
            <w:tcW w:type="dxa" w:w="1304"/>
            <w:vAlign w:val="center"/>
            <w:shd w:fill="D9E2F3"/>
            <w:tcMar>
              <w:top w:w="90" w:type="dxa"/>
              <w:bottom w:w="90" w:type="dxa"/>
              <w:left w:w="110" w:type="dxa"/>
              <w:right w:w="110" w:type="dxa"/>
            </w:tcMar>
          </w:tcPr>
          <w:p>
            <w:pPr>
              <w:spacing w:before="0" w:after="0" w:line="276" w:lineRule="auto"/>
              <w:jc w:val="center"/>
            </w:pPr>
            <w:r>
              <w:rPr>
                <w:rFonts w:ascii="Arial" w:hAnsi="Arial"/>
                <w:b/>
                <w:sz w:val="19"/>
              </w:rPr>
              <w:t>PPN 11% &amp; PPh 22 (Rp)</w:t>
            </w:r>
          </w:p>
        </w:tc>
        <w:tc>
          <w:tcPr>
            <w:tcW w:type="dxa" w:w="1247"/>
            <w:vAlign w:val="center"/>
            <w:shd w:fill="D9E2F3"/>
            <w:tcMar>
              <w:top w:w="90" w:type="dxa"/>
              <w:bottom w:w="90" w:type="dxa"/>
              <w:left w:w="110" w:type="dxa"/>
              <w:right w:w="110" w:type="dxa"/>
            </w:tcMar>
          </w:tcPr>
          <w:p>
            <w:pPr>
              <w:spacing w:before="0" w:after="0" w:line="276" w:lineRule="auto"/>
              <w:jc w:val="center"/>
            </w:pPr>
            <w:r>
              <w:rPr>
                <w:rFonts w:ascii="Arial" w:hAnsi="Arial"/>
                <w:b/>
                <w:sz w:val="19"/>
              </w:rPr>
              <w:t>Status Setor Kas Negara</w:t>
            </w:r>
          </w:p>
        </w:tc>
      </w:tr>
      <w:tr>
        <w:trPr>
          <w:cantSplit/>
        </w:trPr>
        <w:tc>
          <w:tcPr>
            <w:tcW w:type="dxa" w:w="454"/>
            <w:vAlign w:val="center"/>
            <w:tcMar>
              <w:top w:w="75" w:type="dxa"/>
              <w:bottom w:w="75" w:type="dxa"/>
              <w:left w:w="110" w:type="dxa"/>
              <w:right w:w="110" w:type="dxa"/>
            </w:tcMar>
          </w:tcPr>
          <w:p>
            <w:pPr>
              <w:spacing w:before="0" w:after="0" w:line="276" w:lineRule="auto"/>
              <w:jc w:val="center"/>
            </w:pPr>
            <w:r>
              <w:rPr>
                <w:rFonts w:ascii="Arial" w:hAnsi="Arial"/>
                <w:b w:val="0"/>
                <w:sz w:val="19"/>
              </w:rPr>
              <w:t>1</w:t>
            </w:r>
          </w:p>
        </w:tc>
        <w:tc>
          <w:tcPr>
            <w:tcW w:type="dxa" w:w="1304"/>
            <w:vAlign w:val="center"/>
            <w:tcMar>
              <w:top w:w="75" w:type="dxa"/>
              <w:bottom w:w="75" w:type="dxa"/>
              <w:left w:w="110" w:type="dxa"/>
              <w:right w:w="110" w:type="dxa"/>
            </w:tcMar>
          </w:tcPr>
          <w:p>
            <w:pPr>
              <w:spacing w:before="0" w:after="0" w:line="276" w:lineRule="auto"/>
              <w:jc w:val="left"/>
            </w:pPr>
            <w:r>
              <w:rPr>
                <w:rFonts w:ascii="Arial" w:hAnsi="Arial"/>
                <w:b w:val="0"/>
                <w:sz w:val="19"/>
              </w:rPr>
              <w:t>SPM 00315A</w:t>
              <w:br/>
              <w:t>(521211)</w:t>
            </w:r>
          </w:p>
        </w:tc>
        <w:tc>
          <w:tcPr>
            <w:tcW w:type="dxa" w:w="2608"/>
            <w:vAlign w:val="center"/>
            <w:tcMar>
              <w:top w:w="75" w:type="dxa"/>
              <w:bottom w:w="75" w:type="dxa"/>
              <w:left w:w="110" w:type="dxa"/>
              <w:right w:w="110" w:type="dxa"/>
            </w:tcMar>
          </w:tcPr>
          <w:p>
            <w:pPr>
              <w:spacing w:before="0" w:after="0" w:line="276" w:lineRule="auto"/>
              <w:jc w:val="both"/>
            </w:pPr>
            <w:r>
              <w:rPr>
                <w:rFonts w:ascii="Arial" w:hAnsi="Arial"/>
                <w:b w:val="0"/>
                <w:sz w:val="19"/>
              </w:rPr>
              <w:t>Pengadaan Alat Tulis Kantor (ATK) Kegiatan Administrasi SPPG</w:t>
            </w:r>
          </w:p>
        </w:tc>
        <w:tc>
          <w:tcPr>
            <w:tcW w:type="dxa" w:w="1247"/>
            <w:vAlign w:val="center"/>
            <w:tcMar>
              <w:top w:w="75" w:type="dxa"/>
              <w:bottom w:w="75" w:type="dxa"/>
              <w:left w:w="110" w:type="dxa"/>
              <w:right w:w="110" w:type="dxa"/>
            </w:tcMar>
          </w:tcPr>
          <w:p>
            <w:pPr>
              <w:spacing w:before="0" w:after="0" w:line="276" w:lineRule="auto"/>
              <w:jc w:val="right"/>
            </w:pPr>
            <w:r>
              <w:rPr>
                <w:rFonts w:ascii="Arial" w:hAnsi="Arial"/>
                <w:b w:val="0"/>
                <w:sz w:val="19"/>
              </w:rPr>
              <w:t>10.750.000</w:t>
            </w:r>
          </w:p>
        </w:tc>
        <w:tc>
          <w:tcPr>
            <w:tcW w:type="dxa" w:w="1191"/>
            <w:vAlign w:val="center"/>
            <w:tcMar>
              <w:top w:w="75" w:type="dxa"/>
              <w:bottom w:w="75" w:type="dxa"/>
              <w:left w:w="110" w:type="dxa"/>
              <w:right w:w="110" w:type="dxa"/>
            </w:tcMar>
          </w:tcPr>
          <w:p>
            <w:pPr>
              <w:spacing w:before="0" w:after="0" w:line="276" w:lineRule="auto"/>
              <w:jc w:val="right"/>
            </w:pPr>
            <w:r>
              <w:rPr>
                <w:rFonts w:ascii="Arial" w:hAnsi="Arial"/>
                <w:b w:val="0"/>
                <w:sz w:val="19"/>
              </w:rPr>
              <w:t>9.684.685</w:t>
            </w:r>
          </w:p>
        </w:tc>
        <w:tc>
          <w:tcPr>
            <w:tcW w:type="dxa" w:w="1304"/>
            <w:vAlign w:val="center"/>
            <w:tcMar>
              <w:top w:w="75" w:type="dxa"/>
              <w:bottom w:w="75" w:type="dxa"/>
              <w:left w:w="110" w:type="dxa"/>
              <w:right w:w="110" w:type="dxa"/>
            </w:tcMar>
          </w:tcPr>
          <w:p>
            <w:pPr>
              <w:spacing w:before="0" w:after="0" w:line="276" w:lineRule="auto"/>
              <w:jc w:val="left"/>
            </w:pPr>
            <w:r>
              <w:rPr>
                <w:rFonts w:ascii="Arial" w:hAnsi="Arial"/>
                <w:b w:val="0"/>
                <w:sz w:val="19"/>
              </w:rPr>
              <w:t>PPN: 1.065.315</w:t>
              <w:br/>
              <w:t>PPh 22: 145.270</w:t>
            </w:r>
          </w:p>
        </w:tc>
        <w:tc>
          <w:tcPr>
            <w:tcW w:type="dxa" w:w="1247"/>
            <w:vAlign w:val="center"/>
            <w:tcMar>
              <w:top w:w="75" w:type="dxa"/>
              <w:bottom w:w="75" w:type="dxa"/>
              <w:left w:w="110" w:type="dxa"/>
              <w:right w:w="110" w:type="dxa"/>
            </w:tcMar>
          </w:tcPr>
          <w:p>
            <w:pPr>
              <w:spacing w:before="0" w:after="0" w:line="276" w:lineRule="auto"/>
              <w:jc w:val="left"/>
            </w:pPr>
            <w:r>
              <w:rPr>
                <w:rFonts w:ascii="Arial" w:hAnsi="Arial"/>
                <w:b w:val="0"/>
                <w:sz w:val="19"/>
              </w:rPr>
              <w:t>Lunas Terpotong SPM / NTPN Sah</w:t>
            </w:r>
          </w:p>
        </w:tc>
      </w:tr>
      <w:tr>
        <w:trPr>
          <w:cantSplit/>
        </w:trPr>
        <w:tc>
          <w:tcPr>
            <w:tcW w:type="dxa" w:w="454"/>
            <w:vAlign w:val="center"/>
            <w:tcMar>
              <w:top w:w="75" w:type="dxa"/>
              <w:bottom w:w="75" w:type="dxa"/>
              <w:left w:w="110" w:type="dxa"/>
              <w:right w:w="110" w:type="dxa"/>
            </w:tcMar>
          </w:tcPr>
          <w:p>
            <w:pPr>
              <w:spacing w:before="0" w:after="0" w:line="276" w:lineRule="auto"/>
              <w:jc w:val="center"/>
            </w:pPr>
            <w:r>
              <w:rPr>
                <w:rFonts w:ascii="Arial" w:hAnsi="Arial"/>
                <w:b w:val="0"/>
                <w:sz w:val="19"/>
              </w:rPr>
              <w:t>2</w:t>
            </w:r>
          </w:p>
        </w:tc>
        <w:tc>
          <w:tcPr>
            <w:tcW w:type="dxa" w:w="1304"/>
            <w:vAlign w:val="center"/>
            <w:tcMar>
              <w:top w:w="75" w:type="dxa"/>
              <w:bottom w:w="75" w:type="dxa"/>
              <w:left w:w="110" w:type="dxa"/>
              <w:right w:w="110" w:type="dxa"/>
            </w:tcMar>
          </w:tcPr>
          <w:p>
            <w:pPr>
              <w:spacing w:before="0" w:after="0" w:line="276" w:lineRule="auto"/>
              <w:jc w:val="left"/>
            </w:pPr>
            <w:r>
              <w:rPr>
                <w:rFonts w:ascii="Arial" w:hAnsi="Arial"/>
                <w:b w:val="0"/>
                <w:sz w:val="19"/>
              </w:rPr>
              <w:t>SPM 00349A</w:t>
              <w:br/>
              <w:t>(521211)</w:t>
            </w:r>
          </w:p>
        </w:tc>
        <w:tc>
          <w:tcPr>
            <w:tcW w:type="dxa" w:w="2608"/>
            <w:vAlign w:val="center"/>
            <w:tcMar>
              <w:top w:w="75" w:type="dxa"/>
              <w:bottom w:w="75" w:type="dxa"/>
              <w:left w:w="110" w:type="dxa"/>
              <w:right w:w="110" w:type="dxa"/>
            </w:tcMar>
          </w:tcPr>
          <w:p>
            <w:pPr>
              <w:spacing w:before="0" w:after="0" w:line="276" w:lineRule="auto"/>
              <w:jc w:val="both"/>
            </w:pPr>
            <w:r>
              <w:rPr>
                <w:rFonts w:ascii="Arial" w:hAnsi="Arial"/>
                <w:b w:val="0"/>
                <w:sz w:val="19"/>
              </w:rPr>
              <w:t>Pengadaan Computer Supplies (Tinta &amp; Toner) Kegiatan SPPG</w:t>
            </w:r>
          </w:p>
        </w:tc>
        <w:tc>
          <w:tcPr>
            <w:tcW w:type="dxa" w:w="1247"/>
            <w:vAlign w:val="center"/>
            <w:tcMar>
              <w:top w:w="75" w:type="dxa"/>
              <w:bottom w:w="75" w:type="dxa"/>
              <w:left w:w="110" w:type="dxa"/>
              <w:right w:w="110" w:type="dxa"/>
            </w:tcMar>
          </w:tcPr>
          <w:p>
            <w:pPr>
              <w:spacing w:before="0" w:after="0" w:line="276" w:lineRule="auto"/>
              <w:jc w:val="right"/>
            </w:pPr>
            <w:r>
              <w:rPr>
                <w:rFonts w:ascii="Arial" w:hAnsi="Arial"/>
                <w:b w:val="0"/>
                <w:sz w:val="19"/>
              </w:rPr>
              <w:t>9.485.000</w:t>
            </w:r>
          </w:p>
        </w:tc>
        <w:tc>
          <w:tcPr>
            <w:tcW w:type="dxa" w:w="1191"/>
            <w:vAlign w:val="center"/>
            <w:tcMar>
              <w:top w:w="75" w:type="dxa"/>
              <w:bottom w:w="75" w:type="dxa"/>
              <w:left w:w="110" w:type="dxa"/>
              <w:right w:w="110" w:type="dxa"/>
            </w:tcMar>
          </w:tcPr>
          <w:p>
            <w:pPr>
              <w:spacing w:before="0" w:after="0" w:line="276" w:lineRule="auto"/>
              <w:jc w:val="right"/>
            </w:pPr>
            <w:r>
              <w:rPr>
                <w:rFonts w:ascii="Arial" w:hAnsi="Arial"/>
                <w:b w:val="0"/>
                <w:sz w:val="19"/>
              </w:rPr>
              <w:t>8.545.045</w:t>
            </w:r>
          </w:p>
        </w:tc>
        <w:tc>
          <w:tcPr>
            <w:tcW w:type="dxa" w:w="1304"/>
            <w:vAlign w:val="center"/>
            <w:tcMar>
              <w:top w:w="75" w:type="dxa"/>
              <w:bottom w:w="75" w:type="dxa"/>
              <w:left w:w="110" w:type="dxa"/>
              <w:right w:w="110" w:type="dxa"/>
            </w:tcMar>
          </w:tcPr>
          <w:p>
            <w:pPr>
              <w:spacing w:before="0" w:after="0" w:line="276" w:lineRule="auto"/>
              <w:jc w:val="left"/>
            </w:pPr>
            <w:r>
              <w:rPr>
                <w:rFonts w:ascii="Arial" w:hAnsi="Arial"/>
                <w:b w:val="0"/>
                <w:sz w:val="19"/>
              </w:rPr>
              <w:t>PPN: 939.955</w:t>
              <w:br/>
              <w:t>PPh 22: 128.176</w:t>
            </w:r>
          </w:p>
        </w:tc>
        <w:tc>
          <w:tcPr>
            <w:tcW w:type="dxa" w:w="1247"/>
            <w:vAlign w:val="center"/>
            <w:tcMar>
              <w:top w:w="75" w:type="dxa"/>
              <w:bottom w:w="75" w:type="dxa"/>
              <w:left w:w="110" w:type="dxa"/>
              <w:right w:w="110" w:type="dxa"/>
            </w:tcMar>
          </w:tcPr>
          <w:p>
            <w:pPr>
              <w:spacing w:before="0" w:after="0" w:line="276" w:lineRule="auto"/>
              <w:jc w:val="left"/>
            </w:pPr>
            <w:r>
              <w:rPr>
                <w:rFonts w:ascii="Arial" w:hAnsi="Arial"/>
                <w:b w:val="0"/>
                <w:sz w:val="19"/>
              </w:rPr>
              <w:t>Lunas Terpotong SPM / NTPN Sah</w:t>
            </w:r>
          </w:p>
        </w:tc>
      </w:tr>
      <w:tr>
        <w:trPr>
          <w:cantSplit/>
        </w:trPr>
        <w:tc>
          <w:tcPr>
            <w:tcW w:type="dxa" w:w="454"/>
            <w:vAlign w:val="center"/>
            <w:tcMar>
              <w:top w:w="75" w:type="dxa"/>
              <w:bottom w:w="75" w:type="dxa"/>
              <w:left w:w="110" w:type="dxa"/>
              <w:right w:w="110" w:type="dxa"/>
            </w:tcMar>
          </w:tcPr>
          <w:p>
            <w:pPr>
              <w:spacing w:before="0" w:after="0" w:line="276" w:lineRule="auto"/>
              <w:jc w:val="center"/>
            </w:pPr>
            <w:r>
              <w:rPr>
                <w:rFonts w:ascii="Arial" w:hAnsi="Arial"/>
                <w:b w:val="0"/>
                <w:sz w:val="19"/>
              </w:rPr>
              <w:t>3</w:t>
            </w:r>
          </w:p>
        </w:tc>
        <w:tc>
          <w:tcPr>
            <w:tcW w:type="dxa" w:w="1304"/>
            <w:vAlign w:val="center"/>
            <w:tcMar>
              <w:top w:w="75" w:type="dxa"/>
              <w:bottom w:w="75" w:type="dxa"/>
              <w:left w:w="110" w:type="dxa"/>
              <w:right w:w="110" w:type="dxa"/>
            </w:tcMar>
          </w:tcPr>
          <w:p>
            <w:pPr>
              <w:spacing w:before="0" w:after="0" w:line="276" w:lineRule="auto"/>
              <w:jc w:val="left"/>
            </w:pPr>
            <w:r>
              <w:rPr>
                <w:rFonts w:ascii="Arial" w:hAnsi="Arial"/>
                <w:b w:val="0"/>
                <w:sz w:val="19"/>
              </w:rPr>
              <w:t>8 SPM</w:t>
              <w:br/>
              <w:t>(524111)</w:t>
            </w:r>
          </w:p>
        </w:tc>
        <w:tc>
          <w:tcPr>
            <w:tcW w:type="dxa" w:w="2608"/>
            <w:vAlign w:val="center"/>
            <w:tcMar>
              <w:top w:w="75" w:type="dxa"/>
              <w:bottom w:w="75" w:type="dxa"/>
              <w:left w:w="110" w:type="dxa"/>
              <w:right w:w="110" w:type="dxa"/>
            </w:tcMar>
          </w:tcPr>
          <w:p>
            <w:pPr>
              <w:spacing w:before="0" w:after="0" w:line="276" w:lineRule="auto"/>
              <w:jc w:val="both"/>
            </w:pPr>
            <w:r>
              <w:rPr>
                <w:rFonts w:ascii="Arial" w:hAnsi="Arial"/>
                <w:b w:val="0"/>
                <w:sz w:val="19"/>
              </w:rPr>
              <w:t>Belanja Perjalanan Dinas Biasa Luar Kota (At Cost Personel)</w:t>
            </w:r>
          </w:p>
        </w:tc>
        <w:tc>
          <w:tcPr>
            <w:tcW w:type="dxa" w:w="1247"/>
            <w:vAlign w:val="center"/>
            <w:tcMar>
              <w:top w:w="75" w:type="dxa"/>
              <w:bottom w:w="75" w:type="dxa"/>
              <w:left w:w="110" w:type="dxa"/>
              <w:right w:w="110" w:type="dxa"/>
            </w:tcMar>
          </w:tcPr>
          <w:p>
            <w:pPr>
              <w:spacing w:before="0" w:after="0" w:line="276" w:lineRule="auto"/>
              <w:jc w:val="right"/>
            </w:pPr>
            <w:r>
              <w:rPr>
                <w:rFonts w:ascii="Arial" w:hAnsi="Arial"/>
                <w:b w:val="0"/>
                <w:sz w:val="19"/>
              </w:rPr>
              <w:t>114.974.100</w:t>
            </w:r>
          </w:p>
        </w:tc>
        <w:tc>
          <w:tcPr>
            <w:tcW w:type="dxa" w:w="1191"/>
            <w:vAlign w:val="center"/>
            <w:tcMar>
              <w:top w:w="75" w:type="dxa"/>
              <w:bottom w:w="75" w:type="dxa"/>
              <w:left w:w="110" w:type="dxa"/>
              <w:right w:w="110" w:type="dxa"/>
            </w:tcMar>
          </w:tcPr>
          <w:p>
            <w:pPr>
              <w:spacing w:before="0" w:after="0" w:line="276" w:lineRule="auto"/>
              <w:jc w:val="left"/>
            </w:pPr>
            <w:r>
              <w:rPr>
                <w:rFonts w:ascii="Arial" w:hAnsi="Arial"/>
                <w:b w:val="0"/>
                <w:sz w:val="19"/>
              </w:rPr>
              <w:t>-</w:t>
            </w:r>
          </w:p>
        </w:tc>
        <w:tc>
          <w:tcPr>
            <w:tcW w:type="dxa" w:w="1304"/>
            <w:vAlign w:val="center"/>
            <w:tcMar>
              <w:top w:w="75" w:type="dxa"/>
              <w:bottom w:w="75" w:type="dxa"/>
              <w:left w:w="110" w:type="dxa"/>
              <w:right w:w="110" w:type="dxa"/>
            </w:tcMar>
          </w:tcPr>
          <w:p>
            <w:pPr>
              <w:spacing w:before="0" w:after="0" w:line="276" w:lineRule="auto"/>
              <w:jc w:val="left"/>
            </w:pPr>
            <w:r>
              <w:rPr>
                <w:rFonts w:ascii="Arial" w:hAnsi="Arial"/>
                <w:b w:val="0"/>
                <w:sz w:val="19"/>
              </w:rPr>
              <w:t>Tidak Objek PPN/PPh</w:t>
            </w:r>
          </w:p>
        </w:tc>
        <w:tc>
          <w:tcPr>
            <w:tcW w:type="dxa" w:w="1247"/>
            <w:vAlign w:val="center"/>
            <w:tcMar>
              <w:top w:w="75" w:type="dxa"/>
              <w:bottom w:w="75" w:type="dxa"/>
              <w:left w:w="110" w:type="dxa"/>
              <w:right w:w="110" w:type="dxa"/>
            </w:tcMar>
          </w:tcPr>
          <w:p>
            <w:pPr>
              <w:spacing w:before="0" w:after="0" w:line="276" w:lineRule="auto"/>
              <w:jc w:val="center"/>
            </w:pPr>
            <w:r>
              <w:rPr>
                <w:rFonts w:ascii="Arial" w:hAnsi="Arial"/>
                <w:b w:val="0"/>
                <w:sz w:val="19"/>
              </w:rPr>
              <w:t>Lunas SP2D Terbit 100%</w:t>
            </w:r>
          </w:p>
        </w:tc>
      </w:tr>
      <w:tr>
        <w:trPr>
          <w:cantSplit/>
        </w:trPr>
        <w:tc>
          <w:tcPr>
            <w:tcW w:type="dxa" w:w="454"/>
            <w:vAlign w:val="center"/>
            <w:tcMar>
              <w:top w:w="75" w:type="dxa"/>
              <w:bottom w:w="75" w:type="dxa"/>
              <w:left w:w="110" w:type="dxa"/>
              <w:right w:w="110" w:type="dxa"/>
            </w:tcMar>
          </w:tcPr>
          <w:p>
            <w:pPr>
              <w:spacing w:before="0" w:after="0" w:line="276" w:lineRule="auto"/>
              <w:jc w:val="center"/>
            </w:pPr>
            <w:r>
              <w:rPr>
                <w:rFonts w:ascii="Arial" w:hAnsi="Arial"/>
                <w:b w:val="0"/>
                <w:sz w:val="19"/>
              </w:rPr>
              <w:t>4</w:t>
            </w:r>
          </w:p>
        </w:tc>
        <w:tc>
          <w:tcPr>
            <w:tcW w:type="dxa" w:w="1304"/>
            <w:vAlign w:val="center"/>
            <w:tcMar>
              <w:top w:w="75" w:type="dxa"/>
              <w:bottom w:w="75" w:type="dxa"/>
              <w:left w:w="110" w:type="dxa"/>
              <w:right w:w="110" w:type="dxa"/>
            </w:tcMar>
          </w:tcPr>
          <w:p>
            <w:pPr>
              <w:spacing w:before="0" w:after="0" w:line="276" w:lineRule="auto"/>
              <w:jc w:val="left"/>
            </w:pPr>
            <w:r>
              <w:rPr>
                <w:rFonts w:ascii="Arial" w:hAnsi="Arial"/>
                <w:b w:val="0"/>
                <w:sz w:val="19"/>
              </w:rPr>
              <w:t>SPM 00237A</w:t>
              <w:br/>
              <w:t>(524113)</w:t>
            </w:r>
          </w:p>
        </w:tc>
        <w:tc>
          <w:tcPr>
            <w:tcW w:type="dxa" w:w="2608"/>
            <w:vAlign w:val="center"/>
            <w:tcMar>
              <w:top w:w="75" w:type="dxa"/>
              <w:bottom w:w="75" w:type="dxa"/>
              <w:left w:w="110" w:type="dxa"/>
              <w:right w:w="110" w:type="dxa"/>
            </w:tcMar>
          </w:tcPr>
          <w:p>
            <w:pPr>
              <w:spacing w:before="0" w:after="0" w:line="276" w:lineRule="auto"/>
              <w:jc w:val="left"/>
            </w:pPr>
            <w:r>
              <w:rPr>
                <w:rFonts w:ascii="Arial" w:hAnsi="Arial"/>
                <w:b w:val="0"/>
                <w:sz w:val="19"/>
              </w:rPr>
              <w:t>Belanja Perjalanan Dinas Dalam Kota Pekanbaru</w:t>
            </w:r>
          </w:p>
        </w:tc>
        <w:tc>
          <w:tcPr>
            <w:tcW w:type="dxa" w:w="1247"/>
            <w:vAlign w:val="center"/>
            <w:tcMar>
              <w:top w:w="75" w:type="dxa"/>
              <w:bottom w:w="75" w:type="dxa"/>
              <w:left w:w="110" w:type="dxa"/>
              <w:right w:w="110" w:type="dxa"/>
            </w:tcMar>
          </w:tcPr>
          <w:p>
            <w:pPr>
              <w:spacing w:before="0" w:after="0" w:line="276" w:lineRule="auto"/>
              <w:jc w:val="right"/>
            </w:pPr>
            <w:r>
              <w:rPr>
                <w:rFonts w:ascii="Arial" w:hAnsi="Arial"/>
                <w:b w:val="0"/>
                <w:sz w:val="19"/>
              </w:rPr>
              <w:t>5.950.000</w:t>
            </w:r>
          </w:p>
        </w:tc>
        <w:tc>
          <w:tcPr>
            <w:tcW w:type="dxa" w:w="1191"/>
            <w:vAlign w:val="center"/>
            <w:tcMar>
              <w:top w:w="75" w:type="dxa"/>
              <w:bottom w:w="75" w:type="dxa"/>
              <w:left w:w="110" w:type="dxa"/>
              <w:right w:w="110" w:type="dxa"/>
            </w:tcMar>
          </w:tcPr>
          <w:p>
            <w:pPr>
              <w:spacing w:before="0" w:after="0" w:line="276" w:lineRule="auto"/>
              <w:jc w:val="left"/>
            </w:pPr>
            <w:r>
              <w:rPr>
                <w:rFonts w:ascii="Arial" w:hAnsi="Arial"/>
                <w:b w:val="0"/>
                <w:sz w:val="19"/>
              </w:rPr>
              <w:t>-</w:t>
            </w:r>
          </w:p>
        </w:tc>
        <w:tc>
          <w:tcPr>
            <w:tcW w:type="dxa" w:w="1304"/>
            <w:vAlign w:val="center"/>
            <w:tcMar>
              <w:top w:w="75" w:type="dxa"/>
              <w:bottom w:w="75" w:type="dxa"/>
              <w:left w:w="110" w:type="dxa"/>
              <w:right w:w="110" w:type="dxa"/>
            </w:tcMar>
          </w:tcPr>
          <w:p>
            <w:pPr>
              <w:spacing w:before="0" w:after="0" w:line="276" w:lineRule="auto"/>
              <w:jc w:val="left"/>
            </w:pPr>
            <w:r>
              <w:rPr>
                <w:rFonts w:ascii="Arial" w:hAnsi="Arial"/>
                <w:b w:val="0"/>
                <w:sz w:val="19"/>
              </w:rPr>
              <w:t>Tidak Objek PPN/PPh</w:t>
            </w:r>
          </w:p>
        </w:tc>
        <w:tc>
          <w:tcPr>
            <w:tcW w:type="dxa" w:w="1247"/>
            <w:vAlign w:val="center"/>
            <w:tcMar>
              <w:top w:w="75" w:type="dxa"/>
              <w:bottom w:w="75" w:type="dxa"/>
              <w:left w:w="110" w:type="dxa"/>
              <w:right w:w="110" w:type="dxa"/>
            </w:tcMar>
          </w:tcPr>
          <w:p>
            <w:pPr>
              <w:spacing w:before="0" w:after="0" w:line="276" w:lineRule="auto"/>
              <w:jc w:val="center"/>
            </w:pPr>
            <w:r>
              <w:rPr>
                <w:rFonts w:ascii="Arial" w:hAnsi="Arial"/>
                <w:b w:val="0"/>
                <w:sz w:val="19"/>
              </w:rPr>
              <w:t>Lunas SP2D Terbit 100%</w:t>
            </w:r>
          </w:p>
        </w:tc>
      </w:tr>
      <w:tr>
        <w:trPr>
          <w:cantSplit/>
        </w:trPr>
        <w:tc>
          <w:tcPr>
            <w:tcW w:type="dxa" w:w="454"/>
            <w:vAlign w:val="center"/>
            <w:shd w:fill="F2F4F8"/>
            <w:tcMar>
              <w:top w:w="75" w:type="dxa"/>
              <w:bottom w:w="75" w:type="dxa"/>
              <w:left w:w="110" w:type="dxa"/>
              <w:right w:w="110" w:type="dxa"/>
            </w:tcMar>
          </w:tcPr>
          <w:p>
            <w:pPr>
              <w:spacing w:before="0" w:after="0" w:line="276" w:lineRule="auto"/>
              <w:jc w:val="center"/>
            </w:pPr>
            <w:r>
              <w:rPr>
                <w:rFonts w:ascii="Arial" w:hAnsi="Arial"/>
                <w:b/>
                <w:sz w:val="19"/>
              </w:rPr>
              <w:t>TOTAL</w:t>
            </w:r>
          </w:p>
        </w:tc>
        <w:tc>
          <w:tcPr>
            <w:tcW w:type="dxa" w:w="1304"/>
            <w:vAlign w:val="center"/>
            <w:shd w:fill="F2F4F8"/>
            <w:tcMar>
              <w:top w:w="75" w:type="dxa"/>
              <w:bottom w:w="75" w:type="dxa"/>
              <w:left w:w="110" w:type="dxa"/>
              <w:right w:w="110" w:type="dxa"/>
            </w:tcMar>
          </w:tcPr>
          <w:p>
            <w:pPr>
              <w:spacing w:before="0" w:after="0" w:line="276" w:lineRule="auto"/>
              <w:jc w:val="left"/>
            </w:pPr>
            <w:r>
              <w:rPr>
                <w:rFonts w:ascii="Arial" w:hAnsi="Arial"/>
                <w:b/>
                <w:sz w:val="19"/>
              </w:rPr>
            </w:r>
          </w:p>
        </w:tc>
        <w:tc>
          <w:tcPr>
            <w:tcW w:type="dxa" w:w="2608"/>
            <w:vAlign w:val="center"/>
            <w:shd w:fill="F2F4F8"/>
            <w:tcMar>
              <w:top w:w="75" w:type="dxa"/>
              <w:bottom w:w="75" w:type="dxa"/>
              <w:left w:w="110" w:type="dxa"/>
              <w:right w:w="110" w:type="dxa"/>
            </w:tcMar>
          </w:tcPr>
          <w:p>
            <w:pPr>
              <w:spacing w:before="0" w:after="0" w:line="276" w:lineRule="auto"/>
              <w:jc w:val="left"/>
            </w:pPr>
            <w:r>
              <w:rPr>
                <w:rFonts w:ascii="Arial" w:hAnsi="Arial"/>
                <w:b/>
                <w:sz w:val="19"/>
              </w:rPr>
              <w:t>TOTAL PENYELESAIAN PEMBAYARAN &amp; PAJAK</w:t>
            </w:r>
          </w:p>
        </w:tc>
        <w:tc>
          <w:tcPr>
            <w:tcW w:type="dxa" w:w="1247"/>
            <w:vAlign w:val="center"/>
            <w:shd w:fill="F2F4F8"/>
            <w:tcMar>
              <w:top w:w="75" w:type="dxa"/>
              <w:bottom w:w="75" w:type="dxa"/>
              <w:left w:w="110" w:type="dxa"/>
              <w:right w:w="110" w:type="dxa"/>
            </w:tcMar>
          </w:tcPr>
          <w:p>
            <w:pPr>
              <w:spacing w:before="0" w:after="0" w:line="276" w:lineRule="auto"/>
              <w:jc w:val="right"/>
            </w:pPr>
            <w:r>
              <w:rPr>
                <w:rFonts w:ascii="Arial" w:hAnsi="Arial"/>
                <w:b/>
                <w:sz w:val="19"/>
              </w:rPr>
              <w:t>141.159.100</w:t>
            </w:r>
          </w:p>
        </w:tc>
        <w:tc>
          <w:tcPr>
            <w:tcW w:type="dxa" w:w="1191"/>
            <w:vAlign w:val="center"/>
            <w:shd w:fill="F2F4F8"/>
            <w:tcMar>
              <w:top w:w="75" w:type="dxa"/>
              <w:bottom w:w="75" w:type="dxa"/>
              <w:left w:w="110" w:type="dxa"/>
              <w:right w:w="110" w:type="dxa"/>
            </w:tcMar>
          </w:tcPr>
          <w:p>
            <w:pPr>
              <w:spacing w:before="0" w:after="0" w:line="276" w:lineRule="auto"/>
              <w:jc w:val="right"/>
            </w:pPr>
            <w:r>
              <w:rPr>
                <w:rFonts w:ascii="Arial" w:hAnsi="Arial"/>
                <w:b/>
                <w:sz w:val="19"/>
              </w:rPr>
              <w:t>18.229.730</w:t>
            </w:r>
          </w:p>
        </w:tc>
        <w:tc>
          <w:tcPr>
            <w:tcW w:type="dxa" w:w="1304"/>
            <w:vAlign w:val="center"/>
            <w:shd w:fill="F2F4F8"/>
            <w:tcMar>
              <w:top w:w="75" w:type="dxa"/>
              <w:bottom w:w="75" w:type="dxa"/>
              <w:left w:w="110" w:type="dxa"/>
              <w:right w:w="110" w:type="dxa"/>
            </w:tcMar>
          </w:tcPr>
          <w:p>
            <w:pPr>
              <w:spacing w:before="0" w:after="0" w:line="276" w:lineRule="auto"/>
              <w:jc w:val="right"/>
            </w:pPr>
            <w:r>
              <w:rPr>
                <w:rFonts w:ascii="Arial" w:hAnsi="Arial"/>
                <w:b/>
                <w:sz w:val="19"/>
              </w:rPr>
              <w:t>Rp 2.278.716</w:t>
            </w:r>
          </w:p>
        </w:tc>
        <w:tc>
          <w:tcPr>
            <w:tcW w:type="dxa" w:w="1247"/>
            <w:vAlign w:val="center"/>
            <w:shd w:fill="F2F4F8"/>
            <w:tcMar>
              <w:top w:w="75" w:type="dxa"/>
              <w:bottom w:w="75" w:type="dxa"/>
              <w:left w:w="110" w:type="dxa"/>
              <w:right w:w="110" w:type="dxa"/>
            </w:tcMar>
          </w:tcPr>
          <w:p>
            <w:pPr>
              <w:spacing w:before="0" w:after="0" w:line="276" w:lineRule="auto"/>
              <w:jc w:val="center"/>
            </w:pPr>
            <w:r>
              <w:rPr>
                <w:rFonts w:ascii="Arial" w:hAnsi="Arial"/>
                <w:b/>
                <w:sz w:val="19"/>
              </w:rPr>
              <w:t>100% LUNAS &amp; TUNTAS</w:t>
            </w:r>
          </w:p>
        </w:tc>
      </w:tr>
    </w:tbl>
    <w:p>
      <w:pPr>
        <w:spacing w:before="0" w:after="120"/>
      </w:pPr>
    </w:p>
    <w:p>
      <w:pPr>
        <w:spacing w:before="0" w:after="120" w:line="300" w:lineRule="auto"/>
        <w:jc w:val="both"/>
      </w:pPr>
      <w:r>
        <w:rPr>
          <w:rFonts w:ascii="Arial" w:hAnsi="Arial"/>
          <w:b w:val="0"/>
          <w:sz w:val="21"/>
        </w:rPr>
        <w:t>Seluruh bukti asli Surat Perintah Membayar (SPM), Surat Perintah Pencairan Dana (SP2D), Faktur Pajak, dan Bukti Penerimaan Negara (BPN/NTPN) telah diarsipkan pada berkas keuangan Satuan Kerja Pelaksanaan Prasarana Strategis Riau.</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7"/>
        <w:gridCol w:w="4677"/>
      </w:tblGrid>
      <w:tr>
        <w:trPr>
          <w:cantSplit/>
        </w:trPr>
        <w:tc>
          <w:tcPr>
            <w:tcW w:type="dxa" w:w="4677"/>
          </w:tcPr>
          <w:p>
            <w:pPr>
              <w:spacing w:before="160" w:line="276" w:lineRule="auto"/>
              <w:jc w:val="left"/>
            </w:pPr>
            <w:r>
              <w:rPr>
                <w:rFonts w:ascii="Arial" w:hAnsi="Arial"/>
                <w:sz w:val="21"/>
              </w:rPr>
              <w:t>Pejabat Penandatangan SPM,</w:t>
              <w:br/>
            </w:r>
            <w:r>
              <w:rPr>
                <w:rFonts w:ascii="Arial" w:hAnsi="Arial"/>
                <w:b/>
                <w:sz w:val="21"/>
              </w:rPr>
              <w:t>PPSPM Satker PPS Riau,</w:t>
              <w:br/>
              <w:br/>
              <w:br/>
              <w:br/>
            </w:r>
            <w:r>
              <w:rPr>
                <w:rFonts w:ascii="Arial" w:hAnsi="Arial"/>
                <w:b/>
                <w:sz w:val="21"/>
                <w:u w:val="single"/>
              </w:rPr>
              <w:t>Hendra, S.T.</w:t>
              <w:br/>
            </w:r>
            <w:r>
              <w:rPr>
                <w:rFonts w:ascii="Arial" w:hAnsi="Arial"/>
                <w:sz w:val="21"/>
              </w:rPr>
              <w:t>NIP. 19770909 200902 1 005</w:t>
            </w:r>
          </w:p>
        </w:tc>
        <w:tc>
          <w:tcPr>
            <w:tcW w:type="dxa" w:w="4677"/>
          </w:tcPr>
          <w:p>
            <w:pPr>
              <w:spacing w:before="160" w:line="276" w:lineRule="auto"/>
              <w:jc w:val="left"/>
            </w:pPr>
            <w:r>
              <w:rPr>
                <w:rFonts w:ascii="Arial" w:hAnsi="Arial"/>
                <w:sz w:val="21"/>
              </w:rPr>
              <w:t>Pekanbaru, 23 Desember 2025</w:t>
              <w:br/>
              <w:t>Bendahara Pengeluaran,</w:t>
              <w:br/>
            </w:r>
            <w:r>
              <w:rPr>
                <w:rFonts w:ascii="Arial" w:hAnsi="Arial"/>
                <w:b/>
                <w:sz w:val="21"/>
              </w:rPr>
              <w:t>Bendahara Pengeluaran Satker PPS Riau,</w:t>
              <w:br/>
              <w:br/>
              <w:br/>
              <w:br/>
            </w:r>
            <w:r>
              <w:rPr>
                <w:rFonts w:ascii="Arial" w:hAnsi="Arial"/>
                <w:b/>
                <w:sz w:val="21"/>
                <w:u w:val="single"/>
              </w:rPr>
              <w:t>Kh. Sri Handayani, S.Si., M.T.</w:t>
              <w:br/>
            </w:r>
            <w:r>
              <w:rPr>
                <w:rFonts w:ascii="Arial" w:hAnsi="Arial"/>
                <w:sz w:val="21"/>
              </w:rPr>
              <w:t>NIP. 19820402 201412 2 002</w:t>
            </w:r>
          </w:p>
        </w:tc>
      </w:tr>
    </w:tbl>
    <w:sectPr w:rsidR="00FC693F" w:rsidRPr="0006063C" w:rsidSect="00034616">
      <w:pgSz w:w="11906" w:h="16838"/>
      <w:pgMar w:top="1020"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