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2"/>
        </w:rPr>
        <w:t>KEMENTERIAN PEKERJAAN UMUM</w:t>
        <w:br/>
        <w:t>DIREKTORAT JENDERAL PRASARANA STRATEGIS</w:t>
        <w:br/>
        <w:t>SATUAN KERJA PELAKSANAAN PRASARANA STRATEGIS RIAU</w:t>
        <w:br/>
      </w:r>
    </w:p>
    <w:p>
      <w:pPr>
        <w:spacing w:before="0" w:after="160"/>
        <w:jc w:val="center"/>
      </w:pPr>
      <w:r>
        <w:rPr>
          <w:rFonts w:ascii="Arial" w:hAnsi="Arial"/>
          <w:color w:val="787878"/>
          <w:sz w:val="17"/>
        </w:rPr>
        <w:t>Jalan Bakti, Ruko Komplek Mutiara Asri Garden, Sidomulyo Timur, Marpoyan Damai, Pekanbaru</w:t>
        <w:br/>
        <w:t>—————————————————————————————————————————————————————————————————</w:t>
      </w:r>
    </w:p>
    <w:p>
      <w:pPr>
        <w:spacing w:before="160" w:after="200"/>
        <w:jc w:val="center"/>
      </w:pPr>
      <w:r>
        <w:rPr>
          <w:rFonts w:ascii="Arial" w:hAnsi="Arial"/>
          <w:b/>
          <w:sz w:val="23"/>
        </w:rPr>
        <w:t>DOKUMEN IDENTIFIKASI KEBUTUHAN DAN DASAR PEMILIHAN SWAKELOLA</w:t>
        <w:br/>
      </w:r>
      <w:r>
        <w:rPr>
          <w:rFonts w:ascii="Arial" w:hAnsi="Arial"/>
          <w:b/>
          <w:sz w:val="23"/>
        </w:rPr>
        <w:t>SERTA PERTIMBANGAN LAINNYA</w:t>
        <w:br/>
      </w:r>
      <w:r>
        <w:rPr>
          <w:rFonts w:ascii="Arial" w:hAnsi="Arial"/>
          <w:b/>
          <w:sz w:val="23"/>
        </w:rPr>
        <w:t>ADMINISTRASI KEGIATAN PEMBANGUNAN GEDUNG SPPG PROVINSI RIAU</w:t>
        <w:br/>
      </w:r>
      <w:r>
        <w:rPr>
          <w:rFonts w:ascii="Arial" w:hAnsi="Arial"/>
          <w:b/>
          <w:sz w:val="23"/>
        </w:rPr>
        <w:t>SATUAN KERJA PELAKSANAAN PRASARANA STRATEGIS RIAU</w:t>
        <w:br/>
      </w:r>
      <w:r>
        <w:rPr>
          <w:rFonts w:ascii="Arial" w:hAnsi="Arial"/>
          <w:b/>
          <w:sz w:val="23"/>
        </w:rPr>
        <w:t>TAHUN ANGGARAN 2025</w:t>
      </w:r>
    </w:p>
    <w:p>
      <w:r>
        <w:rPr>
          <w:rFonts w:ascii="Arial" w:hAnsi="Arial"/>
          <w:b/>
          <w:sz w:val="21"/>
        </w:rPr>
        <w:t>I. IDENTITAS KEGIATAN</w:t>
      </w:r>
    </w:p>
    <w:tbl>
      <w:tblPr>
        <w:tblW w:type="auto" w:w="0"/>
        <w:jc w:val="center"/>
        <w:tblLook w:firstColumn="1" w:firstRow="1" w:lastColumn="0" w:lastRow="0" w:noHBand="0" w:noVBand="1" w:val="04A0"/>
      </w:tblPr>
      <w:tblGrid>
        <w:gridCol w:w="3168"/>
        <w:gridCol w:w="6480"/>
      </w:tblGrid>
      <w:tr>
        <w:tc>
          <w:tcPr>
            <w:tcW w:type="dxa" w:w="4320"/>
            <w:shd w:val="clear" w:color="auto" w:fill="F5F5F5"/>
          </w:tcPr>
          <w:p>
            <w:r>
              <w:rPr>
                <w:rFonts w:ascii="Arial" w:hAnsi="Arial"/>
                <w:b/>
                <w:sz w:val="19"/>
              </w:rPr>
              <w:t>Kementerian/Lembaga</w:t>
            </w:r>
          </w:p>
        </w:tc>
        <w:tc>
          <w:tcPr>
            <w:tcW w:type="dxa" w:w="4320"/>
          </w:tcPr>
          <w:p>
            <w:r>
              <w:rPr>
                <w:rFonts w:ascii="Arial" w:hAnsi="Arial"/>
                <w:sz w:val="19"/>
              </w:rPr>
              <w:t>Kementerian Pekerjaan Umum</w:t>
            </w:r>
          </w:p>
        </w:tc>
      </w:tr>
      <w:tr>
        <w:tc>
          <w:tcPr>
            <w:tcW w:type="dxa" w:w="4320"/>
            <w:shd w:val="clear" w:color="auto" w:fill="F5F5F5"/>
          </w:tcPr>
          <w:p>
            <w:r>
              <w:rPr>
                <w:rFonts w:ascii="Arial" w:hAnsi="Arial"/>
                <w:b/>
                <w:sz w:val="19"/>
              </w:rPr>
              <w:t>Unit Eselon I</w:t>
            </w:r>
          </w:p>
        </w:tc>
        <w:tc>
          <w:tcPr>
            <w:tcW w:type="dxa" w:w="4320"/>
          </w:tcPr>
          <w:p>
            <w:r>
              <w:rPr>
                <w:rFonts w:ascii="Arial" w:hAnsi="Arial"/>
                <w:sz w:val="19"/>
              </w:rPr>
              <w:t>Direktorat Jenderal Prasarana Strategis</w:t>
            </w:r>
          </w:p>
        </w:tc>
      </w:tr>
      <w:tr>
        <w:tc>
          <w:tcPr>
            <w:tcW w:type="dxa" w:w="4320"/>
            <w:shd w:val="clear" w:color="auto" w:fill="F5F5F5"/>
          </w:tcPr>
          <w:p>
            <w:r>
              <w:rPr>
                <w:rFonts w:ascii="Arial" w:hAnsi="Arial"/>
                <w:b/>
                <w:sz w:val="19"/>
              </w:rPr>
              <w:t>Satuan Kerja</w:t>
            </w:r>
          </w:p>
        </w:tc>
        <w:tc>
          <w:tcPr>
            <w:tcW w:type="dxa" w:w="4320"/>
          </w:tcPr>
          <w:p>
            <w:r>
              <w:rPr>
                <w:rFonts w:ascii="Arial" w:hAnsi="Arial"/>
                <w:sz w:val="19"/>
              </w:rPr>
              <w:t>Satuan Kerja Pelaksanaan Prasarana Strategis Riau</w:t>
            </w:r>
          </w:p>
        </w:tc>
      </w:tr>
      <w:tr>
        <w:tc>
          <w:tcPr>
            <w:tcW w:type="dxa" w:w="4320"/>
            <w:shd w:val="clear" w:color="auto" w:fill="F5F5F5"/>
          </w:tcPr>
          <w:p>
            <w:r>
              <w:rPr>
                <w:rFonts w:ascii="Arial" w:hAnsi="Arial"/>
                <w:b/>
                <w:sz w:val="19"/>
              </w:rPr>
              <w:t>Nama Pekerjaan</w:t>
            </w:r>
          </w:p>
        </w:tc>
        <w:tc>
          <w:tcPr>
            <w:tcW w:type="dxa" w:w="4320"/>
          </w:tcPr>
          <w:p>
            <w:r>
              <w:rPr>
                <w:rFonts w:ascii="Arial" w:hAnsi="Arial"/>
                <w:sz w:val="19"/>
              </w:rPr>
              <w:t>Administrasi Kegiatan Pembangunan Gedung SPPG Provinsi Riau</w:t>
            </w:r>
          </w:p>
        </w:tc>
      </w:tr>
      <w:tr>
        <w:tc>
          <w:tcPr>
            <w:tcW w:type="dxa" w:w="4320"/>
            <w:shd w:val="clear" w:color="auto" w:fill="F5F5F5"/>
          </w:tcPr>
          <w:p>
            <w:r>
              <w:rPr>
                <w:rFonts w:ascii="Arial" w:hAnsi="Arial"/>
                <w:b/>
                <w:sz w:val="19"/>
              </w:rPr>
              <w:t>Klasifikasi RO</w:t>
            </w:r>
          </w:p>
        </w:tc>
        <w:tc>
          <w:tcPr>
            <w:tcW w:type="dxa" w:w="4320"/>
          </w:tcPr>
          <w:p>
            <w:r>
              <w:rPr>
                <w:rFonts w:ascii="Arial" w:hAnsi="Arial"/>
                <w:sz w:val="19"/>
              </w:rPr>
              <w:t>7717.CBI - Pembangunan Sarana Prasarana Strategis Lainnya</w:t>
            </w:r>
          </w:p>
        </w:tc>
      </w:tr>
      <w:tr>
        <w:tc>
          <w:tcPr>
            <w:tcW w:type="dxa" w:w="4320"/>
            <w:shd w:val="clear" w:color="auto" w:fill="F5F5F5"/>
          </w:tcPr>
          <w:p>
            <w:r>
              <w:rPr>
                <w:rFonts w:ascii="Arial" w:hAnsi="Arial"/>
                <w:b/>
                <w:sz w:val="19"/>
              </w:rPr>
              <w:t>PPK</w:t>
            </w:r>
          </w:p>
        </w:tc>
        <w:tc>
          <w:tcPr>
            <w:tcW w:type="dxa" w:w="4320"/>
          </w:tcPr>
          <w:p>
            <w:r>
              <w:rPr>
                <w:rFonts w:ascii="Arial" w:hAnsi="Arial"/>
                <w:sz w:val="19"/>
              </w:rPr>
              <w:t>Pejabat Pembuat Komitmen Pelaksanaan Prasarana Strategis</w:t>
            </w:r>
          </w:p>
        </w:tc>
      </w:tr>
      <w:tr>
        <w:tc>
          <w:tcPr>
            <w:tcW w:type="dxa" w:w="4320"/>
            <w:shd w:val="clear" w:color="auto" w:fill="F5F5F5"/>
          </w:tcPr>
          <w:p>
            <w:r>
              <w:rPr>
                <w:rFonts w:ascii="Arial" w:hAnsi="Arial"/>
                <w:b/>
                <w:sz w:val="19"/>
              </w:rPr>
              <w:t>Pagu Anggaran</w:t>
            </w:r>
          </w:p>
        </w:tc>
        <w:tc>
          <w:tcPr>
            <w:tcW w:type="dxa" w:w="4320"/>
          </w:tcPr>
          <w:p>
            <w:r>
              <w:rPr>
                <w:rFonts w:ascii="Arial" w:hAnsi="Arial"/>
                <w:sz w:val="19"/>
              </w:rPr>
              <w:t>Rp 413.000.000,- (APBN TA 2025)</w:t>
            </w:r>
          </w:p>
        </w:tc>
      </w:tr>
      <w:tr>
        <w:tc>
          <w:tcPr>
            <w:tcW w:type="dxa" w:w="4320"/>
            <w:shd w:val="clear" w:color="auto" w:fill="F5F5F5"/>
          </w:tcPr>
          <w:p>
            <w:r>
              <w:rPr>
                <w:rFonts w:ascii="Arial" w:hAnsi="Arial"/>
                <w:b/>
                <w:sz w:val="19"/>
              </w:rPr>
              <w:t>Jangka Waktu</w:t>
            </w:r>
          </w:p>
        </w:tc>
        <w:tc>
          <w:tcPr>
            <w:tcW w:type="dxa" w:w="4320"/>
          </w:tcPr>
          <w:p>
            <w:r>
              <w:rPr>
                <w:rFonts w:ascii="Arial" w:hAnsi="Arial"/>
                <w:sz w:val="19"/>
              </w:rPr>
              <w:t>September s/d Desember 2025 (4 bulan)</w:t>
            </w:r>
          </w:p>
        </w:tc>
      </w:tr>
      <w:tr>
        <w:tc>
          <w:tcPr>
            <w:tcW w:type="dxa" w:w="4320"/>
            <w:shd w:val="clear" w:color="auto" w:fill="F5F5F5"/>
          </w:tcPr>
          <w:p>
            <w:r>
              <w:rPr>
                <w:rFonts w:ascii="Arial" w:hAnsi="Arial"/>
                <w:b/>
                <w:sz w:val="19"/>
              </w:rPr>
              <w:t>Lokasi</w:t>
            </w:r>
          </w:p>
        </w:tc>
        <w:tc>
          <w:tcPr>
            <w:tcW w:type="dxa" w:w="4320"/>
          </w:tcPr>
          <w:p>
            <w:r>
              <w:rPr>
                <w:rFonts w:ascii="Arial" w:hAnsi="Arial"/>
                <w:sz w:val="19"/>
              </w:rPr>
              <w:t>Provinsi Riau (Pekanbaru, Kampar, Dumai, Siak)</w:t>
            </w:r>
          </w:p>
        </w:tc>
      </w:tr>
    </w:tbl>
    <w:p>
      <w:pPr>
        <w:spacing w:before="200" w:after="40"/>
      </w:pPr>
      <w:r>
        <w:rPr>
          <w:rFonts w:ascii="Arial" w:hAnsi="Arial"/>
          <w:b/>
          <w:sz w:val="21"/>
        </w:rPr>
        <w:t>II. IDENTIFIKASI KEBUTUHAN</w:t>
      </w:r>
    </w:p>
    <w:p>
      <w:pPr>
        <w:spacing w:before="0" w:after="120"/>
      </w:pPr>
      <w:r>
        <w:rPr>
          <w:rFonts w:ascii="Arial" w:hAnsi="Arial"/>
          <w:sz w:val="19"/>
        </w:rPr>
        <w:t>Program Makan Bergizi Gratis (MBG) merupakan salah satu program strategis nasional Kabinet Merah Putih sesuai Peraturan Presiden No. 12 Tahun 2025 tentang RPJMN 2025-2029 dan Perpres No. 83 Tahun 2024 tentang Badan Gizi Nasional (BGN). Berdasarkan Kesepakatan Bersama Menteri PU dan Kepala BGN No. 13/PKS/M/2025 tentang Sinergisitas Dukungan Pembangunan Satuan Pelayanan Pemenuhan Gizi (SPPG), Kementerian PU mendapat penugasan langsung untuk membangun gedung SPPG di berbagai wilayah.</w:t>
        <w:br/>
        <w:br/>
        <w:t>Dalam rangka mendukung percepatan, pengendalian mutu, kelancaran administratif, verifikasi lapangan calon lokasi, persiapan tender/pelaksanaan fisik, dan pelaporan berkala, Satker Pelaksanaan Prasarana Strategis Riau memerlukan kegiatan operasional administrasi dan pendampingan teknis.</w:t>
      </w:r>
    </w:p>
    <w:p>
      <w:pPr>
        <w:spacing w:before="200" w:after="40"/>
      </w:pPr>
      <w:r>
        <w:rPr>
          <w:rFonts w:ascii="Arial" w:hAnsi="Arial"/>
          <w:b/>
          <w:sz w:val="21"/>
        </w:rPr>
        <w:t>III. HASIL YANG DIHARAPKAN</w:t>
      </w:r>
    </w:p>
    <w:p>
      <w:pPr>
        <w:spacing w:before="0" w:after="120"/>
      </w:pPr>
      <w:r>
        <w:rPr>
          <w:rFonts w:ascii="Arial" w:hAnsi="Arial"/>
          <w:sz w:val="19"/>
        </w:rPr>
        <w:t>1. Terselenggaranya pendampingan administrasi pembangunan gedung SPPG di wilayah Provinsi Riau dari tahap persiapan hingga pelaksanaan selesai.</w:t>
        <w:br/>
        <w:t>2. Terlaksananya monitoring, survei lokasi, dan koordinasi lapangan ke lokasi pembangunan SPPG di Kabupaten Kampar, Kota Dumai, Kabupaten Siak, dan koordinasi teknis ke Ditjen Prasarana Strategis di Jakarta serta Balai/stakeholder terkait di Medan.</w:t>
        <w:br/>
        <w:t>3. Terpenuhinya kebutuhan bahan operasional administrasi, alat tulis kantor, dan suplies komputer perkantoran pendukung kelancaran kegiatan.</w:t>
        <w:br/>
        <w:t>4. Tersusunnya dokumen pelaporan dan pertanggungjawaban kegiatan secara akuntabel.</w:t>
      </w:r>
    </w:p>
    <w:p>
      <w:pPr>
        <w:spacing w:before="200" w:after="40"/>
      </w:pPr>
      <w:r>
        <w:rPr>
          <w:rFonts w:ascii="Arial" w:hAnsi="Arial"/>
          <w:b/>
          <w:sz w:val="21"/>
        </w:rPr>
        <w:t>IV. DASAR PEMILIHAN METODE SWAKELOLA TIPE I</w:t>
      </w:r>
    </w:p>
    <w:p>
      <w:pPr>
        <w:spacing w:before="0" w:after="120"/>
      </w:pPr>
      <w:r>
        <w:rPr>
          <w:rFonts w:ascii="Arial" w:hAnsi="Arial"/>
          <w:sz w:val="19"/>
        </w:rPr>
        <w:t>Sesuai ketentuan Peraturan Presiden No. 16 Tahun 2018 tentang Pengadaan Barang/Jasa Pemerintah sebagaimana diubah dengan Perpres No. 12 Tahun 2021 dan Peraturan LKPP No. 3 Tahun 2021 tentang Pedoman Swakelola:</w:t>
        <w:br/>
        <w:t>1. Pasal 1 angka 23 menetapkan bahwa Swakelola adalah cara memperoleh barang/jasa yang dikerjakan sendiri oleh K/L/PD, K/L/PD lain, ormas, atau kelompok masyarakat.</w:t>
        <w:br/>
        <w:t>2. Pasal 5 ayat (1) huruf a menetapkan Swakelola Tipe I yaitu Swakelola yang direncanakan, dilaksanakan, dan diawasi oleh K/L/PD penanggung jawab anggaran.</w:t>
        <w:br/>
        <w:t>3. Pemilihan metode Swakelola Tipe I didasarkan pada pertimbangan bahwa tugas administrasi dan pendampingan ini melekat secara organik pada tugas dan fungsi Satker Pelaksanaan Prasarana Strategis Riau, membutuhkan koordinasi kedinasan internal yang fleksibel, dan personil Satker memiliki kompetensi teknis serta manajerial yang memadai.</w:t>
      </w:r>
    </w:p>
    <w:p>
      <w:pPr>
        <w:spacing w:before="200" w:after="40"/>
      </w:pPr>
      <w:r>
        <w:rPr>
          <w:rFonts w:ascii="Arial" w:hAnsi="Arial"/>
          <w:b/>
          <w:sz w:val="21"/>
        </w:rPr>
        <w:t>V. ANALISIS KELAYAKAN TEKNIS DAN SUMBER DAYA</w:t>
      </w:r>
    </w:p>
    <w:p>
      <w:pPr>
        <w:spacing w:before="0" w:after="120"/>
      </w:pPr>
      <w:r>
        <w:rPr>
          <w:rFonts w:ascii="Arial" w:hAnsi="Arial"/>
          <w:sz w:val="19"/>
        </w:rPr>
        <w:t>1. Personel: Satker memiliki personil teknis bidang cipta karya/prasarana strategis, pengelola keuangan APBN tersertifikasi, dan pengawas internal.</w:t>
        <w:br/>
        <w:t>2. Sarana dan Prasarana: Didukung fasilitas kantor Satker, komputer, alat ukur/survei, dan kendaraan operasional dinas.</w:t>
        <w:br/>
        <w:t>3. Anggaran: Anggaran tersedia pada DIPA APBN Satker PPS Riau TA 2025 pada mata anggaran belanja bahan (521211) dan belanja perjalanan dinas (524111 dan 524113).</w:t>
      </w:r>
    </w:p>
    <w:p>
      <w:pPr>
        <w:spacing w:before="200" w:after="40"/>
      </w:pPr>
      <w:r>
        <w:rPr>
          <w:rFonts w:ascii="Arial" w:hAnsi="Arial"/>
          <w:b/>
          <w:sz w:val="21"/>
        </w:rPr>
        <w:t>VI. KESIMPULAN DAN REKOMENDASI</w:t>
      </w:r>
    </w:p>
    <w:p>
      <w:pPr>
        <w:spacing w:before="0" w:after="120"/>
      </w:pPr>
      <w:r>
        <w:rPr>
          <w:rFonts w:ascii="Arial" w:hAnsi="Arial"/>
          <w:sz w:val="19"/>
        </w:rPr>
        <w:t>Berdasarkan hasil identifikasi kebutuhan, analisis regulasi, dan ketersediaan sumber daya, disimpulkan bahwa kegiatan Administrasi Kegiatan Pembangunan Gedung SPPG Provinsi Riau TA 2025 sangat layak dan tepat dilaksanakan dengan metode SWAKELOLA TIPE I.</w:t>
      </w:r>
    </w:p>
    <w:p>
      <w:pPr>
        <w:spacing w:before="280" w:after="80"/>
        <w:jc w:val="right"/>
      </w:pPr>
      <w:r>
        <w:rPr>
          <w:rFonts w:ascii="Arial" w:hAnsi="Arial"/>
          <w:sz w:val="20"/>
        </w:rPr>
        <w:t>Pekanbaru, 22 September 2025</w:t>
      </w:r>
    </w:p>
    <w:tbl>
      <w:tblPr>
        <w:tblW w:type="auto" w:w="0"/>
        <w:jc w:val="center"/>
        <w:tblLook w:firstColumn="1" w:firstRow="1" w:lastColumn="0" w:lastRow="0" w:noHBand="0" w:noVBand="1" w:val="04A0"/>
      </w:tblPr>
      <w:tblGrid>
        <w:gridCol w:w="4608"/>
        <w:gridCol w:w="4608"/>
      </w:tblGrid>
      <w:tr>
        <w:tc>
          <w:tcPr>
            <w:tcW w:type="dxa" w:w="4320"/>
          </w:tcPr>
          <w:p>
            <w:pPr>
              <w:jc w:val="center"/>
            </w:pPr>
            <w:r>
              <w:rPr>
                <w:rFonts w:ascii="Arial" w:hAnsi="Arial"/>
                <w:b/>
                <w:sz w:val="20"/>
              </w:rPr>
              <w:t>Pejabat Pembuat Komitmen</w:t>
              <w:br/>
              <w:t>Pelaksanaan Prasarana Strategis</w:t>
            </w:r>
          </w:p>
        </w:tc>
        <w:tc>
          <w:tcPr>
            <w:tcW w:type="dxa" w:w="4320"/>
          </w:tcPr>
          <w:p>
            <w:pPr>
              <w:jc w:val="center"/>
            </w:pPr>
            <w:r>
              <w:rPr>
                <w:rFonts w:ascii="Arial" w:hAnsi="Arial"/>
                <w:b/>
                <w:sz w:val="20"/>
              </w:rPr>
              <w:t>Mengetahui,</w:t>
              <w:br/>
              <w:t>Kepala Satuan Kerja</w:t>
              <w:br/>
              <w:t>Pelaksanaan Prasarana Strategis Riau</w:t>
            </w:r>
          </w:p>
        </w:tc>
      </w:tr>
      <w:tr>
        <w:tc>
          <w:tcPr>
            <w:tcW w:type="dxa" w:w="4320"/>
          </w:tcPr>
          <w:p>
            <w:pPr>
              <w:jc w:val="center"/>
            </w:pPr>
            <w:r>
              <w:rPr>
                <w:rFonts w:ascii="Arial" w:hAnsi="Arial"/>
                <w:b/>
                <w:sz w:val="20"/>
              </w:rPr>
              <w:br/>
              <w:br/>
              <w:br/>
              <w:br/>
              <w:t>Nurhidayat Nugroho, S.Ars.</w:t>
              <w:br/>
              <w:t>NIP. 19901221 201802 1 001</w:t>
            </w:r>
          </w:p>
        </w:tc>
        <w:tc>
          <w:tcPr>
            <w:tcW w:type="dxa" w:w="4320"/>
          </w:tcPr>
          <w:p>
            <w:pPr>
              <w:jc w:val="center"/>
            </w:pPr>
            <w:r>
              <w:rPr>
                <w:rFonts w:ascii="Arial" w:hAnsi="Arial"/>
                <w:b/>
                <w:sz w:val="20"/>
              </w:rPr>
              <w:br/>
              <w:br/>
              <w:br/>
              <w:br/>
              <w:t>Muhammad Yudi Prasetya, S.T.</w:t>
              <w:br/>
              <w:t>NIP. 19800214 201412 1 002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