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sz w:val="22"/>
        </w:rPr>
        <w:t>KEMENTERIAN PEKERJAAN UMUM</w:t>
        <w:br/>
        <w:t>DIREKTORAT JENDERAL PRASARANA STRATEGIS</w:t>
        <w:br/>
        <w:t>SATUAN KERJA PELAKSANAAN PRASARANA STRATEGIS RIAU</w:t>
        <w:br/>
      </w:r>
    </w:p>
    <w:p>
      <w:pPr>
        <w:spacing w:before="0" w:after="160"/>
        <w:jc w:val="center"/>
      </w:pPr>
      <w:r>
        <w:rPr>
          <w:rFonts w:ascii="Arial" w:hAnsi="Arial"/>
          <w:color w:val="787878"/>
          <w:sz w:val="17"/>
        </w:rPr>
        <w:t>Jalan Bakti, Ruko Komplek Mutiara Asri Garden, Sidomulyo Timur, Marpoyan Damai, Pekanbaru</w:t>
        <w:br/>
        <w:t>—————————————————————————————————————————————————————————————————</w:t>
      </w:r>
    </w:p>
    <w:p>
      <w:pPr>
        <w:spacing w:before="160" w:after="200"/>
        <w:jc w:val="center"/>
      </w:pPr>
      <w:r>
        <w:rPr>
          <w:rFonts w:ascii="Arial" w:hAnsi="Arial"/>
          <w:b/>
          <w:sz w:val="23"/>
        </w:rPr>
        <w:t>KEPUTUSAN KUASA PENGGUNA ANGGARAN</w:t>
        <w:br/>
      </w:r>
      <w:r>
        <w:rPr>
          <w:rFonts w:ascii="Arial" w:hAnsi="Arial"/>
          <w:b/>
          <w:sz w:val="23"/>
        </w:rPr>
        <w:t>SATUAN KERJA PELAKSANAAN PRASARANA STRATEGIS RIAU</w:t>
        <w:br/>
      </w:r>
      <w:r>
        <w:rPr>
          <w:rFonts w:ascii="Arial" w:hAnsi="Arial"/>
          <w:b/>
          <w:sz w:val="23"/>
        </w:rPr>
        <w:t>NOMOR: 28/KPTS/SATKER-PPS.RIAU/2025</w:t>
        <w:br/>
      </w:r>
      <w:r>
        <w:rPr>
          <w:rFonts w:ascii="Arial" w:hAnsi="Arial"/>
          <w:b/>
          <w:sz w:val="23"/>
        </w:rPr>
        <w:t>TENTANG</w:t>
        <w:br/>
      </w:r>
      <w:r>
        <w:rPr>
          <w:rFonts w:ascii="Arial" w:hAnsi="Arial"/>
          <w:b/>
          <w:sz w:val="23"/>
        </w:rPr>
        <w:t>PENETAPAN PENYELENGGARA KEGIATAN SWAKELOLA (TIM PERSIAPAN, TIM PELAKSANA, DAN TIM PENGAWAS)</w:t>
        <w:br/>
      </w:r>
      <w:r>
        <w:rPr>
          <w:rFonts w:ascii="Arial" w:hAnsi="Arial"/>
          <w:b/>
          <w:sz w:val="23"/>
        </w:rPr>
        <w:t>ADMINISTRASI KEGIATAN PEMBANGUNAN GEDUNG SPPG PROVINSI RIAU</w:t>
        <w:br/>
      </w:r>
      <w:r>
        <w:rPr>
          <w:rFonts w:ascii="Arial" w:hAnsi="Arial"/>
          <w:b/>
          <w:sz w:val="23"/>
        </w:rPr>
        <w:t>TAHUN ANGGARAN 2025</w:t>
      </w:r>
    </w:p>
    <w:p>
      <w:r>
        <w:rPr>
          <w:rFonts w:ascii="Arial" w:hAnsi="Arial"/>
          <w:b/>
          <w:sz w:val="20"/>
        </w:rPr>
        <w:t>KUASA PENGGUNA ANGGARAN SATKER PELAKSANAAN PRASARANA STRATEGIS RIAU,</w:t>
        <w:br/>
      </w:r>
    </w:p>
    <w:p>
      <w:pPr>
        <w:spacing w:before="120" w:after="40"/>
      </w:pPr>
      <w:r>
        <w:rPr>
          <w:rFonts w:ascii="Arial" w:hAnsi="Arial"/>
          <w:b/>
          <w:sz w:val="20"/>
        </w:rPr>
        <w:t xml:space="preserve">Menimbang : </w:t>
      </w:r>
      <w:r>
        <w:rPr>
          <w:rFonts w:ascii="Arial" w:hAnsi="Arial"/>
          <w:sz w:val="19"/>
        </w:rPr>
        <w:t>a. bahwa dalam rangka mendukung kelancaran pelaksanaan Program Pembangunan Satuan Pelayanan Pemenuhan Gizi (SPPG) di Provinsi Riau TA 2025, dipandang perlu melaksanakan kegiatan Administrasi Kegiatan Pembangunan Gedung SPPG;</w:t>
        <w:br/>
        <w:t>b. bahwa pelaksanaan kegiatan dimaksud dilaksanakan dengan metode Swakelola Tipe I sesuai dengan Peraturan Lembaga Kebijakan Pengadaan Barang/Jasa Pemerintah Nomor 3 Tahun 2021;</w:t>
        <w:br/>
        <w:t>c. bahwa berdasarkan pertimbangan huruf a dan b di atas, perlu menetapkan Keputusan Kuasa Pengguna Anggaran tentang Penetapan Tim Persiapan, Tim Pelaksana, dan Tim Pengawas Swakelola.</w:t>
      </w:r>
    </w:p>
    <w:p>
      <w:pPr>
        <w:spacing w:before="120" w:after="40"/>
      </w:pPr>
      <w:r>
        <w:rPr>
          <w:rFonts w:ascii="Arial" w:hAnsi="Arial"/>
          <w:b/>
          <w:sz w:val="20"/>
        </w:rPr>
        <w:t xml:space="preserve">Mengingat : </w:t>
      </w:r>
      <w:r>
        <w:rPr>
          <w:rFonts w:ascii="Arial" w:hAnsi="Arial"/>
          <w:sz w:val="19"/>
        </w:rPr>
        <w:t>1. Undang-Undang Nomor 17 Tahun 2003 tentang Keuangan Negara;</w:t>
        <w:br/>
        <w:t>2. Peraturan Presiden Nomor 16 Tahun 2018 tentang Pengadaan Barang/Jasa Pemerintah jo Peraturan Presiden Nomor 12 Tahun 2021;</w:t>
        <w:br/>
        <w:t>3. Peraturan Presiden Nomor 83 Tahun 2024 tentang Badan Gizi Nasional;</w:t>
        <w:br/>
        <w:t>4. Peraturan Lembaga LKPP Nomor 3 Tahun 2021 tentang Pedoman Swakelola;</w:t>
        <w:br/>
        <w:t>5. DIPA Satker Pelaksanaan Prasarana Strategis Riau TA 2025 Nomor: DIPA-145.06.1.691285/2025 Tanggal 02 Desember 2024.</w:t>
      </w:r>
    </w:p>
    <w:p>
      <w:pPr>
        <w:spacing w:before="120" w:after="40"/>
        <w:jc w:val="center"/>
      </w:pPr>
      <w:r>
        <w:rPr>
          <w:rFonts w:ascii="Arial" w:hAnsi="Arial"/>
          <w:b/>
          <w:sz w:val="20"/>
        </w:rPr>
        <w:t>MEMUTUSKAN</w:t>
        <w:br/>
      </w:r>
    </w:p>
    <w:p>
      <w:pPr>
        <w:spacing w:before="120" w:after="40"/>
      </w:pPr>
      <w:r>
        <w:rPr>
          <w:rFonts w:ascii="Arial" w:hAnsi="Arial"/>
          <w:b/>
          <w:sz w:val="20"/>
        </w:rPr>
        <w:t>Menetapkan</w:t>
        <w:br/>
      </w:r>
      <w:r>
        <w:rPr>
          <w:rFonts w:ascii="Arial" w:hAnsi="Arial"/>
          <w:sz w:val="19"/>
        </w:rPr>
        <w:t>KESATU : Membentuk dan menetapkan Tim Penyelenggara Swakelola Kegiatan Administrasi Pembangunan Gedung SPPG Provinsi Riau TA 2025 yang terdiri dari Tim Persiapan, Tim Pelaksana, dan Tim Pengawas sebagaimana tercantum dalam Lampiran Keputusan ini.</w:t>
        <w:br/>
        <w:br/>
        <w:t>KEDUA : Tim Persiapan bertugas menyusun KAK final, menyusun rincian rencana kegiatan dan jadwal pelaksanaan, menyusun rencana kebutuhan personil dan bahan, serta memfasilitasi pembahasan persiapan swakelola.</w:t>
        <w:br/>
        <w:br/>
        <w:t>KETIGA : Tim Pelaksana bertugas melaksanakan seluruh rangkaian kegiatan administrasi dan teknis lapangan, memfasilitasi belanja bahan dan ATK, melaksanakan kegiatan koordinasi/monitoring ke lokasi SPPG, membuat daftar hadir dan dokumentasi, serta menyusun laporan progres berkala.</w:t>
        <w:br/>
        <w:br/>
        <w:t>KEEMPAT : Tim Pengawas bertugas melakukan pemantauan dan pengawasan atas kesesuaian volume, spesifikasi bahan, mutu, waktu pelaksanaan, serta melakukan rekonsiliasi realisasi anggaran terhadap rencana.</w:t>
        <w:br/>
        <w:br/>
        <w:t>KELIMA : Keputusan ini berlaku sejak tanggal ditetapkan dengan ketentuan apabila di kemudian hari terdapat kekeliruan akan diperbaiki sebagaimana mestinya.</w:t>
      </w:r>
    </w:p>
    <w:p>
      <w:pPr>
        <w:spacing w:before="280" w:after="80"/>
        <w:jc w:val="right"/>
      </w:pPr>
      <w:r>
        <w:rPr>
          <w:rFonts w:ascii="Arial" w:hAnsi="Arial"/>
          <w:sz w:val="20"/>
        </w:rPr>
      </w:r>
    </w:p>
    <w:p>
      <w:pPr>
        <w:jc w:val="right"/>
      </w:pPr>
      <w:r>
        <w:rPr>
          <w:rFonts w:ascii="Arial" w:hAnsi="Arial"/>
          <w:b/>
          <w:sz w:val="20"/>
        </w:rPr>
        <w:t>Ditetapkan di : Pekanbaru</w:t>
        <w:br/>
        <w:t>Pada tanggal : 23 September 2025</w:t>
        <w:br/>
        <w:br/>
        <w:t>Kepala Satuan Kerja</w:t>
        <w:br/>
        <w:t>Pelaksanaan Prasarana Strategis Riau</w:t>
        <w:br/>
        <w:t>selaku Kuasa Pengguna Anggaran</w:t>
      </w:r>
    </w:p>
    <w:p>
      <w:pPr>
        <w:jc w:val="right"/>
      </w:pPr>
      <w:r>
        <w:rPr>
          <w:rFonts w:ascii="Arial" w:hAnsi="Arial"/>
          <w:b/>
          <w:sz w:val="20"/>
        </w:rPr>
        <w:br/>
        <w:br/>
        <w:br/>
        <w:br/>
        <w:t>Muhammad Yudi Prasetya, S.T.</w:t>
        <w:br/>
        <w:t>NIP. 19800214 201412 1 002</w:t>
      </w:r>
    </w:p>
    <w:p>
      <w:r>
        <w:br w:type="page"/>
      </w:r>
    </w:p>
    <w:p>
      <w:pPr>
        <w:jc w:val="right"/>
      </w:pPr>
      <w:r>
        <w:rPr>
          <w:rFonts w:ascii="Arial" w:hAnsi="Arial"/>
          <w:b/>
          <w:sz w:val="18"/>
        </w:rPr>
        <w:t>LAMPIRAN SURAT KEPUTUSAN KPA SATKER PPS RIAU</w:t>
        <w:br/>
        <w:t>NOMOR : 28/KPTS/SATKER-PPS.RIAU/2025</w:t>
        <w:br/>
        <w:t>TANGGAL : 23 SEPTEMBER 2025</w:t>
        <w:br/>
        <w:br/>
      </w:r>
    </w:p>
    <w:p>
      <w:pPr>
        <w:jc w:val="center"/>
      </w:pPr>
      <w:r>
        <w:rPr>
          <w:rFonts w:ascii="Arial" w:hAnsi="Arial"/>
          <w:b/>
          <w:sz w:val="22"/>
        </w:rPr>
        <w:t>SUSUNAN TIM PENYELENGGARA SWAKELOLA</w:t>
        <w:br/>
        <w:t>KEGIATAN ADMINISTRASI PEMBANGUNAN GEDUNG SPPG PROVINSI RIAU TA 2025</w:t>
        <w:br/>
      </w:r>
    </w:p>
    <w:tbl>
      <w:tblPr>
        <w:tblW w:type="auto" w:w="0"/>
        <w:jc w:val="center"/>
        <w:tblLook w:firstColumn="1" w:firstRow="1" w:lastColumn="0" w:lastRow="0" w:noHBand="0" w:noVBand="1" w:val="04A0"/>
      </w:tblPr>
      <w:tblGrid>
        <w:gridCol w:w="2160"/>
        <w:gridCol w:w="2160"/>
        <w:gridCol w:w="2160"/>
        <w:gridCol w:w="2160"/>
      </w:tblGrid>
      <w:tr>
        <w:tc>
          <w:tcPr>
            <w:tcW w:type="dxa" w:w="2160"/>
            <w:shd w:val="clear" w:color="auto" w:fill="E0E0E0"/>
          </w:tcPr>
          <w:p>
            <w:r>
              <w:rPr>
                <w:rFonts w:ascii="Arial" w:hAnsi="Arial"/>
                <w:b/>
                <w:sz w:val="18"/>
              </w:rPr>
              <w:t>NO</w:t>
            </w:r>
          </w:p>
        </w:tc>
        <w:tc>
          <w:tcPr>
            <w:tcW w:type="dxa" w:w="2160"/>
            <w:shd w:val="clear" w:color="auto" w:fill="E0E0E0"/>
          </w:tcPr>
          <w:p>
            <w:r>
              <w:rPr>
                <w:rFonts w:ascii="Arial" w:hAnsi="Arial"/>
                <w:b/>
                <w:sz w:val="18"/>
              </w:rPr>
              <w:t>NAMA / NIP</w:t>
            </w:r>
          </w:p>
        </w:tc>
        <w:tc>
          <w:tcPr>
            <w:tcW w:type="dxa" w:w="2160"/>
            <w:shd w:val="clear" w:color="auto" w:fill="E0E0E0"/>
          </w:tcPr>
          <w:p>
            <w:r>
              <w:rPr>
                <w:rFonts w:ascii="Arial" w:hAnsi="Arial"/>
                <w:b/>
                <w:sz w:val="18"/>
              </w:rPr>
              <w:t>JABATAN DALAM SATKER</w:t>
            </w:r>
          </w:p>
        </w:tc>
        <w:tc>
          <w:tcPr>
            <w:tcW w:type="dxa" w:w="2160"/>
            <w:shd w:val="clear" w:color="auto" w:fill="E0E0E0"/>
          </w:tcPr>
          <w:p>
            <w:r>
              <w:rPr>
                <w:rFonts w:ascii="Arial" w:hAnsi="Arial"/>
                <w:b/>
                <w:sz w:val="18"/>
              </w:rPr>
              <w:t>KEDUDUKAN DALAM TIM</w:t>
            </w:r>
          </w:p>
        </w:tc>
      </w:tr>
      <w:tr>
        <w:tc>
          <w:tcPr>
            <w:tcW w:type="dxa" w:w="2160"/>
            <w:shd w:val="clear" w:color="auto" w:fill="F0F0F0"/>
          </w:tcPr>
          <w:p>
            <w:r>
              <w:rPr>
                <w:rFonts w:ascii="Arial" w:hAnsi="Arial"/>
                <w:b/>
                <w:sz w:val="17"/>
              </w:rPr>
              <w:t>I</w:t>
            </w:r>
          </w:p>
        </w:tc>
        <w:tc>
          <w:tcPr>
            <w:tcW w:type="dxa" w:w="2160"/>
            <w:shd w:val="clear" w:color="auto" w:fill="F0F0F0"/>
          </w:tcPr>
          <w:p>
            <w:r>
              <w:rPr>
                <w:rFonts w:ascii="Arial" w:hAnsi="Arial"/>
                <w:b/>
                <w:sz w:val="17"/>
              </w:rPr>
              <w:t>TIM PERSIAPAN</w:t>
            </w:r>
          </w:p>
        </w:tc>
        <w:tc>
          <w:tcPr>
            <w:tcW w:type="dxa" w:w="2160"/>
            <w:shd w:val="clear" w:color="auto" w:fill="F0F0F0"/>
          </w:tcPr>
          <w:p>
            <w:r>
              <w:rPr>
                <w:rFonts w:ascii="Arial" w:hAnsi="Arial"/>
                <w:b/>
                <w:sz w:val="17"/>
              </w:rPr>
            </w:r>
          </w:p>
        </w:tc>
        <w:tc>
          <w:tcPr>
            <w:tcW w:type="dxa" w:w="2160"/>
            <w:shd w:val="clear" w:color="auto" w:fill="F0F0F0"/>
          </w:tcPr>
          <w:p>
            <w:r>
              <w:rPr>
                <w:rFonts w:ascii="Arial" w:hAnsi="Arial"/>
                <w:b/>
                <w:sz w:val="17"/>
              </w:rPr>
            </w:r>
          </w:p>
        </w:tc>
      </w:tr>
      <w:tr>
        <w:tc>
          <w:tcPr>
            <w:tcW w:type="dxa" w:w="2160"/>
          </w:tcPr>
          <w:p>
            <w:r>
              <w:rPr>
                <w:rFonts w:ascii="Arial" w:hAnsi="Arial"/>
                <w:b/>
                <w:sz w:val="17"/>
              </w:rPr>
              <w:t>1</w:t>
            </w:r>
          </w:p>
        </w:tc>
        <w:tc>
          <w:tcPr>
            <w:tcW w:type="dxa" w:w="2160"/>
          </w:tcPr>
          <w:p>
            <w:r>
              <w:rPr>
                <w:rFonts w:ascii="Arial" w:hAnsi="Arial"/>
                <w:sz w:val="17"/>
              </w:rPr>
              <w:t>Nurulia Sefriandari, S.T.</w:t>
              <w:br/>
              <w:t>NIP. -</w:t>
            </w:r>
          </w:p>
        </w:tc>
        <w:tc>
          <w:tcPr>
            <w:tcW w:type="dxa" w:w="2160"/>
          </w:tcPr>
          <w:p>
            <w:r>
              <w:rPr>
                <w:rFonts w:ascii="Arial" w:hAnsi="Arial"/>
                <w:sz w:val="17"/>
              </w:rPr>
              <w:t>Asisten Administrasi &amp; Keuangan</w:t>
            </w:r>
          </w:p>
        </w:tc>
        <w:tc>
          <w:tcPr>
            <w:tcW w:type="dxa" w:w="2160"/>
          </w:tcPr>
          <w:p>
            <w:r>
              <w:rPr>
                <w:rFonts w:ascii="Arial" w:hAnsi="Arial"/>
                <w:b/>
                <w:sz w:val="17"/>
              </w:rPr>
              <w:t>Ketua Tim Persiapan</w:t>
            </w:r>
          </w:p>
        </w:tc>
      </w:tr>
      <w:tr>
        <w:tc>
          <w:tcPr>
            <w:tcW w:type="dxa" w:w="2160"/>
          </w:tcPr>
          <w:p>
            <w:r>
              <w:rPr>
                <w:rFonts w:ascii="Arial" w:hAnsi="Arial"/>
                <w:b/>
                <w:sz w:val="17"/>
              </w:rPr>
              <w:t>2</w:t>
            </w:r>
          </w:p>
        </w:tc>
        <w:tc>
          <w:tcPr>
            <w:tcW w:type="dxa" w:w="2160"/>
          </w:tcPr>
          <w:p>
            <w:r>
              <w:rPr>
                <w:rFonts w:ascii="Arial" w:hAnsi="Arial"/>
                <w:sz w:val="17"/>
              </w:rPr>
              <w:t>Firmansyah, S.E.</w:t>
              <w:br/>
              <w:t>NIPPPK. 19810327 202521 1 023</w:t>
            </w:r>
          </w:p>
        </w:tc>
        <w:tc>
          <w:tcPr>
            <w:tcW w:type="dxa" w:w="2160"/>
          </w:tcPr>
          <w:p>
            <w:r>
              <w:rPr>
                <w:rFonts w:ascii="Arial" w:hAnsi="Arial"/>
                <w:sz w:val="17"/>
              </w:rPr>
              <w:t>Staf Verifikasi &amp; Keuangan</w:t>
            </w:r>
          </w:p>
        </w:tc>
        <w:tc>
          <w:tcPr>
            <w:tcW w:type="dxa" w:w="2160"/>
          </w:tcPr>
          <w:p>
            <w:r>
              <w:rPr>
                <w:rFonts w:ascii="Arial" w:hAnsi="Arial"/>
                <w:b/>
                <w:sz w:val="17"/>
              </w:rPr>
              <w:t>Anggota</w:t>
            </w:r>
          </w:p>
        </w:tc>
      </w:tr>
      <w:tr>
        <w:tc>
          <w:tcPr>
            <w:tcW w:type="dxa" w:w="2160"/>
          </w:tcPr>
          <w:p>
            <w:r>
              <w:rPr>
                <w:rFonts w:ascii="Arial" w:hAnsi="Arial"/>
                <w:b/>
                <w:sz w:val="17"/>
              </w:rPr>
              <w:t>3</w:t>
            </w:r>
          </w:p>
        </w:tc>
        <w:tc>
          <w:tcPr>
            <w:tcW w:type="dxa" w:w="2160"/>
          </w:tcPr>
          <w:p>
            <w:r>
              <w:rPr>
                <w:rFonts w:ascii="Arial" w:hAnsi="Arial"/>
                <w:sz w:val="17"/>
              </w:rPr>
              <w:t>Herlinda, A.Md.</w:t>
              <w:br/>
              <w:t>NIPPPK. 19870604 202521 2 049</w:t>
            </w:r>
          </w:p>
        </w:tc>
        <w:tc>
          <w:tcPr>
            <w:tcW w:type="dxa" w:w="2160"/>
          </w:tcPr>
          <w:p>
            <w:r>
              <w:rPr>
                <w:rFonts w:ascii="Arial" w:hAnsi="Arial"/>
                <w:sz w:val="17"/>
              </w:rPr>
              <w:t>Staf Administrasi &amp; Verifikasi</w:t>
            </w:r>
          </w:p>
        </w:tc>
        <w:tc>
          <w:tcPr>
            <w:tcW w:type="dxa" w:w="2160"/>
          </w:tcPr>
          <w:p>
            <w:r>
              <w:rPr>
                <w:rFonts w:ascii="Arial" w:hAnsi="Arial"/>
                <w:b/>
                <w:sz w:val="17"/>
              </w:rPr>
              <w:t>Anggota</w:t>
            </w:r>
          </w:p>
        </w:tc>
      </w:tr>
      <w:tr>
        <w:tc>
          <w:tcPr>
            <w:tcW w:type="dxa" w:w="2160"/>
            <w:shd w:val="clear" w:color="auto" w:fill="F0F0F0"/>
          </w:tcPr>
          <w:p>
            <w:r>
              <w:rPr>
                <w:rFonts w:ascii="Arial" w:hAnsi="Arial"/>
                <w:b/>
                <w:sz w:val="17"/>
              </w:rPr>
              <w:t>II</w:t>
            </w:r>
          </w:p>
        </w:tc>
        <w:tc>
          <w:tcPr>
            <w:tcW w:type="dxa" w:w="2160"/>
            <w:shd w:val="clear" w:color="auto" w:fill="F0F0F0"/>
          </w:tcPr>
          <w:p>
            <w:r>
              <w:rPr>
                <w:rFonts w:ascii="Arial" w:hAnsi="Arial"/>
                <w:b/>
                <w:sz w:val="17"/>
              </w:rPr>
              <w:t>TIM PELAKSANA</w:t>
            </w:r>
          </w:p>
        </w:tc>
        <w:tc>
          <w:tcPr>
            <w:tcW w:type="dxa" w:w="2160"/>
            <w:shd w:val="clear" w:color="auto" w:fill="F0F0F0"/>
          </w:tcPr>
          <w:p>
            <w:r>
              <w:rPr>
                <w:rFonts w:ascii="Arial" w:hAnsi="Arial"/>
                <w:b/>
                <w:sz w:val="17"/>
              </w:rPr>
            </w:r>
          </w:p>
        </w:tc>
        <w:tc>
          <w:tcPr>
            <w:tcW w:type="dxa" w:w="2160"/>
            <w:shd w:val="clear" w:color="auto" w:fill="F0F0F0"/>
          </w:tcPr>
          <w:p>
            <w:r>
              <w:rPr>
                <w:rFonts w:ascii="Arial" w:hAnsi="Arial"/>
                <w:b/>
                <w:sz w:val="17"/>
              </w:rPr>
            </w:r>
          </w:p>
        </w:tc>
      </w:tr>
      <w:tr>
        <w:tc>
          <w:tcPr>
            <w:tcW w:type="dxa" w:w="2160"/>
          </w:tcPr>
          <w:p>
            <w:r>
              <w:rPr>
                <w:rFonts w:ascii="Arial" w:hAnsi="Arial"/>
                <w:b/>
                <w:sz w:val="17"/>
              </w:rPr>
              <w:t>4</w:t>
            </w:r>
          </w:p>
        </w:tc>
        <w:tc>
          <w:tcPr>
            <w:tcW w:type="dxa" w:w="2160"/>
          </w:tcPr>
          <w:p>
            <w:r>
              <w:rPr>
                <w:rFonts w:ascii="Arial" w:hAnsi="Arial"/>
                <w:sz w:val="17"/>
              </w:rPr>
              <w:t>Junaidi</w:t>
              <w:br/>
              <w:t>NIP. 19740704 200701 1 002</w:t>
            </w:r>
          </w:p>
        </w:tc>
        <w:tc>
          <w:tcPr>
            <w:tcW w:type="dxa" w:w="2160"/>
          </w:tcPr>
          <w:p>
            <w:r>
              <w:rPr>
                <w:rFonts w:ascii="Arial" w:hAnsi="Arial"/>
                <w:sz w:val="17"/>
              </w:rPr>
              <w:t>Penata Teknik</w:t>
            </w:r>
          </w:p>
        </w:tc>
        <w:tc>
          <w:tcPr>
            <w:tcW w:type="dxa" w:w="2160"/>
          </w:tcPr>
          <w:p>
            <w:r>
              <w:rPr>
                <w:rFonts w:ascii="Arial" w:hAnsi="Arial"/>
                <w:b/>
                <w:sz w:val="17"/>
              </w:rPr>
              <w:t>Ketua Tim Pelaksana</w:t>
            </w:r>
          </w:p>
        </w:tc>
      </w:tr>
      <w:tr>
        <w:tc>
          <w:tcPr>
            <w:tcW w:type="dxa" w:w="2160"/>
          </w:tcPr>
          <w:p>
            <w:r>
              <w:rPr>
                <w:rFonts w:ascii="Arial" w:hAnsi="Arial"/>
                <w:b/>
                <w:sz w:val="17"/>
              </w:rPr>
              <w:t>5</w:t>
            </w:r>
          </w:p>
        </w:tc>
        <w:tc>
          <w:tcPr>
            <w:tcW w:type="dxa" w:w="2160"/>
          </w:tcPr>
          <w:p>
            <w:r>
              <w:rPr>
                <w:rFonts w:ascii="Arial" w:hAnsi="Arial"/>
                <w:sz w:val="17"/>
              </w:rPr>
              <w:t>Muhammad Syah Ridwan, S.T.</w:t>
              <w:br/>
              <w:t>NIP. 19981114 202506 1 010</w:t>
            </w:r>
          </w:p>
        </w:tc>
        <w:tc>
          <w:tcPr>
            <w:tcW w:type="dxa" w:w="2160"/>
          </w:tcPr>
          <w:p>
            <w:r>
              <w:rPr>
                <w:rFonts w:ascii="Arial" w:hAnsi="Arial"/>
                <w:sz w:val="17"/>
              </w:rPr>
              <w:t>Penata Muda / Teknik</w:t>
            </w:r>
          </w:p>
        </w:tc>
        <w:tc>
          <w:tcPr>
            <w:tcW w:type="dxa" w:w="2160"/>
          </w:tcPr>
          <w:p>
            <w:r>
              <w:rPr>
                <w:rFonts w:ascii="Arial" w:hAnsi="Arial"/>
                <w:b/>
                <w:sz w:val="17"/>
              </w:rPr>
              <w:t>Anggota</w:t>
            </w:r>
          </w:p>
        </w:tc>
      </w:tr>
      <w:tr>
        <w:tc>
          <w:tcPr>
            <w:tcW w:type="dxa" w:w="2160"/>
          </w:tcPr>
          <w:p>
            <w:r>
              <w:rPr>
                <w:rFonts w:ascii="Arial" w:hAnsi="Arial"/>
                <w:b/>
                <w:sz w:val="17"/>
              </w:rPr>
              <w:t>6</w:t>
            </w:r>
          </w:p>
        </w:tc>
        <w:tc>
          <w:tcPr>
            <w:tcW w:type="dxa" w:w="2160"/>
          </w:tcPr>
          <w:p>
            <w:r>
              <w:rPr>
                <w:rFonts w:ascii="Arial" w:hAnsi="Arial"/>
                <w:sz w:val="17"/>
              </w:rPr>
              <w:t>Lufti Akbar, S.T.</w:t>
              <w:br/>
              <w:t>NIP. 20010124 202506 1 010</w:t>
            </w:r>
          </w:p>
        </w:tc>
        <w:tc>
          <w:tcPr>
            <w:tcW w:type="dxa" w:w="2160"/>
          </w:tcPr>
          <w:p>
            <w:r>
              <w:rPr>
                <w:rFonts w:ascii="Arial" w:hAnsi="Arial"/>
                <w:sz w:val="17"/>
              </w:rPr>
              <w:t>Penata Muda / Teknik</w:t>
            </w:r>
          </w:p>
        </w:tc>
        <w:tc>
          <w:tcPr>
            <w:tcW w:type="dxa" w:w="2160"/>
          </w:tcPr>
          <w:p>
            <w:r>
              <w:rPr>
                <w:rFonts w:ascii="Arial" w:hAnsi="Arial"/>
                <w:b/>
                <w:sz w:val="17"/>
              </w:rPr>
              <w:t>Anggota</w:t>
            </w:r>
          </w:p>
        </w:tc>
      </w:tr>
      <w:tr>
        <w:tc>
          <w:tcPr>
            <w:tcW w:type="dxa" w:w="2160"/>
          </w:tcPr>
          <w:p>
            <w:r>
              <w:rPr>
                <w:rFonts w:ascii="Arial" w:hAnsi="Arial"/>
                <w:b/>
                <w:sz w:val="17"/>
              </w:rPr>
              <w:t>7</w:t>
            </w:r>
          </w:p>
        </w:tc>
        <w:tc>
          <w:tcPr>
            <w:tcW w:type="dxa" w:w="2160"/>
          </w:tcPr>
          <w:p>
            <w:r>
              <w:rPr>
                <w:rFonts w:ascii="Arial" w:hAnsi="Arial"/>
                <w:sz w:val="17"/>
              </w:rPr>
              <w:t>Agung Justika Indra, S.T.</w:t>
              <w:br/>
              <w:t>NIP. 19901109 202506 1 005</w:t>
            </w:r>
          </w:p>
        </w:tc>
        <w:tc>
          <w:tcPr>
            <w:tcW w:type="dxa" w:w="2160"/>
          </w:tcPr>
          <w:p>
            <w:r>
              <w:rPr>
                <w:rFonts w:ascii="Arial" w:hAnsi="Arial"/>
                <w:sz w:val="17"/>
              </w:rPr>
              <w:t>Penata Muda / Teknik</w:t>
            </w:r>
          </w:p>
        </w:tc>
        <w:tc>
          <w:tcPr>
            <w:tcW w:type="dxa" w:w="2160"/>
          </w:tcPr>
          <w:p>
            <w:r>
              <w:rPr>
                <w:rFonts w:ascii="Arial" w:hAnsi="Arial"/>
                <w:b/>
                <w:sz w:val="17"/>
              </w:rPr>
              <w:t>Anggota</w:t>
            </w:r>
          </w:p>
        </w:tc>
      </w:tr>
      <w:tr>
        <w:tc>
          <w:tcPr>
            <w:tcW w:type="dxa" w:w="2160"/>
          </w:tcPr>
          <w:p>
            <w:r>
              <w:rPr>
                <w:rFonts w:ascii="Arial" w:hAnsi="Arial"/>
                <w:b/>
                <w:sz w:val="17"/>
              </w:rPr>
              <w:t>8</w:t>
            </w:r>
          </w:p>
        </w:tc>
        <w:tc>
          <w:tcPr>
            <w:tcW w:type="dxa" w:w="2160"/>
          </w:tcPr>
          <w:p>
            <w:r>
              <w:rPr>
                <w:rFonts w:ascii="Arial" w:hAnsi="Arial"/>
                <w:sz w:val="17"/>
              </w:rPr>
              <w:t>Noni Septiani, S.T.</w:t>
              <w:br/>
              <w:t>NIP. 19930914 202506 2 008</w:t>
            </w:r>
          </w:p>
        </w:tc>
        <w:tc>
          <w:tcPr>
            <w:tcW w:type="dxa" w:w="2160"/>
          </w:tcPr>
          <w:p>
            <w:r>
              <w:rPr>
                <w:rFonts w:ascii="Arial" w:hAnsi="Arial"/>
                <w:sz w:val="17"/>
              </w:rPr>
              <w:t>Penata Muda / Teknik</w:t>
            </w:r>
          </w:p>
        </w:tc>
        <w:tc>
          <w:tcPr>
            <w:tcW w:type="dxa" w:w="2160"/>
          </w:tcPr>
          <w:p>
            <w:r>
              <w:rPr>
                <w:rFonts w:ascii="Arial" w:hAnsi="Arial"/>
                <w:b/>
                <w:sz w:val="17"/>
              </w:rPr>
              <w:t>Anggota</w:t>
            </w:r>
          </w:p>
        </w:tc>
      </w:tr>
      <w:tr>
        <w:tc>
          <w:tcPr>
            <w:tcW w:type="dxa" w:w="2160"/>
          </w:tcPr>
          <w:p>
            <w:r>
              <w:rPr>
                <w:rFonts w:ascii="Arial" w:hAnsi="Arial"/>
                <w:b/>
                <w:sz w:val="17"/>
              </w:rPr>
              <w:t>9</w:t>
            </w:r>
          </w:p>
        </w:tc>
        <w:tc>
          <w:tcPr>
            <w:tcW w:type="dxa" w:w="2160"/>
          </w:tcPr>
          <w:p>
            <w:r>
              <w:rPr>
                <w:rFonts w:ascii="Arial" w:hAnsi="Arial"/>
                <w:sz w:val="17"/>
              </w:rPr>
              <w:t>Yoanda Adimas Putra, S.T.</w:t>
              <w:br/>
              <w:t>NIPPPPK. 19901125 202421 1 008</w:t>
            </w:r>
          </w:p>
        </w:tc>
        <w:tc>
          <w:tcPr>
            <w:tcW w:type="dxa" w:w="2160"/>
          </w:tcPr>
          <w:p>
            <w:r>
              <w:rPr>
                <w:rFonts w:ascii="Arial" w:hAnsi="Arial"/>
                <w:sz w:val="17"/>
              </w:rPr>
              <w:t>Penata Muda / Teknik</w:t>
            </w:r>
          </w:p>
        </w:tc>
        <w:tc>
          <w:tcPr>
            <w:tcW w:type="dxa" w:w="2160"/>
          </w:tcPr>
          <w:p>
            <w:r>
              <w:rPr>
                <w:rFonts w:ascii="Arial" w:hAnsi="Arial"/>
                <w:b/>
                <w:sz w:val="17"/>
              </w:rPr>
              <w:t>Anggota</w:t>
            </w:r>
          </w:p>
        </w:tc>
      </w:tr>
      <w:tr>
        <w:tc>
          <w:tcPr>
            <w:tcW w:type="dxa" w:w="2160"/>
            <w:shd w:val="clear" w:color="auto" w:fill="F0F0F0"/>
          </w:tcPr>
          <w:p>
            <w:r>
              <w:rPr>
                <w:rFonts w:ascii="Arial" w:hAnsi="Arial"/>
                <w:b/>
                <w:sz w:val="17"/>
              </w:rPr>
              <w:t>III</w:t>
            </w:r>
          </w:p>
        </w:tc>
        <w:tc>
          <w:tcPr>
            <w:tcW w:type="dxa" w:w="2160"/>
            <w:shd w:val="clear" w:color="auto" w:fill="F0F0F0"/>
          </w:tcPr>
          <w:p>
            <w:r>
              <w:rPr>
                <w:rFonts w:ascii="Arial" w:hAnsi="Arial"/>
                <w:b/>
                <w:sz w:val="17"/>
              </w:rPr>
              <w:t>TIM PENGAWAS</w:t>
            </w:r>
          </w:p>
        </w:tc>
        <w:tc>
          <w:tcPr>
            <w:tcW w:type="dxa" w:w="2160"/>
            <w:shd w:val="clear" w:color="auto" w:fill="F0F0F0"/>
          </w:tcPr>
          <w:p>
            <w:r>
              <w:rPr>
                <w:rFonts w:ascii="Arial" w:hAnsi="Arial"/>
                <w:b/>
                <w:sz w:val="17"/>
              </w:rPr>
            </w:r>
          </w:p>
        </w:tc>
        <w:tc>
          <w:tcPr>
            <w:tcW w:type="dxa" w:w="2160"/>
            <w:shd w:val="clear" w:color="auto" w:fill="F0F0F0"/>
          </w:tcPr>
          <w:p>
            <w:r>
              <w:rPr>
                <w:rFonts w:ascii="Arial" w:hAnsi="Arial"/>
                <w:b/>
                <w:sz w:val="17"/>
              </w:rPr>
            </w:r>
          </w:p>
        </w:tc>
      </w:tr>
      <w:tr>
        <w:tc>
          <w:tcPr>
            <w:tcW w:type="dxa" w:w="2160"/>
          </w:tcPr>
          <w:p>
            <w:r>
              <w:rPr>
                <w:rFonts w:ascii="Arial" w:hAnsi="Arial"/>
                <w:b/>
                <w:sz w:val="17"/>
              </w:rPr>
              <w:t>10</w:t>
            </w:r>
          </w:p>
        </w:tc>
        <w:tc>
          <w:tcPr>
            <w:tcW w:type="dxa" w:w="2160"/>
          </w:tcPr>
          <w:p>
            <w:r>
              <w:rPr>
                <w:rFonts w:ascii="Arial" w:hAnsi="Arial"/>
                <w:sz w:val="17"/>
              </w:rPr>
              <w:t>Hendra, S.T.</w:t>
              <w:br/>
              <w:t>NIP. 19770909 200902 1 005</w:t>
            </w:r>
          </w:p>
        </w:tc>
        <w:tc>
          <w:tcPr>
            <w:tcW w:type="dxa" w:w="2160"/>
          </w:tcPr>
          <w:p>
            <w:r>
              <w:rPr>
                <w:rFonts w:ascii="Arial" w:hAnsi="Arial"/>
                <w:sz w:val="17"/>
              </w:rPr>
              <w:t>Pejabat Penandatangan SPM</w:t>
            </w:r>
          </w:p>
        </w:tc>
        <w:tc>
          <w:tcPr>
            <w:tcW w:type="dxa" w:w="2160"/>
          </w:tcPr>
          <w:p>
            <w:r>
              <w:rPr>
                <w:rFonts w:ascii="Arial" w:hAnsi="Arial"/>
                <w:b/>
                <w:sz w:val="17"/>
              </w:rPr>
              <w:t>Ketua Tim Pengawas</w:t>
            </w:r>
          </w:p>
        </w:tc>
      </w:tr>
      <w:tr>
        <w:tc>
          <w:tcPr>
            <w:tcW w:type="dxa" w:w="2160"/>
          </w:tcPr>
          <w:p>
            <w:r>
              <w:rPr>
                <w:rFonts w:ascii="Arial" w:hAnsi="Arial"/>
                <w:b/>
                <w:sz w:val="17"/>
              </w:rPr>
              <w:t>11</w:t>
            </w:r>
          </w:p>
        </w:tc>
        <w:tc>
          <w:tcPr>
            <w:tcW w:type="dxa" w:w="2160"/>
          </w:tcPr>
          <w:p>
            <w:r>
              <w:rPr>
                <w:rFonts w:ascii="Arial" w:hAnsi="Arial"/>
                <w:sz w:val="17"/>
              </w:rPr>
              <w:t>Kh. Sri Handayani, S.Si., M.T.</w:t>
              <w:br/>
              <w:t>NIP. 19820402 201412 2 002</w:t>
            </w:r>
          </w:p>
        </w:tc>
        <w:tc>
          <w:tcPr>
            <w:tcW w:type="dxa" w:w="2160"/>
          </w:tcPr>
          <w:p>
            <w:r>
              <w:rPr>
                <w:rFonts w:ascii="Arial" w:hAnsi="Arial"/>
                <w:sz w:val="17"/>
              </w:rPr>
              <w:t>Bendahara Pengeluaran</w:t>
            </w:r>
          </w:p>
        </w:tc>
        <w:tc>
          <w:tcPr>
            <w:tcW w:type="dxa" w:w="2160"/>
          </w:tcPr>
          <w:p>
            <w:r>
              <w:rPr>
                <w:rFonts w:ascii="Arial" w:hAnsi="Arial"/>
                <w:b/>
                <w:sz w:val="17"/>
              </w:rPr>
              <w:t>Anggota Pengawas Keuangan</w:t>
            </w:r>
          </w:p>
        </w:tc>
      </w:tr>
    </w:tbl>
    <w:p>
      <w:pPr>
        <w:spacing w:before="280" w:after="80"/>
        <w:jc w:val="right"/>
      </w:pPr>
      <w:r>
        <w:rPr>
          <w:rFonts w:ascii="Arial" w:hAnsi="Arial"/>
          <w:sz w:val="20"/>
        </w:rPr>
        <w:t>Pekanbaru, 23 September 2025</w:t>
      </w:r>
    </w:p>
    <w:p>
      <w:pPr>
        <w:jc w:val="right"/>
      </w:pPr>
      <w:r>
        <w:rPr>
          <w:rFonts w:ascii="Arial" w:hAnsi="Arial"/>
          <w:b/>
          <w:sz w:val="20"/>
        </w:rPr>
        <w:t>Kuasa Pengguna Anggaran</w:t>
        <w:br/>
        <w:t>Satuan Kerja Pelaksanaan Prasarana Strategis Riau</w:t>
      </w:r>
    </w:p>
    <w:p>
      <w:pPr>
        <w:jc w:val="right"/>
      </w:pPr>
      <w:r>
        <w:rPr>
          <w:rFonts w:ascii="Arial" w:hAnsi="Arial"/>
          <w:b/>
          <w:sz w:val="20"/>
        </w:rPr>
        <w:br/>
        <w:br/>
        <w:br/>
        <w:br/>
        <w:t>Muhammad Yudi Prasetya, S.T.</w:t>
        <w:br/>
        <w:t>NIP. 19800214 201412 1 002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