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KEMENTERIAN PEKERJAAN UMUM</w:t>
        <w:br/>
        <w:t>DIREKTORAT JENDERAL PRASARANA STRATEGIS</w:t>
        <w:br/>
        <w:t>SATUAN KERJA PELAKSANAAN PRASARANA STRATEGIS RIAU</w:t>
        <w:br/>
      </w:r>
    </w:p>
    <w:p>
      <w:pPr>
        <w:spacing w:before="0" w:after="160"/>
        <w:jc w:val="center"/>
      </w:pPr>
      <w:r>
        <w:rPr>
          <w:rFonts w:ascii="Arial" w:hAnsi="Arial"/>
          <w:color w:val="787878"/>
          <w:sz w:val="17"/>
        </w:rPr>
        <w:t>Jalan Bakti, Ruko Komplek Mutiara Asri Garden, Sidomulyo Timur, Marpoyan Damai, Pekanbaru</w:t>
        <w:br/>
        <w:t>—————————————————————————————————————————————————————————————————</w:t>
      </w:r>
    </w:p>
    <w:p>
      <w:pPr>
        <w:spacing w:before="160" w:after="200"/>
        <w:jc w:val="center"/>
      </w:pPr>
      <w:r>
        <w:rPr>
          <w:rFonts w:ascii="Arial" w:hAnsi="Arial"/>
          <w:b/>
          <w:sz w:val="23"/>
        </w:rPr>
        <w:t>RENCANA KEBUTUHAN TENAGA KERJA, BAHAN, PERALATAN, DAN TENAGA AHLI</w:t>
        <w:br/>
      </w:r>
      <w:r>
        <w:rPr>
          <w:rFonts w:ascii="Arial" w:hAnsi="Arial"/>
          <w:b/>
          <w:sz w:val="23"/>
        </w:rPr>
        <w:t>ADMINISTRASI KEGIATAN PEMBANGUNAN GEDUNG SPPG PROVINSI RIAU</w:t>
        <w:br/>
      </w:r>
      <w:r>
        <w:rPr>
          <w:rFonts w:ascii="Arial" w:hAnsi="Arial"/>
          <w:b/>
          <w:sz w:val="23"/>
        </w:rPr>
        <w:t>TAHUN ANGGARAN 2025</w:t>
      </w:r>
    </w:p>
    <w:p>
      <w:r>
        <w:rPr>
          <w:rFonts w:ascii="Arial" w:hAnsi="Arial"/>
          <w:sz w:val="19"/>
        </w:rPr>
        <w:t>I. RENCANA KEBUTUHAN TENAGA KERJA / PERSONEL</w:t>
        <w:br/>
        <w:t>Kebutuhan personel pelaksana dipenuhi dari personil organik dan penata teknik Satker Pelaksanaan Prasarana Strategis Riau:</w:t>
        <w:br/>
        <w:t>1. Koordinator Lapangan / Penata Teknik (Junaidi)</w:t>
        <w:br/>
        <w:t>2. Tim Verifikasi &amp; Keuangan (Nurulia Sefriandari, Firmansyah, Herlinda)</w:t>
        <w:br/>
        <w:t>3. Tim Teknis Pemantauan &amp; Dokumentasi Lapangan (Muhammad Syah Ridwan, Lufti Akbar, Agung Justika Indra, Noni Septiani, Yoanda Adimas Putra)</w:t>
        <w:br/>
        <w:br/>
        <w:t>II. RENCANA KEBUTUHAN BAHAN HABIS PAKAI</w:t>
        <w:br/>
        <w:t>1. Kertas HVS F4 &amp; A4 (70/80 gr) untuk dokumen administrasi dan laporan SPPG</w:t>
        <w:br/>
        <w:t>2. Toner Printer HP Laserjet dan Catridge Epson</w:t>
        <w:br/>
        <w:t>3. Ordner, map snelhecter, pulpen, spidol, dan perlengkapan arsip kantor</w:t>
        <w:br/>
        <w:t>4. Harddisk eksternal dan flashdisk untuk backup data foto dan dokumen digital</w:t>
        <w:br/>
        <w:t>5. Penggandaan dan penjilidan laporan pelaksanaan kegiatan SPPG</w:t>
        <w:br/>
        <w:br/>
        <w:t>III. RENCANA KEBUTUHAN PERALATAN DAN SARANA</w:t>
        <w:br/>
        <w:t>1. Laptop / Komputer PC pengolah data administrasi</w:t>
        <w:br/>
        <w:t>2. Printer dan Scanner berkecepatan tinggi</w:t>
        <w:br/>
        <w:t>3. Kamera dokumentasi fisik kegiatan lapangan</w:t>
        <w:br/>
        <w:t>4. Kendaraan operasional roda empat untuk monitoring ke lokasi SPPG (Kampar, Dumai, Siak)</w:t>
        <w:br/>
        <w:br/>
        <w:t>IV. CATATAN PENGADAAN DAN PEMBIAYAAN</w:t>
        <w:br/>
        <w:t>Seluruh belanja bahan dilaksanakan melalui penyedia toko lokal terdaftar dengan bukti kuitansi, faktur, nota, dan bukti pungut pajak yang sah. Perjalanan dinas dibayarkan secara at cost berdasarkan standar biaya masukan (SBM) yang berlaku.</w:t>
      </w:r>
    </w:p>
    <w:p>
      <w:pPr>
        <w:spacing w:before="280" w:after="80"/>
        <w:jc w:val="right"/>
      </w:pPr>
      <w:r>
        <w:rPr>
          <w:rFonts w:ascii="Arial" w:hAnsi="Arial"/>
          <w:sz w:val="20"/>
        </w:rPr>
        <w:t>Pekanbaru, 25 September 2025</w:t>
      </w:r>
    </w:p>
    <w:tbl>
      <w:tblPr>
        <w:tblW w:type="auto" w:w="0"/>
        <w:jc w:val="center"/>
        <w:tblLook w:firstColumn="1" w:firstRow="1" w:lastColumn="0" w:lastRow="0" w:noHBand="0" w:noVBand="1" w:val="04A0"/>
      </w:tblPr>
      <w:tblGrid>
        <w:gridCol w:w="4608"/>
        <w:gridCol w:w="4608"/>
      </w:tblGrid>
      <w:tr>
        <w:tc>
          <w:tcPr>
            <w:tcW w:type="dxa" w:w="4320"/>
          </w:tcPr>
          <w:p>
            <w:pPr>
              <w:jc w:val="center"/>
            </w:pPr>
            <w:r>
              <w:rPr>
                <w:rFonts w:ascii="Arial" w:hAnsi="Arial"/>
                <w:b/>
                <w:sz w:val="20"/>
              </w:rPr>
              <w:t>Ketua Tim Persiapan</w:t>
            </w:r>
          </w:p>
        </w:tc>
        <w:tc>
          <w:tcPr>
            <w:tcW w:type="dxa" w:w="4320"/>
          </w:tcPr>
          <w:p>
            <w:pPr>
              <w:jc w:val="center"/>
            </w:pPr>
            <w:r>
              <w:rPr>
                <w:rFonts w:ascii="Arial" w:hAnsi="Arial"/>
                <w:b/>
                <w:sz w:val="20"/>
              </w:rPr>
              <w:t>Ketua Tim Pelaksana</w:t>
            </w:r>
          </w:p>
        </w:tc>
      </w:tr>
      <w:tr>
        <w:tc>
          <w:tcPr>
            <w:tcW w:type="dxa" w:w="4320"/>
          </w:tcPr>
          <w:p>
            <w:pPr>
              <w:jc w:val="center"/>
            </w:pPr>
            <w:r>
              <w:rPr>
                <w:rFonts w:ascii="Arial" w:hAnsi="Arial"/>
                <w:b/>
                <w:sz w:val="20"/>
              </w:rPr>
              <w:br/>
              <w:br/>
              <w:br/>
              <w:br/>
              <w:t>Nurulia Sefriandari, S.T.</w:t>
              <w:br/>
              <w:t>NIP. -</w:t>
            </w:r>
          </w:p>
        </w:tc>
        <w:tc>
          <w:tcPr>
            <w:tcW w:type="dxa" w:w="4320"/>
          </w:tcPr>
          <w:p>
            <w:pPr>
              <w:jc w:val="center"/>
            </w:pPr>
            <w:r>
              <w:rPr>
                <w:rFonts w:ascii="Arial" w:hAnsi="Arial"/>
                <w:b/>
                <w:sz w:val="20"/>
              </w:rPr>
              <w:br/>
              <w:br/>
              <w:br/>
              <w:br/>
              <w:t>Junaidi</w:t>
              <w:br/>
              <w:t>NIP. 19740704 200701 1 002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