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sz w:val="22"/>
        </w:rPr>
        <w:t>KEMENTERIAN PEKERJAAN UMUM</w:t>
        <w:br/>
        <w:t>DIREKTORAT JENDERAL PRASARANA STRATEGIS</w:t>
        <w:br/>
        <w:t>SATUAN KERJA PELAKSANAAN PRASARANA STRATEGIS RIAU</w:t>
        <w:br/>
      </w:r>
    </w:p>
    <w:p>
      <w:pPr>
        <w:spacing w:before="0" w:after="160"/>
        <w:jc w:val="center"/>
      </w:pPr>
      <w:r>
        <w:rPr>
          <w:rFonts w:ascii="Arial" w:hAnsi="Arial"/>
          <w:color w:val="787878"/>
          <w:sz w:val="17"/>
        </w:rPr>
        <w:t>Jalan Bakti, Ruko Komplek Mutiara Asri Garden, Sidomulyo Timur, Marpoyan Damai, Pekanbaru</w:t>
        <w:br/>
        <w:t>—————————————————————————————————————————————————————————————————</w:t>
      </w:r>
    </w:p>
    <w:p>
      <w:pPr>
        <w:spacing w:before="160" w:after="200"/>
        <w:jc w:val="center"/>
      </w:pPr>
      <w:r>
        <w:rPr>
          <w:rFonts w:ascii="Arial" w:hAnsi="Arial"/>
          <w:b/>
          <w:sz w:val="23"/>
        </w:rPr>
        <w:t>LAPORAN AKHIR PELAKSANAAN KEGIATAN SWAKELOLA TIPE I</w:t>
        <w:br/>
      </w:r>
      <w:r>
        <w:rPr>
          <w:rFonts w:ascii="Arial" w:hAnsi="Arial"/>
          <w:b/>
          <w:sz w:val="23"/>
        </w:rPr>
        <w:t>ADMINISTRASI KEGIATAN PEMBANGUNAN GEDUNG SPPG PROVINSI RIAU</w:t>
        <w:br/>
      </w:r>
      <w:r>
        <w:rPr>
          <w:rFonts w:ascii="Arial" w:hAnsi="Arial"/>
          <w:b/>
          <w:sz w:val="23"/>
        </w:rPr>
        <w:t>SATUAN KERJA PELAKSANAAN PRASARANA STRATEGIS RIAU</w:t>
        <w:br/>
      </w:r>
      <w:r>
        <w:rPr>
          <w:rFonts w:ascii="Arial" w:hAnsi="Arial"/>
          <w:b/>
          <w:sz w:val="23"/>
        </w:rPr>
        <w:t>TAHUN ANGGARAN 2025</w:t>
      </w:r>
    </w:p>
    <w:p>
      <w:pPr>
        <w:spacing w:before="160" w:after="40"/>
      </w:pPr>
      <w:r>
        <w:rPr>
          <w:rFonts w:ascii="Arial" w:hAnsi="Arial"/>
          <w:b/>
          <w:sz w:val="21"/>
        </w:rPr>
        <w:t>BAB I : PENDAHULUAN</w:t>
      </w:r>
    </w:p>
    <w:p>
      <w:pPr>
        <w:spacing w:before="0" w:after="120"/>
      </w:pPr>
      <w:r>
        <w:rPr>
          <w:rFonts w:ascii="Arial" w:hAnsi="Arial"/>
          <w:sz w:val="19"/>
        </w:rPr>
        <w:t>1.1. Latar Belakang: Dalam rangka mendukung Program Strategis Nasional Makan Bergizi Gratis (MBG) Presiden RI dan amanat penugasan bersama Badan Gizi Nasional (BGN), Kementerian Pekerjaan Umum melalui Satker Pelaksanaan Prasarana Strategis Riau menyelenggarakan Pembangunan Gedung Satuan Pelayanan Pemenuhan Gizi (SPPG) di Provinsi Riau. Kegiatan ini didukung oleh paket Swakelola Tipe I Administrasi Kegiatan Pembangunan Gedung SPPG TA 2025.</w:t>
        <w:br/>
        <w:t>1.2. Maksud dan Tujuan: Memberikan pendampingan teknis dan administrasi dari penyiapan dokumen kesiapan lokasi, koordinasi lintas sektor, monitoring lapangan, hingga pelaporan akhir.</w:t>
        <w:br/>
        <w:t>1.3. Sasaran dan Manfaat: Tersedianya data kesiapan lokasi calon SPPG yang valid di Kab. Kampar, Kota Dumai, dan Kab. Siak, serta tertib administrasi pelaksanaan kegiatan.</w:t>
      </w:r>
    </w:p>
    <w:p>
      <w:pPr>
        <w:spacing w:before="160" w:after="40"/>
      </w:pPr>
      <w:r>
        <w:rPr>
          <w:rFonts w:ascii="Arial" w:hAnsi="Arial"/>
          <w:b/>
          <w:sz w:val="21"/>
        </w:rPr>
        <w:t>BAB II : PELAKSANAAN KEGIATAN</w:t>
      </w:r>
    </w:p>
    <w:p>
      <w:pPr>
        <w:spacing w:before="0" w:after="120"/>
      </w:pPr>
      <w:r>
        <w:rPr>
          <w:rFonts w:ascii="Arial" w:hAnsi="Arial"/>
          <w:sz w:val="19"/>
        </w:rPr>
        <w:t>2.1. Penyelenggara: Kegiatan dilaksanakan secara mandiri oleh Tim Pelaksana Swakelola berdasarkan Keputusan KPA No. 28/KPTS/SATKER-PPS.RIAU/2025.</w:t>
        <w:br/>
        <w:t>2.2. Uraian Pelaksanaan Lapangan:</w:t>
        <w:br/>
        <w:t xml:space="preserve">   - Koordinasi dan survei MC-0 lokasi SPPG di Kabupaten Kampar.</w:t>
        <w:br/>
        <w:t xml:space="preserve">   - Peninjauan teknis batas lahan dan aksesibilitas di Kota Dumai dan Kabupaten Siak.</w:t>
        <w:br/>
        <w:t xml:space="preserve">   - Koordinasi teknis ke Ditjen Prasarana Strategis di Jakarta dan Balai di Medan.</w:t>
        <w:br/>
        <w:t xml:space="preserve">   - Penatausahaan belanja bahan berupa ATK dan suplies komputer untuk penyusunan berkas administrasi dan pelaporan.</w:t>
      </w:r>
    </w:p>
    <w:p>
      <w:pPr>
        <w:spacing w:before="160" w:after="40"/>
      </w:pPr>
      <w:r>
        <w:rPr>
          <w:rFonts w:ascii="Arial" w:hAnsi="Arial"/>
          <w:b/>
          <w:sz w:val="21"/>
        </w:rPr>
        <w:t>BAB III : REALISASI ANGGARAN</w:t>
      </w:r>
    </w:p>
    <w:p>
      <w:pPr>
        <w:spacing w:before="0" w:after="120"/>
      </w:pPr>
      <w:r>
        <w:rPr>
          <w:rFonts w:ascii="Arial" w:hAnsi="Arial"/>
          <w:sz w:val="19"/>
        </w:rPr>
        <w:t>Alokasi Pagu Anggaran pada DIPA Satker PPS Riau TA 2025 adalah sebesar Rp 413.000.000,-.</w:t>
        <w:br/>
        <w:t>Realisasi penggunaan anggaran definitif adalah sebesar Rp 141.159.100,- (34,18%).</w:t>
        <w:br/>
        <w:t>Rincian akun realisasi meliputi Belanja Bahan (521211), Belanja Perjalanan Dinas Biasa (524111), dan Belanja Perjalanan Dinas Dalam Kota (524113). Seluruh belanja didukung kuitansi sah dan SPM/SP2D terverifikasi.</w:t>
      </w:r>
    </w:p>
    <w:p>
      <w:pPr>
        <w:spacing w:before="160" w:after="40"/>
      </w:pPr>
      <w:r>
        <w:rPr>
          <w:rFonts w:ascii="Arial" w:hAnsi="Arial"/>
          <w:b/>
          <w:sz w:val="21"/>
        </w:rPr>
        <w:t>BAB IV : KESIMPULAN DAN SARAN</w:t>
      </w:r>
    </w:p>
    <w:p>
      <w:pPr>
        <w:spacing w:before="0" w:after="120"/>
      </w:pPr>
      <w:r>
        <w:rPr>
          <w:rFonts w:ascii="Arial" w:hAnsi="Arial"/>
          <w:sz w:val="19"/>
        </w:rPr>
        <w:t>4.1. Kesimpulan: Seluruh rangkaian kegiatan Swakelola Tipe I Administrasi Gedung SPPG telah selesai 100% dan memenuhi seluruh sasaran fungsional yang ditetapkan.</w:t>
        <w:br/>
        <w:t>4.2. Saran: Administrasi dan arsip bukti dukung pelaksanaan swakelola agar dipelihara secara digital dan tertib melalui sistem informasi Satker.</w:t>
      </w:r>
    </w:p>
    <w:p>
      <w:pPr>
        <w:spacing w:before="280" w:after="80"/>
        <w:jc w:val="right"/>
      </w:pPr>
      <w:r>
        <w:rPr>
          <w:rFonts w:ascii="Arial" w:hAnsi="Arial"/>
          <w:sz w:val="20"/>
        </w:rPr>
        <w:t>Pekanbaru, 22 Desember 2025</w:t>
      </w:r>
    </w:p>
    <w:tbl>
      <w:tblPr>
        <w:tblW w:type="auto" w:w="0"/>
        <w:jc w:val="center"/>
        <w:tblLook w:firstColumn="1" w:firstRow="1" w:lastColumn="0" w:lastRow="0" w:noHBand="0" w:noVBand="1" w:val="04A0"/>
      </w:tblPr>
      <w:tblGrid>
        <w:gridCol w:w="4608"/>
        <w:gridCol w:w="4608"/>
      </w:tblGrid>
      <w:tr>
        <w:tc>
          <w:tcPr>
            <w:tcW w:type="dxa" w:w="4320"/>
          </w:tcPr>
          <w:p>
            <w:pPr>
              <w:jc w:val="center"/>
            </w:pPr>
            <w:r>
              <w:rPr>
                <w:rFonts w:ascii="Arial" w:hAnsi="Arial"/>
                <w:b/>
                <w:sz w:val="20"/>
              </w:rPr>
              <w:t>Ketua Tim Pelaksana</w:t>
            </w:r>
          </w:p>
        </w:tc>
        <w:tc>
          <w:tcPr>
            <w:tcW w:type="dxa" w:w="4320"/>
          </w:tcPr>
          <w:p>
            <w:pPr>
              <w:jc w:val="center"/>
            </w:pPr>
            <w:r>
              <w:rPr>
                <w:rFonts w:ascii="Arial" w:hAnsi="Arial"/>
                <w:b/>
                <w:sz w:val="20"/>
              </w:rPr>
              <w:t>Pejabat Pembuat Komitmen</w:t>
              <w:br/>
              <w:t>Pelaksanaan Prasarana Strategis</w:t>
            </w:r>
          </w:p>
        </w:tc>
      </w:tr>
      <w:tr>
        <w:tc>
          <w:tcPr>
            <w:tcW w:type="dxa" w:w="4320"/>
          </w:tcPr>
          <w:p>
            <w:pPr>
              <w:jc w:val="center"/>
            </w:pPr>
            <w:r>
              <w:rPr>
                <w:rFonts w:ascii="Arial" w:hAnsi="Arial"/>
                <w:b/>
                <w:sz w:val="20"/>
              </w:rPr>
              <w:br/>
              <w:br/>
              <w:br/>
              <w:br/>
              <w:t>Junaidi</w:t>
              <w:br/>
              <w:t>NIP. 19740704 200701 1 002</w:t>
            </w:r>
          </w:p>
        </w:tc>
        <w:tc>
          <w:tcPr>
            <w:tcW w:type="dxa" w:w="4320"/>
          </w:tcPr>
          <w:p>
            <w:pPr>
              <w:jc w:val="center"/>
            </w:pPr>
            <w:r>
              <w:rPr>
                <w:rFonts w:ascii="Arial" w:hAnsi="Arial"/>
                <w:b/>
                <w:sz w:val="20"/>
              </w:rPr>
              <w:br/>
              <w:br/>
              <w:br/>
              <w:br/>
              <w:t>Nurhidayat Nugroho, S.Ars.</w:t>
              <w:br/>
              <w:t>NIP. 19901221 201802 1 001</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