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sz w:val="22"/>
        </w:rPr>
        <w:t>KEMENTERIAN PEKERJAAN UMUM</w:t>
        <w:br/>
        <w:t>DIREKTORAT JENDERAL PRASARANA STRATEGIS</w:t>
        <w:br/>
        <w:t>SATUAN KERJA PELAKSANAAN PRASARANA STRATEGIS RIAU</w:t>
        <w:br/>
      </w:r>
    </w:p>
    <w:p>
      <w:pPr>
        <w:spacing w:before="0" w:after="160"/>
        <w:jc w:val="center"/>
      </w:pPr>
      <w:r>
        <w:rPr>
          <w:rFonts w:ascii="Arial" w:hAnsi="Arial"/>
          <w:color w:val="787878"/>
          <w:sz w:val="17"/>
        </w:rPr>
        <w:t>Jalan Bakti, Ruko Komplek Mutiara Asri Garden, Sidomulyo Timur, Marpoyan Damai, Pekanbaru</w:t>
        <w:br/>
        <w:t>—————————————————————————————————————————————————————————————————</w:t>
      </w:r>
    </w:p>
    <w:p>
      <w:pPr>
        <w:spacing w:before="160" w:after="200"/>
        <w:jc w:val="center"/>
      </w:pPr>
      <w:r>
        <w:rPr>
          <w:rFonts w:ascii="Arial" w:hAnsi="Arial"/>
          <w:b/>
          <w:sz w:val="23"/>
        </w:rPr>
        <w:t>REKAPITULASI REALISASI ANGGARAN DIBANDINGKAN DENGAN RAB</w:t>
        <w:br/>
      </w:r>
      <w:r>
        <w:rPr>
          <w:rFonts w:ascii="Arial" w:hAnsi="Arial"/>
          <w:b/>
          <w:sz w:val="23"/>
        </w:rPr>
        <w:t>ADMINISTRASI KEGIATAN PEMBANGUNAN GEDUNG SPPG PROVINSI RIAU</w:t>
        <w:br/>
      </w:r>
      <w:r>
        <w:rPr>
          <w:rFonts w:ascii="Arial" w:hAnsi="Arial"/>
          <w:b/>
          <w:sz w:val="23"/>
        </w:rPr>
        <w:t>TAHUN ANGGARAN 2025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E0E0E0"/>
          </w:tcPr>
          <w:p>
            <w:r>
              <w:rPr>
                <w:rFonts w:ascii="Arial" w:hAnsi="Arial"/>
                <w:b/>
                <w:sz w:val="17"/>
              </w:rPr>
              <w:t>KODE AKUN</w:t>
            </w:r>
          </w:p>
        </w:tc>
        <w:tc>
          <w:tcPr>
            <w:tcW w:type="dxa" w:w="1440"/>
            <w:shd w:val="clear" w:color="auto" w:fill="E0E0E0"/>
          </w:tcPr>
          <w:p>
            <w:r>
              <w:rPr>
                <w:rFonts w:ascii="Arial" w:hAnsi="Arial"/>
                <w:b/>
                <w:sz w:val="17"/>
              </w:rPr>
              <w:t>URAIAN KOMPONEN BELANJA</w:t>
            </w:r>
          </w:p>
        </w:tc>
        <w:tc>
          <w:tcPr>
            <w:tcW w:type="dxa" w:w="1440"/>
            <w:shd w:val="clear" w:color="auto" w:fill="E0E0E0"/>
          </w:tcPr>
          <w:p>
            <w:r>
              <w:rPr>
                <w:rFonts w:ascii="Arial" w:hAnsi="Arial"/>
                <w:b/>
                <w:sz w:val="17"/>
              </w:rPr>
              <w:t>PAGU RAB (Rp)</w:t>
            </w:r>
          </w:p>
        </w:tc>
        <w:tc>
          <w:tcPr>
            <w:tcW w:type="dxa" w:w="1440"/>
            <w:shd w:val="clear" w:color="auto" w:fill="E0E0E0"/>
          </w:tcPr>
          <w:p>
            <w:r>
              <w:rPr>
                <w:rFonts w:ascii="Arial" w:hAnsi="Arial"/>
                <w:b/>
                <w:sz w:val="17"/>
              </w:rPr>
              <w:t>REALISASI (Rp)</w:t>
            </w:r>
          </w:p>
        </w:tc>
        <w:tc>
          <w:tcPr>
            <w:tcW w:type="dxa" w:w="1440"/>
            <w:shd w:val="clear" w:color="auto" w:fill="E0E0E0"/>
          </w:tcPr>
          <w:p>
            <w:r>
              <w:rPr>
                <w:rFonts w:ascii="Arial" w:hAnsi="Arial"/>
                <w:b/>
                <w:sz w:val="17"/>
              </w:rPr>
              <w:t>SISA ANGGARAN (Rp)</w:t>
            </w:r>
          </w:p>
        </w:tc>
        <w:tc>
          <w:tcPr>
            <w:tcW w:type="dxa" w:w="1440"/>
            <w:shd w:val="clear" w:color="auto" w:fill="E0E0E0"/>
          </w:tcPr>
          <w:p>
            <w:r>
              <w:rPr>
                <w:rFonts w:ascii="Arial" w:hAnsi="Arial"/>
                <w:b/>
                <w:sz w:val="17"/>
              </w:rPr>
              <w:t>% SERAPAN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/>
                <w:b/>
                <w:sz w:val="17"/>
              </w:rPr>
              <w:t>521211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7"/>
              </w:rPr>
              <w:t>Belanja Bahan (ATK, Supplies Komputer &amp; Laporan)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/>
                <w:sz w:val="17"/>
              </w:rPr>
              <w:t>44.700.000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/>
                <w:sz w:val="17"/>
              </w:rPr>
              <w:t>28.530.000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/>
                <w:sz w:val="17"/>
              </w:rPr>
              <w:t>16.170.000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/>
                <w:sz w:val="17"/>
              </w:rPr>
              <w:t>63,83 %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/>
                <w:b/>
                <w:sz w:val="17"/>
              </w:rPr>
              <w:t>521811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7"/>
              </w:rPr>
              <w:t>Belanja Barang Persediaan (Konsumsi Rapat)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/>
                <w:sz w:val="17"/>
              </w:rPr>
              <w:t>12.000.000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/>
                <w:sz w:val="17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/>
                <w:sz w:val="17"/>
              </w:rPr>
              <w:t>12.000.000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/>
                <w:sz w:val="17"/>
              </w:rPr>
              <w:t>0,00 %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/>
                <w:b/>
                <w:sz w:val="17"/>
              </w:rPr>
              <w:t>522131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7"/>
              </w:rPr>
              <w:t>Belanja Jasa Profesi / Konsultan Individual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/>
                <w:sz w:val="17"/>
              </w:rPr>
              <w:t>15.000.000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/>
                <w:sz w:val="17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/>
                <w:sz w:val="17"/>
              </w:rPr>
              <w:t>15.000.000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/>
                <w:sz w:val="17"/>
              </w:rPr>
              <w:t>0,00 %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/>
                <w:b/>
                <w:sz w:val="17"/>
              </w:rPr>
              <w:t>522115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7"/>
              </w:rPr>
              <w:t>Belanja Jasa Pendampingan Hukum Kejaksaan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/>
                <w:sz w:val="17"/>
              </w:rPr>
              <w:t>14.400.000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/>
                <w:sz w:val="17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/>
                <w:sz w:val="17"/>
              </w:rPr>
              <w:t>14.400.000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/>
                <w:sz w:val="17"/>
              </w:rPr>
              <w:t>0,00 %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/>
                <w:b/>
                <w:sz w:val="17"/>
              </w:rPr>
              <w:t>524111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7"/>
              </w:rPr>
              <w:t>Belanja Perjalanan Dinas Biasa (Monitoring Wilayah/Pusat)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/>
                <w:sz w:val="17"/>
              </w:rPr>
              <w:t>314.900.000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/>
                <w:sz w:val="17"/>
              </w:rPr>
              <w:t>109.629.100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/>
                <w:sz w:val="17"/>
              </w:rPr>
              <w:t>205.270.900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/>
                <w:sz w:val="17"/>
              </w:rPr>
              <w:t>34,81 %</w:t>
            </w:r>
          </w:p>
        </w:tc>
      </w:tr>
      <w:tr>
        <w:tc>
          <w:tcPr>
            <w:tcW w:type="dxa" w:w="1440"/>
          </w:tcPr>
          <w:p>
            <w:r>
              <w:rPr>
                <w:rFonts w:ascii="Arial" w:hAnsi="Arial"/>
                <w:b/>
                <w:sz w:val="17"/>
              </w:rPr>
              <w:t>524113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sz w:val="17"/>
              </w:rPr>
              <w:t>Belanja Perjalanan Dinas Dalam Kota (Tim PPK)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/>
                <w:sz w:val="17"/>
              </w:rPr>
              <w:t>12.000.000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/>
                <w:sz w:val="17"/>
              </w:rPr>
              <w:t>3.000.000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/>
                <w:sz w:val="17"/>
              </w:rPr>
              <w:t>9.000.000</w:t>
            </w:r>
          </w:p>
        </w:tc>
        <w:tc>
          <w:tcPr>
            <w:tcW w:type="dxa" w:w="1440"/>
          </w:tcPr>
          <w:p>
            <w:r>
              <w:rPr>
                <w:rFonts w:ascii="Arial" w:hAnsi="Arial"/>
                <w:b/>
                <w:sz w:val="17"/>
              </w:rPr>
              <w:t>25,00 %</w:t>
            </w:r>
          </w:p>
        </w:tc>
      </w:tr>
      <w:tr>
        <w:tc>
          <w:tcPr>
            <w:tcW w:type="dxa" w:w="1440"/>
            <w:shd w:val="clear" w:color="auto" w:fill="FFF0D0"/>
          </w:tcPr>
          <w:p>
            <w:r>
              <w:rPr>
                <w:rFonts w:ascii="Arial" w:hAnsi="Arial"/>
                <w:b/>
                <w:sz w:val="17"/>
              </w:rPr>
              <w:t>TOTAL</w:t>
            </w:r>
          </w:p>
        </w:tc>
        <w:tc>
          <w:tcPr>
            <w:tcW w:type="dxa" w:w="1440"/>
            <w:shd w:val="clear" w:color="auto" w:fill="FFF0D0"/>
          </w:tcPr>
          <w:p>
            <w:r>
              <w:rPr>
                <w:rFonts w:ascii="Arial" w:hAnsi="Arial"/>
                <w:b/>
                <w:sz w:val="17"/>
              </w:rPr>
              <w:t>TOTAL KEGIATAN ADMINISTRASI SPPG TA 2025</w:t>
            </w:r>
          </w:p>
        </w:tc>
        <w:tc>
          <w:tcPr>
            <w:tcW w:type="dxa" w:w="1440"/>
            <w:shd w:val="clear" w:color="auto" w:fill="FFF0D0"/>
          </w:tcPr>
          <w:p>
            <w:r>
              <w:rPr>
                <w:rFonts w:ascii="Arial" w:hAnsi="Arial"/>
                <w:b/>
                <w:sz w:val="17"/>
              </w:rPr>
              <w:t>413.000.000</w:t>
            </w:r>
          </w:p>
        </w:tc>
        <w:tc>
          <w:tcPr>
            <w:tcW w:type="dxa" w:w="1440"/>
            <w:shd w:val="clear" w:color="auto" w:fill="FFF0D0"/>
          </w:tcPr>
          <w:p>
            <w:r>
              <w:rPr>
                <w:rFonts w:ascii="Arial" w:hAnsi="Arial"/>
                <w:b/>
                <w:sz w:val="17"/>
              </w:rPr>
              <w:t>141.159.100</w:t>
            </w:r>
          </w:p>
        </w:tc>
        <w:tc>
          <w:tcPr>
            <w:tcW w:type="dxa" w:w="1440"/>
            <w:shd w:val="clear" w:color="auto" w:fill="FFF0D0"/>
          </w:tcPr>
          <w:p>
            <w:r>
              <w:rPr>
                <w:rFonts w:ascii="Arial" w:hAnsi="Arial"/>
                <w:b/>
                <w:sz w:val="17"/>
              </w:rPr>
              <w:t>271.840.900</w:t>
            </w:r>
          </w:p>
        </w:tc>
        <w:tc>
          <w:tcPr>
            <w:tcW w:type="dxa" w:w="1440"/>
            <w:shd w:val="clear" w:color="auto" w:fill="FFF0D0"/>
          </w:tcPr>
          <w:p>
            <w:r>
              <w:rPr>
                <w:rFonts w:ascii="Arial" w:hAnsi="Arial"/>
                <w:b/>
                <w:sz w:val="17"/>
              </w:rPr>
              <w:t>34,18 %</w:t>
            </w:r>
          </w:p>
        </w:tc>
      </w:tr>
    </w:tbl>
    <w:p>
      <w:pPr>
        <w:spacing w:before="200"/>
      </w:pPr>
      <w:r>
        <w:rPr>
          <w:rFonts w:ascii="Arial" w:hAnsi="Arial"/>
          <w:i/>
          <w:sz w:val="18"/>
        </w:rPr>
        <w:t>Keterangan: Sisa anggaran sebesar Rp 271.840.900,- merupakan sisa pagu efisiensi belanja riil yang tidak direalisasikan dan telah kembali ke Kas Negara.</w:t>
      </w:r>
    </w:p>
    <w:p>
      <w:pPr>
        <w:spacing w:before="280" w:after="80"/>
        <w:jc w:val="right"/>
      </w:pPr>
      <w:r>
        <w:rPr>
          <w:rFonts w:ascii="Arial" w:hAnsi="Arial"/>
          <w:sz w:val="20"/>
        </w:rPr>
        <w:t>Pekanbaru, 22 Desember 2025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08"/>
        <w:gridCol w:w="4608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Bendahara Pengeluaran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Pejabat Pembuat Komitmen</w:t>
              <w:br/>
              <w:t>Pelaksanaan Prasarana Strategis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br/>
              <w:br/>
              <w:br/>
              <w:br/>
              <w:t>Kh. Sri Handayani, S.Si., M.T.</w:t>
              <w:br/>
              <w:t>NIP. 19820402 201412 2 002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br/>
              <w:br/>
              <w:br/>
              <w:br/>
              <w:t>Nurhidayat Nugroho, S.Ars.</w:t>
              <w:br/>
              <w:t>NIP. 19901221 201802 1 001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