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EF0F" w14:textId="77777777" w:rsidR="00F63AF3" w:rsidRDefault="00F63AF3">
      <w:pPr>
        <w:spacing w:before="400" w:after="60"/>
      </w:pPr>
    </w:p>
    <w:p w14:paraId="15EDF296" w14:textId="77777777" w:rsidR="00F63AF3" w:rsidRDefault="00500100">
      <w:pPr>
        <w:shd w:val="clear" w:color="auto" w:fill="0D1B3E"/>
        <w:spacing w:after="80"/>
        <w:jc w:val="center"/>
      </w:pPr>
      <w:r>
        <w:rPr>
          <w:b/>
          <w:bCs/>
          <w:color w:val="FFFFFF"/>
          <w:sz w:val="32"/>
          <w:szCs w:val="32"/>
        </w:rPr>
        <w:t>COMPREHENSIVE RESEARCH NOTES</w:t>
      </w:r>
    </w:p>
    <w:p w14:paraId="648019B0" w14:textId="77777777" w:rsidR="00F63AF3" w:rsidRDefault="00500100">
      <w:pPr>
        <w:shd w:val="clear" w:color="auto" w:fill="0E6B7A"/>
        <w:spacing w:after="200"/>
        <w:jc w:val="center"/>
      </w:pPr>
      <w:r>
        <w:rPr>
          <w:b/>
          <w:bCs/>
          <w:color w:val="FFFFFF"/>
          <w:sz w:val="24"/>
          <w:szCs w:val="24"/>
        </w:rPr>
        <w:t>Technical → Conceptual → Plain-English Explanations</w:t>
      </w:r>
    </w:p>
    <w:p w14:paraId="216673CB" w14:textId="77777777" w:rsidR="00F63AF3" w:rsidRDefault="00F63AF3">
      <w:pPr>
        <w:spacing w:before="120" w:after="60"/>
      </w:pPr>
    </w:p>
    <w:p w14:paraId="7274FA13" w14:textId="77777777" w:rsidR="00F63AF3" w:rsidRDefault="00500100">
      <w:pPr>
        <w:spacing w:after="80"/>
        <w:jc w:val="center"/>
      </w:pPr>
      <w:r>
        <w:rPr>
          <w:b/>
          <w:bCs/>
          <w:color w:val="0D1B3E"/>
          <w:sz w:val="30"/>
          <w:szCs w:val="30"/>
        </w:rPr>
        <w:t>AI Readiness and Supply Chain Performance:</w:t>
      </w:r>
    </w:p>
    <w:p w14:paraId="0CAAA81C" w14:textId="77777777" w:rsidR="00F63AF3" w:rsidRDefault="00500100">
      <w:pPr>
        <w:spacing w:after="60"/>
        <w:jc w:val="center"/>
      </w:pPr>
      <w:r>
        <w:rPr>
          <w:b/>
          <w:bCs/>
          <w:color w:val="0E6B7A"/>
          <w:sz w:val="24"/>
          <w:szCs w:val="24"/>
        </w:rPr>
        <w:t>A Cross-National Pilot Study Using Structural Equation Modelling</w:t>
      </w:r>
    </w:p>
    <w:p w14:paraId="0A0001BB" w14:textId="77777777" w:rsidR="00F63AF3" w:rsidRDefault="00F63AF3">
      <w:pPr>
        <w:spacing w:before="80" w:after="60"/>
      </w:pPr>
    </w:p>
    <w:p w14:paraId="3D4F2851" w14:textId="77777777" w:rsidR="00F63AF3" w:rsidRDefault="00500100">
      <w:pPr>
        <w:spacing w:after="40"/>
        <w:jc w:val="center"/>
      </w:pPr>
      <w:r>
        <w:rPr>
          <w:color w:val="4A5568"/>
        </w:rPr>
        <w:t>Tewogbade Shakir Adeyemi  |  DBA Researcher  |  ID: 2573172317</w:t>
      </w:r>
    </w:p>
    <w:p w14:paraId="20CA8CE9" w14:textId="77777777" w:rsidR="00F63AF3" w:rsidRDefault="00500100">
      <w:pPr>
        <w:spacing w:after="40"/>
        <w:jc w:val="center"/>
      </w:pPr>
      <w:r>
        <w:rPr>
          <w:color w:val="4A5568"/>
        </w:rPr>
        <w:t>Module: BDX0010 Research Methods  |  May 2026</w:t>
      </w:r>
    </w:p>
    <w:p w14:paraId="158C8630" w14:textId="77777777" w:rsidR="00F63AF3" w:rsidRDefault="00F63AF3">
      <w:pPr>
        <w:spacing w:before="200" w:after="60"/>
      </w:pPr>
    </w:p>
    <w:p w14:paraId="4B04941D"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HOW TO USE THESE NOTES:  </w:t>
      </w:r>
      <w:r>
        <w:rPr>
          <w:color w:val="2D3748"/>
          <w:sz w:val="21"/>
          <w:szCs w:val="21"/>
        </w:rPr>
        <w:t>Each section begins with a plain-English summary so you can understand the concept as a non-specialist, then builds into the technical detail. Look for the coloured callout boxes for key plain-English explanations, warnings, and insights.</w:t>
      </w:r>
    </w:p>
    <w:p w14:paraId="09B2EA9D" w14:textId="77777777" w:rsidR="00F63AF3" w:rsidRDefault="00F63AF3">
      <w:pPr>
        <w:spacing w:before="60" w:after="60"/>
      </w:pPr>
    </w:p>
    <w:p w14:paraId="2FDF46DA" w14:textId="77777777" w:rsidR="00F63AF3" w:rsidRDefault="00500100">
      <w:r>
        <w:br w:type="page"/>
      </w:r>
    </w:p>
    <w:p w14:paraId="23ADED6B" w14:textId="77777777" w:rsidR="00F63AF3" w:rsidRDefault="00500100">
      <w:pPr>
        <w:shd w:val="clear" w:color="auto" w:fill="0D1B3E"/>
        <w:spacing w:before="320" w:after="160"/>
        <w:ind w:left="160" w:right="160"/>
      </w:pPr>
      <w:r>
        <w:rPr>
          <w:b/>
          <w:bCs/>
          <w:color w:val="FFFFFF"/>
          <w:sz w:val="26"/>
          <w:szCs w:val="26"/>
        </w:rPr>
        <w:lastRenderedPageBreak/>
        <w:t>PART 1  THE BIG PICTURE — WHAT IS THIS RESEARCH ABOUT?</w:t>
      </w:r>
    </w:p>
    <w:p w14:paraId="6279DBA4" w14:textId="77777777" w:rsidR="00F63AF3" w:rsidRDefault="00F63AF3">
      <w:pPr>
        <w:spacing w:before="80" w:after="60"/>
      </w:pPr>
    </w:p>
    <w:p w14:paraId="77EBFE23" w14:textId="77777777" w:rsidR="00F63AF3" w:rsidRDefault="00500100">
      <w:pPr>
        <w:pBdr>
          <w:bottom w:val="single" w:sz="4" w:space="0" w:color="0D1B3E"/>
        </w:pBdr>
        <w:spacing w:before="220" w:after="100"/>
      </w:pPr>
      <w:r>
        <w:rPr>
          <w:b/>
          <w:bCs/>
          <w:color w:val="0D1B3E"/>
          <w:sz w:val="24"/>
          <w:szCs w:val="24"/>
        </w:rPr>
        <w:t>1.1  Plain-English Overview</w:t>
      </w:r>
    </w:p>
    <w:p w14:paraId="33818392"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Imagine you run a delivery company. Countries with better AI technology tend to have faster, cheaper, and more reliable logistics systems. But does that automatically mean their economies grow faster? And does strong government make AI work better or does it replace the need for AI? This research answers those three questions using data from 164 countries and advanced statistics.</w:t>
      </w:r>
    </w:p>
    <w:p w14:paraId="0AA13F73" w14:textId="77777777" w:rsidR="00F63AF3" w:rsidRDefault="00F63AF3">
      <w:pPr>
        <w:spacing w:before="60" w:after="60"/>
      </w:pPr>
    </w:p>
    <w:p w14:paraId="670BD639" w14:textId="77777777" w:rsidR="00F63AF3" w:rsidRDefault="00500100">
      <w:pPr>
        <w:spacing w:before="120" w:after="80" w:line="340" w:lineRule="auto"/>
      </w:pPr>
      <w:r>
        <w:rPr>
          <w:color w:val="1A2335"/>
        </w:rPr>
        <w:t xml:space="preserve">This study investigates one deceptively simple question: </w:t>
      </w:r>
      <w:r>
        <w:rPr>
          <w:b/>
          <w:bCs/>
          <w:color w:val="0D1B3E"/>
        </w:rPr>
        <w:t>does a country being more AI-ready make its supply chains perform better, and does that then grow its economy?</w:t>
      </w:r>
    </w:p>
    <w:p w14:paraId="4C26326E" w14:textId="77777777" w:rsidR="00F63AF3" w:rsidRDefault="00500100">
      <w:pPr>
        <w:spacing w:before="120" w:after="80" w:line="340" w:lineRule="auto"/>
      </w:pPr>
      <w:r>
        <w:rPr>
          <w:color w:val="1A2335"/>
        </w:rPr>
        <w:t>To answer it, the researcher collects data from 164 countries, builds statistical composites (called latent constructs) for four key concepts — AI Readiness, Supply Chain Performance, Institutional Quality, and Economic Performance — and then tests a series of cause-and-effect hypotheses using a statistical technique called Structural Equation Modelling (SEM).</w:t>
      </w:r>
    </w:p>
    <w:p w14:paraId="70698B1D" w14:textId="77777777" w:rsidR="00F63AF3" w:rsidRDefault="00F63AF3">
      <w:pPr>
        <w:spacing w:before="60" w:after="60"/>
      </w:pPr>
    </w:p>
    <w:p w14:paraId="1C0AB99E" w14:textId="77777777" w:rsidR="00F63AF3" w:rsidRDefault="00500100">
      <w:pPr>
        <w:pBdr>
          <w:bottom w:val="single" w:sz="4" w:space="0" w:color="0D1B3E"/>
        </w:pBdr>
        <w:spacing w:before="220" w:after="100"/>
      </w:pPr>
      <w:r>
        <w:rPr>
          <w:b/>
          <w:bCs/>
          <w:color w:val="0D1B3E"/>
          <w:sz w:val="24"/>
          <w:szCs w:val="24"/>
        </w:rPr>
        <w:t>1.2  Why Does This Research Matter?</w:t>
      </w:r>
    </w:p>
    <w:p w14:paraId="627FB365" w14:textId="77777777" w:rsidR="00F63AF3" w:rsidRDefault="00500100">
      <w:pPr>
        <w:spacing w:before="120" w:after="80" w:line="340" w:lineRule="auto"/>
      </w:pPr>
      <w:r>
        <w:rPr>
          <w:color w:val="1A2335"/>
        </w:rPr>
        <w:t>The world is changing fast. AI is no longer just a Silicon Valley buzzword — it is reshaping how governments, logistics companies, and entire economies operate. Yet most academic research on AI focuses on individual companies or specific industries. Almost nobody has asked: does AI readiness at the national level actually shift how well a country moves goods across borders?</w:t>
      </w:r>
    </w:p>
    <w:p w14:paraId="58121117" w14:textId="77777777" w:rsidR="00F63AF3" w:rsidRDefault="00500100">
      <w:pPr>
        <w:spacing w:before="120" w:after="80" w:line="340" w:lineRule="auto"/>
      </w:pPr>
      <w:r>
        <w:rPr>
          <w:color w:val="1A2335"/>
        </w:rPr>
        <w:t>Three specific gaps motivated this study:</w:t>
      </w:r>
    </w:p>
    <w:p w14:paraId="482692AC" w14:textId="77777777" w:rsidR="00F63AF3" w:rsidRDefault="00500100">
      <w:pPr>
        <w:spacing w:before="60" w:after="60" w:line="310" w:lineRule="auto"/>
        <w:ind w:left="360" w:hanging="260"/>
      </w:pPr>
      <w:r>
        <w:rPr>
          <w:color w:val="2D3748"/>
          <w:sz w:val="21"/>
          <w:szCs w:val="21"/>
        </w:rPr>
        <w:t>●  Most AI and supply chain research is firm-level or sector-specific. This study goes macro — all countries, all sectors, simultaneously.</w:t>
      </w:r>
    </w:p>
    <w:p w14:paraId="0AD598DE" w14:textId="77777777" w:rsidR="00F63AF3" w:rsidRDefault="00500100">
      <w:pPr>
        <w:spacing w:before="60" w:after="60" w:line="310" w:lineRule="auto"/>
        <w:ind w:left="360" w:hanging="260"/>
      </w:pPr>
      <w:r>
        <w:rPr>
          <w:color w:val="2D3748"/>
          <w:sz w:val="21"/>
          <w:szCs w:val="21"/>
        </w:rPr>
        <w:t>●  The role of institutional quality (government governance) is assumed to amplify technology effects in most literature. This study tests whether that assumption actually holds — and finds it does not.</w:t>
      </w:r>
    </w:p>
    <w:p w14:paraId="3F5641F5" w14:textId="77777777" w:rsidR="00F63AF3" w:rsidRDefault="00500100">
      <w:pPr>
        <w:spacing w:before="60" w:after="60" w:line="310" w:lineRule="auto"/>
        <w:ind w:left="360" w:hanging="260"/>
      </w:pPr>
      <w:r>
        <w:rPr>
          <w:color w:val="2D3748"/>
          <w:sz w:val="21"/>
          <w:szCs w:val="21"/>
        </w:rPr>
        <w:t>●  The question of whether supply chains act as a "bridge" between AI readiness and economic prosperity had never been tested cross-nationally with SEM before this study.</w:t>
      </w:r>
    </w:p>
    <w:p w14:paraId="6B2D2E84" w14:textId="77777777" w:rsidR="00F63AF3" w:rsidRDefault="00F63AF3">
      <w:pPr>
        <w:spacing w:before="60" w:after="60"/>
      </w:pPr>
    </w:p>
    <w:p w14:paraId="3F5E67FA" w14:textId="77777777" w:rsidR="00F63AF3" w:rsidRDefault="00500100">
      <w:pPr>
        <w:pBdr>
          <w:bottom w:val="single" w:sz="4" w:space="0" w:color="0D1B3E"/>
        </w:pBdr>
        <w:spacing w:before="220" w:after="100"/>
      </w:pPr>
      <w:r>
        <w:rPr>
          <w:b/>
          <w:bCs/>
          <w:color w:val="0D1B3E"/>
          <w:sz w:val="24"/>
          <w:szCs w:val="24"/>
        </w:rPr>
        <w:t>1.3  The Core Tension — Technology vs. Governance</w:t>
      </w:r>
    </w:p>
    <w:p w14:paraId="23C7BC8F"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THE KEY INSIGHT (spoiler):  </w:t>
      </w:r>
      <w:r>
        <w:rPr>
          <w:color w:val="2D3748"/>
          <w:sz w:val="21"/>
          <w:szCs w:val="21"/>
        </w:rPr>
        <w:t>AI readiness does boost supply chain performance — but NOT by working together with institutions. Instead, they partially substitute for each other. Strong governance reduces the marginal value of AI. This is surprising and counter-intuitive.</w:t>
      </w:r>
    </w:p>
    <w:p w14:paraId="40999284" w14:textId="77777777" w:rsidR="00F63AF3" w:rsidRDefault="00F63AF3">
      <w:pPr>
        <w:spacing w:before="40" w:after="60"/>
      </w:pPr>
    </w:p>
    <w:p w14:paraId="5E96A040" w14:textId="77777777" w:rsidR="00F63AF3" w:rsidRDefault="00500100">
      <w:pPr>
        <w:spacing w:before="120" w:after="80" w:line="340" w:lineRule="auto"/>
      </w:pPr>
      <w:r>
        <w:rPr>
          <w:color w:val="1A2335"/>
        </w:rPr>
        <w:t xml:space="preserve">The study expected — as most literature assumes — that strong governance and high AI readiness would amplify each other, together producing much better supply chains than either could alone (complementarity). The empirical results reveal the opposite: a substitutive relationship. Where governance </w:t>
      </w:r>
      <w:r>
        <w:rPr>
          <w:color w:val="1A2335"/>
        </w:rPr>
        <w:lastRenderedPageBreak/>
        <w:t>is already excellent, adding more AI readiness adds diminishing returns to supply chain performance. The two forces compensate for each other rather than compounding.</w:t>
      </w:r>
    </w:p>
    <w:p w14:paraId="538EB055" w14:textId="77777777" w:rsidR="00F63AF3" w:rsidRDefault="00F63AF3">
      <w:pPr>
        <w:spacing w:before="100" w:after="60"/>
      </w:pPr>
    </w:p>
    <w:p w14:paraId="240F9B1A" w14:textId="77777777" w:rsidR="00F63AF3" w:rsidRDefault="00500100">
      <w:r>
        <w:br w:type="page"/>
      </w:r>
    </w:p>
    <w:p w14:paraId="05BDEF58" w14:textId="77777777" w:rsidR="00F63AF3" w:rsidRDefault="00500100">
      <w:pPr>
        <w:shd w:val="clear" w:color="auto" w:fill="0E6B7A"/>
        <w:spacing w:before="320" w:after="160"/>
        <w:ind w:left="160" w:right="160"/>
      </w:pPr>
      <w:r>
        <w:rPr>
          <w:b/>
          <w:bCs/>
          <w:color w:val="FFFFFF"/>
          <w:sz w:val="26"/>
          <w:szCs w:val="26"/>
        </w:rPr>
        <w:lastRenderedPageBreak/>
        <w:t>PART 2  RESEARCH DESIGN — HOW THE STUDY IS SET UP</w:t>
      </w:r>
    </w:p>
    <w:p w14:paraId="6293AD9A" w14:textId="77777777" w:rsidR="00F63AF3" w:rsidRDefault="00F63AF3">
      <w:pPr>
        <w:spacing w:before="80" w:after="60"/>
      </w:pPr>
    </w:p>
    <w:p w14:paraId="5677D458" w14:textId="77777777" w:rsidR="00F63AF3" w:rsidRDefault="00500100">
      <w:pPr>
        <w:pBdr>
          <w:bottom w:val="single" w:sz="4" w:space="0" w:color="0E6B7A"/>
        </w:pBdr>
        <w:spacing w:before="220" w:after="100"/>
      </w:pPr>
      <w:r>
        <w:rPr>
          <w:b/>
          <w:bCs/>
          <w:color w:val="0E6B7A"/>
          <w:sz w:val="24"/>
          <w:szCs w:val="24"/>
        </w:rPr>
        <w:t>2.1  Research Philosophy — Post-Positivism</w:t>
      </w:r>
    </w:p>
    <w:p w14:paraId="4E1A2748"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The researcher believes there IS a real truth out there (AI readiness does or does not affect supply chains), but we can only get close to it through imperfect measurements. This is why the study uses proxy indicators (things we can measure) to represent concepts we cannot measure directly (like "AI readiness of a country").</w:t>
      </w:r>
    </w:p>
    <w:p w14:paraId="5C61E3E6" w14:textId="77777777" w:rsidR="00F63AF3" w:rsidRDefault="00F63AF3">
      <w:pPr>
        <w:spacing w:before="60" w:after="60"/>
      </w:pPr>
    </w:p>
    <w:p w14:paraId="3270DA3A" w14:textId="77777777" w:rsidR="00F63AF3" w:rsidRDefault="00500100">
      <w:pPr>
        <w:spacing w:before="120" w:after="80" w:line="340" w:lineRule="auto"/>
      </w:pPr>
      <w:r>
        <w:rPr>
          <w:color w:val="1A2335"/>
        </w:rPr>
        <w:t xml:space="preserve">Post-positivism is the philosophical position that objective reality exists but is imperfectly accessible. This is distinct from pure positivism (which assumes perfect measurement) and interpretivism (which rejects objective reality altogether). In the context of this study, constructs like AI readiness and institutional quality cannot be directly measured — they are </w:t>
      </w:r>
      <w:r>
        <w:rPr>
          <w:b/>
          <w:bCs/>
          <w:color w:val="1A2335"/>
        </w:rPr>
        <w:t>latent variables</w:t>
      </w:r>
      <w:r>
        <w:rPr>
          <w:color w:val="1A2335"/>
        </w:rPr>
        <w:t xml:space="preserve"> that can only be approximated through observable proxy indicators. Post-positivism justifies this approach while acknowledging measurement error, contextual heterogeneity, and data limitations (Bryman, 2021; Ryan, 2018).</w:t>
      </w:r>
    </w:p>
    <w:p w14:paraId="2E70BD96" w14:textId="77777777" w:rsidR="00F63AF3" w:rsidRDefault="00F63AF3">
      <w:pPr>
        <w:spacing w:before="60" w:after="60"/>
      </w:pPr>
    </w:p>
    <w:p w14:paraId="3625E727" w14:textId="77777777" w:rsidR="00F63AF3" w:rsidRDefault="00500100">
      <w:pPr>
        <w:pBdr>
          <w:bottom w:val="single" w:sz="4" w:space="0" w:color="0E6B7A"/>
        </w:pBdr>
        <w:spacing w:before="220" w:after="100"/>
      </w:pPr>
      <w:r>
        <w:rPr>
          <w:b/>
          <w:bCs/>
          <w:color w:val="0E6B7A"/>
          <w:sz w:val="24"/>
          <w:szCs w:val="24"/>
        </w:rPr>
        <w:t>2.2  Research Approach — Deductive</w:t>
      </w:r>
    </w:p>
    <w:p w14:paraId="67219DD4"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The researcher starts with existing theories from the literature (theories about technology, governance, and supply chains), uses them to make specific predictions (hypotheses), and then tests those predictions against real data. This is the opposite of starting from scratch and letting the data tell a story.</w:t>
      </w:r>
    </w:p>
    <w:p w14:paraId="0FB0C5FB" w14:textId="77777777" w:rsidR="00F63AF3" w:rsidRDefault="00F63AF3">
      <w:pPr>
        <w:spacing w:before="60" w:after="60"/>
      </w:pPr>
    </w:p>
    <w:p w14:paraId="0BA7DA3F" w14:textId="77777777" w:rsidR="00F63AF3" w:rsidRDefault="00500100">
      <w:pPr>
        <w:spacing w:before="120" w:after="80" w:line="340" w:lineRule="auto"/>
      </w:pPr>
      <w:r>
        <w:rPr>
          <w:color w:val="1A2335"/>
        </w:rPr>
        <w:t>A deductive research approach moves from theory to empirical testing. The researcher draws on three established theories (Technology Adoption Theory, Institutional Theory, Supply Chain Performance Theory) to derive testable propositions, which are then operationalised into formal hypotheses (H1a, H1b, H1c, H2a). The data either supports or refutes these predictions.</w:t>
      </w:r>
    </w:p>
    <w:p w14:paraId="416C4EDF" w14:textId="77777777" w:rsidR="00F63AF3" w:rsidRDefault="00500100">
      <w:pPr>
        <w:spacing w:before="120" w:after="80" w:line="340" w:lineRule="auto"/>
      </w:pPr>
      <w:r>
        <w:rPr>
          <w:color w:val="1A2335"/>
        </w:rPr>
        <w:t>The advantage of deduction is that it produces generalisable, replicable knowledge and enables comparison with prior studies. The limitation is that it can miss phenomena not anticipated by the existing theories.</w:t>
      </w:r>
    </w:p>
    <w:p w14:paraId="731A8C63" w14:textId="77777777" w:rsidR="00F63AF3" w:rsidRDefault="00F63AF3">
      <w:pPr>
        <w:spacing w:before="60" w:after="60"/>
      </w:pPr>
    </w:p>
    <w:p w14:paraId="5C88A7D3" w14:textId="77777777" w:rsidR="00F63AF3" w:rsidRDefault="00500100">
      <w:pPr>
        <w:pBdr>
          <w:bottom w:val="single" w:sz="4" w:space="0" w:color="0E6B7A"/>
        </w:pBdr>
        <w:spacing w:before="220" w:after="100"/>
      </w:pPr>
      <w:r>
        <w:rPr>
          <w:b/>
          <w:bCs/>
          <w:color w:val="0E6B7A"/>
          <w:sz w:val="24"/>
          <w:szCs w:val="24"/>
        </w:rPr>
        <w:t>2.3  Research Method — Quantitative</w:t>
      </w:r>
    </w:p>
    <w:p w14:paraId="019B3F38" w14:textId="77777777" w:rsidR="00F63AF3" w:rsidRDefault="00500100">
      <w:pPr>
        <w:spacing w:before="120" w:after="80" w:line="340" w:lineRule="auto"/>
      </w:pPr>
      <w:r>
        <w:rPr>
          <w:color w:val="1A2335"/>
        </w:rPr>
        <w:t xml:space="preserve">The study uses a quantitative method — all data are </w:t>
      </w:r>
      <w:proofErr w:type="gramStart"/>
      <w:r>
        <w:rPr>
          <w:color w:val="1A2335"/>
        </w:rPr>
        <w:t>numerical,</w:t>
      </w:r>
      <w:proofErr w:type="gramEnd"/>
      <w:r>
        <w:rPr>
          <w:color w:val="1A2335"/>
        </w:rPr>
        <w:t xml:space="preserve"> all analyses are statistical. This enables cross-national comparability (you can directly compare Singapore to Senegal on the same scale), hypothesis testing (you get a p-value that tells you if a result is statistically significant), and generalisation (findings potentially apply beyond the 164 countries studied).</w:t>
      </w:r>
    </w:p>
    <w:p w14:paraId="3BD4FA98"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t xml:space="preserve">KEY LIMITATION ACKNOWLEDGED:  </w:t>
      </w:r>
      <w:r>
        <w:rPr>
          <w:color w:val="2D3748"/>
          <w:sz w:val="21"/>
          <w:szCs w:val="21"/>
        </w:rPr>
        <w:t>Composite indices can mask within-indicator variation. Relying on national averages means country-level heterogeneity (regional differences within a country) is lost. The study acknowledges this honestly.</w:t>
      </w:r>
    </w:p>
    <w:p w14:paraId="749E7C59" w14:textId="77777777" w:rsidR="00F63AF3" w:rsidRDefault="00F63AF3">
      <w:pPr>
        <w:spacing w:before="60" w:after="60"/>
      </w:pPr>
    </w:p>
    <w:p w14:paraId="7F15538C" w14:textId="77777777" w:rsidR="00F63AF3" w:rsidRDefault="00500100">
      <w:pPr>
        <w:pBdr>
          <w:bottom w:val="single" w:sz="4" w:space="0" w:color="0E6B7A"/>
        </w:pBdr>
        <w:spacing w:before="220" w:after="100"/>
      </w:pPr>
      <w:r>
        <w:rPr>
          <w:b/>
          <w:bCs/>
          <w:color w:val="0E6B7A"/>
          <w:sz w:val="24"/>
          <w:szCs w:val="24"/>
        </w:rPr>
        <w:t>2.4  Research Strategy — Cross-National Comparative</w:t>
      </w:r>
    </w:p>
    <w:p w14:paraId="70330D61"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Instead of studying one country deeply, this research studies 164 countries simultaneously and asks: across all of them, are the same patterns visible? Countries that have better AI tend to have better supply chains? Yes or no?</w:t>
      </w:r>
    </w:p>
    <w:p w14:paraId="71953540" w14:textId="77777777" w:rsidR="00F63AF3" w:rsidRDefault="00F63AF3">
      <w:pPr>
        <w:spacing w:before="60" w:after="60"/>
      </w:pPr>
    </w:p>
    <w:p w14:paraId="0428D190" w14:textId="77777777" w:rsidR="00F63AF3" w:rsidRDefault="00500100">
      <w:pPr>
        <w:spacing w:before="120" w:after="80" w:line="340" w:lineRule="auto"/>
      </w:pPr>
      <w:r>
        <w:rPr>
          <w:color w:val="1A2335"/>
        </w:rPr>
        <w:t>The cross-national comparative strategy exploits natural variation across countries. Some countries have high AI readiness (e.g. Singapore, USA, UK), some have low (e.g. Chad, Eritrea). Some have strong institutions, some weak. By observing how these differences relate to supply chain performance across 164 contexts, the study extracts structural patterns that transcend any single national context.</w:t>
      </w:r>
    </w:p>
    <w:p w14:paraId="2CFC37C9" w14:textId="77777777" w:rsidR="00F63AF3" w:rsidRDefault="00F63AF3">
      <w:pPr>
        <w:spacing w:before="60" w:after="60"/>
      </w:pPr>
    </w:p>
    <w:p w14:paraId="62F4F5E1" w14:textId="77777777" w:rsidR="00F63AF3" w:rsidRDefault="00500100">
      <w:pPr>
        <w:pBdr>
          <w:bottom w:val="single" w:sz="4" w:space="0" w:color="0E6B7A"/>
        </w:pBdr>
        <w:spacing w:before="220" w:after="100"/>
      </w:pPr>
      <w:r>
        <w:rPr>
          <w:b/>
          <w:bCs/>
          <w:color w:val="0E6B7A"/>
          <w:sz w:val="24"/>
          <w:szCs w:val="24"/>
        </w:rPr>
        <w:t>2.5  Time Horizon — Cross-Sectional (2022–2023)</w:t>
      </w:r>
    </w:p>
    <w:p w14:paraId="6A89AD1A" w14:textId="77777777" w:rsidR="00F63AF3" w:rsidRDefault="00500100">
      <w:pPr>
        <w:spacing w:before="120" w:after="80" w:line="340" w:lineRule="auto"/>
      </w:pPr>
      <w:r>
        <w:rPr>
          <w:color w:val="1A2335"/>
        </w:rPr>
        <w:t>The study uses a cross-sectional design — a snapshot in time, not a time series. The AI readiness data comes from Oxford Insights 2023 edition; the LPI supply chain data from the 2022 World Bank survey. Because these two sources publish at different frequencies, "temporal bridging" is applied — anchoring to the most recently available observations from each source.</w:t>
      </w:r>
    </w:p>
    <w:p w14:paraId="3EC29BA8"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t xml:space="preserve">LIMITATION NOTE:  </w:t>
      </w:r>
      <w:r>
        <w:rPr>
          <w:color w:val="2D3748"/>
          <w:sz w:val="21"/>
          <w:szCs w:val="21"/>
        </w:rPr>
        <w:t>Cross-sectional data cannot establish causal precedence. We can say AI readiness and SC performance are strongly correlated, but we cannot prove with certainty that AI readiness caused the supply chain improvement (vs. SC performance causing countries to invest more in AI). This is why the study is a pilot, and why the researcher recommends a full panel study (2010–2025) as future work.</w:t>
      </w:r>
    </w:p>
    <w:p w14:paraId="4ADA545F" w14:textId="77777777" w:rsidR="00F63AF3" w:rsidRDefault="00F63AF3">
      <w:pPr>
        <w:spacing w:before="100" w:after="60"/>
      </w:pPr>
    </w:p>
    <w:p w14:paraId="34E3A045" w14:textId="77777777" w:rsidR="00F63AF3" w:rsidRDefault="00500100">
      <w:r>
        <w:br w:type="page"/>
      </w:r>
    </w:p>
    <w:p w14:paraId="1B885627" w14:textId="77777777" w:rsidR="00F63AF3" w:rsidRDefault="00500100">
      <w:pPr>
        <w:shd w:val="clear" w:color="auto" w:fill="4A235A"/>
        <w:spacing w:before="320" w:after="160"/>
        <w:ind w:left="160" w:right="160"/>
      </w:pPr>
      <w:r>
        <w:rPr>
          <w:b/>
          <w:bCs/>
          <w:color w:val="FFFFFF"/>
          <w:sz w:val="26"/>
          <w:szCs w:val="26"/>
        </w:rPr>
        <w:lastRenderedPageBreak/>
        <w:t>PART 3  THE FOUR CONSTRUCTS — WHAT IS BEING MEASURED?</w:t>
      </w:r>
    </w:p>
    <w:p w14:paraId="585DDCE6" w14:textId="77777777" w:rsidR="00F63AF3" w:rsidRDefault="00F63AF3">
      <w:pPr>
        <w:spacing w:before="80" w:after="60"/>
      </w:pPr>
    </w:p>
    <w:p w14:paraId="23F04F61"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IN PLAIN ENGLISH:  </w:t>
      </w:r>
      <w:r>
        <w:rPr>
          <w:color w:val="2D3748"/>
          <w:sz w:val="21"/>
          <w:szCs w:val="21"/>
        </w:rPr>
        <w:t>A "construct" is a concept that is too complex to measure with a single number. "AI Readiness" of a country cannot be captured by one data point — it needs several. The researcher combines multiple measurable indicators to create one composite score for each concept. Think of it like a credit score: your credit score is not one thing — it is a composite of payment history, debt level, credit age, etc.</w:t>
      </w:r>
    </w:p>
    <w:p w14:paraId="5521FE53" w14:textId="77777777" w:rsidR="00F63AF3" w:rsidRDefault="00F63AF3">
      <w:pPr>
        <w:spacing w:before="60" w:after="60"/>
      </w:pPr>
    </w:p>
    <w:p w14:paraId="142697F0" w14:textId="77777777" w:rsidR="00F63AF3" w:rsidRDefault="00500100">
      <w:pPr>
        <w:pBdr>
          <w:bottom w:val="single" w:sz="4" w:space="0" w:color="4A235A"/>
        </w:pBdr>
        <w:spacing w:before="220" w:after="100"/>
      </w:pPr>
      <w:r>
        <w:rPr>
          <w:b/>
          <w:bCs/>
          <w:color w:val="4A235A"/>
          <w:sz w:val="24"/>
          <w:szCs w:val="24"/>
        </w:rPr>
        <w:t>3.1  ξ₁ — AI Readiness (Exogenous Construct)</w:t>
      </w:r>
    </w:p>
    <w:p w14:paraId="279F873D" w14:textId="77777777" w:rsidR="00F63AF3" w:rsidRDefault="00500100">
      <w:pPr>
        <w:spacing w:before="160" w:after="60"/>
      </w:pPr>
      <w:r>
        <w:rPr>
          <w:b/>
          <w:bCs/>
          <w:color w:val="0E6B7A"/>
        </w:rPr>
        <w:t>What it represents:</w:t>
      </w:r>
    </w:p>
    <w:p w14:paraId="2E13F9B7" w14:textId="77777777" w:rsidR="00F63AF3" w:rsidRDefault="00500100">
      <w:pPr>
        <w:spacing w:before="120" w:after="80" w:line="340" w:lineRule="auto"/>
      </w:pPr>
      <w:r>
        <w:rPr>
          <w:color w:val="1A2335"/>
        </w:rPr>
        <w:t>A nation's capacity to develop, deploy, and govern Artificial Intelligence technologies. This includes government infrastructure for AI, the availability of skilled human capital, and the regulatory frameworks that govern AI adoption.</w:t>
      </w:r>
    </w:p>
    <w:p w14:paraId="4F5FB10E" w14:textId="77777777" w:rsidR="00F63AF3" w:rsidRDefault="00500100">
      <w:pPr>
        <w:spacing w:before="160" w:after="60"/>
      </w:pPr>
      <w:r>
        <w:rPr>
          <w:b/>
          <w:bCs/>
          <w:color w:val="0E6B7A"/>
        </w:rPr>
        <w:t>How it is measured (indicators):</w:t>
      </w:r>
    </w:p>
    <w:p w14:paraId="25183C2E" w14:textId="77777777" w:rsidR="00F63AF3" w:rsidRDefault="00500100">
      <w:pPr>
        <w:spacing w:before="60" w:after="60" w:line="310" w:lineRule="auto"/>
        <w:ind w:left="360" w:hanging="260"/>
      </w:pPr>
      <w:r>
        <w:rPr>
          <w:color w:val="2D3748"/>
          <w:sz w:val="21"/>
          <w:szCs w:val="21"/>
        </w:rPr>
        <w:t>●  Oxford Insights Government AI Readiness Index Score — a composite scoring 193 countries on government AI capability, infrastructure, data availability, and skills</w:t>
      </w:r>
    </w:p>
    <w:p w14:paraId="2DC97F3D" w14:textId="77777777" w:rsidR="00F63AF3" w:rsidRDefault="00500100">
      <w:pPr>
        <w:spacing w:before="60" w:after="60" w:line="310" w:lineRule="auto"/>
        <w:ind w:left="360" w:hanging="260"/>
      </w:pPr>
      <w:r>
        <w:rPr>
          <w:color w:val="2D3748"/>
          <w:sz w:val="21"/>
          <w:szCs w:val="21"/>
        </w:rPr>
        <w:t>●  Internet Users (% of population) — from ITU. Proxy for digital infrastructure that enables AI deployment</w:t>
      </w:r>
    </w:p>
    <w:p w14:paraId="2623086D" w14:textId="77777777" w:rsidR="00F63AF3" w:rsidRDefault="00500100">
      <w:pPr>
        <w:spacing w:before="60" w:after="60" w:line="310" w:lineRule="auto"/>
        <w:ind w:left="360" w:hanging="260"/>
      </w:pPr>
      <w:r>
        <w:rPr>
          <w:color w:val="2D3748"/>
          <w:sz w:val="21"/>
          <w:szCs w:val="21"/>
        </w:rPr>
        <w:t>●  R&amp;D Expenditure (% of GDP) — from World Bank WDI. Proxy for innovation investment capacity</w:t>
      </w:r>
    </w:p>
    <w:p w14:paraId="2906F918" w14:textId="77777777" w:rsidR="00F63AF3" w:rsidRDefault="00500100">
      <w:pPr>
        <w:spacing w:before="160" w:after="60"/>
      </w:pPr>
      <w:r>
        <w:rPr>
          <w:b/>
          <w:bCs/>
          <w:color w:val="0E6B7A"/>
        </w:rPr>
        <w:t>Why it is called "Exogenous":</w:t>
      </w:r>
    </w:p>
    <w:p w14:paraId="0B8EC9BD" w14:textId="77777777" w:rsidR="00F63AF3" w:rsidRDefault="00500100">
      <w:pPr>
        <w:spacing w:before="120" w:after="80" w:line="340" w:lineRule="auto"/>
      </w:pPr>
      <w:r>
        <w:rPr>
          <w:color w:val="1A2335"/>
        </w:rPr>
        <w:t>In SEM notation, exogenous means the variable is a predictor/cause — it drives other things. ξ (xi) is the Greek letter used for exogenous constructs. AI Readiness is treated as something that exists independently and influences supply chain and economic performance.</w:t>
      </w:r>
    </w:p>
    <w:p w14:paraId="7FDE1E17"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PLAIN ENGLISH:  </w:t>
      </w:r>
      <w:r>
        <w:rPr>
          <w:color w:val="2D3748"/>
          <w:sz w:val="21"/>
          <w:szCs w:val="21"/>
        </w:rPr>
        <w:t>Think of ξ₁ as "how good is this country at AI?" — a single score built from three real-world measurements.</w:t>
      </w:r>
    </w:p>
    <w:p w14:paraId="07354EAC" w14:textId="77777777" w:rsidR="00F63AF3" w:rsidRDefault="00F63AF3">
      <w:pPr>
        <w:spacing w:before="60" w:after="60"/>
      </w:pPr>
    </w:p>
    <w:p w14:paraId="2317C8C5" w14:textId="77777777" w:rsidR="00F63AF3" w:rsidRDefault="00500100">
      <w:pPr>
        <w:pBdr>
          <w:bottom w:val="single" w:sz="4" w:space="0" w:color="1A5C39"/>
        </w:pBdr>
        <w:spacing w:before="220" w:after="100"/>
      </w:pPr>
      <w:r>
        <w:rPr>
          <w:b/>
          <w:bCs/>
          <w:color w:val="1A5C39"/>
          <w:sz w:val="24"/>
          <w:szCs w:val="24"/>
        </w:rPr>
        <w:t>3.2  η₁ — SC Performance / Supply Chain Performance (Mediator)</w:t>
      </w:r>
    </w:p>
    <w:p w14:paraId="627DEE74" w14:textId="77777777" w:rsidR="00F63AF3" w:rsidRDefault="00500100">
      <w:pPr>
        <w:spacing w:before="160" w:after="60"/>
      </w:pPr>
      <w:r>
        <w:rPr>
          <w:b/>
          <w:bCs/>
          <w:color w:val="0E6B7A"/>
        </w:rPr>
        <w:t>What it represents:</w:t>
      </w:r>
    </w:p>
    <w:p w14:paraId="1431BD86" w14:textId="77777777" w:rsidR="00F63AF3" w:rsidRDefault="00500100">
      <w:pPr>
        <w:spacing w:before="120" w:after="80" w:line="340" w:lineRule="auto"/>
      </w:pPr>
      <w:r>
        <w:rPr>
          <w:color w:val="1A2335"/>
        </w:rPr>
        <w:t>How efficiently and effectively a nation moves goods across its borders and through its logistics systems. This is operationalised using the World Bank Logistics Performance Index (LPI).</w:t>
      </w:r>
    </w:p>
    <w:p w14:paraId="534067F0" w14:textId="77777777" w:rsidR="00F63AF3" w:rsidRDefault="00500100">
      <w:pPr>
        <w:spacing w:before="160" w:after="60"/>
      </w:pPr>
      <w:r>
        <w:rPr>
          <w:b/>
          <w:bCs/>
          <w:color w:val="0E6B7A"/>
        </w:rPr>
        <w:t>How it is measured (5 LPI sub-indicators):</w:t>
      </w:r>
    </w:p>
    <w:p w14:paraId="68E04D1C" w14:textId="77777777" w:rsidR="00F63AF3" w:rsidRDefault="00500100">
      <w:pPr>
        <w:spacing w:before="60" w:after="60" w:line="310" w:lineRule="auto"/>
        <w:ind w:left="360" w:hanging="260"/>
      </w:pPr>
      <w:r>
        <w:rPr>
          <w:color w:val="2D3748"/>
          <w:sz w:val="21"/>
          <w:szCs w:val="21"/>
        </w:rPr>
        <w:t>●  Customs efficiency — how fast and transparent border clearance procedures are</w:t>
      </w:r>
    </w:p>
    <w:p w14:paraId="7FFB0CBA" w14:textId="77777777" w:rsidR="00F63AF3" w:rsidRDefault="00500100">
      <w:pPr>
        <w:spacing w:before="60" w:after="60" w:line="310" w:lineRule="auto"/>
        <w:ind w:left="360" w:hanging="260"/>
      </w:pPr>
      <w:r>
        <w:rPr>
          <w:color w:val="2D3748"/>
          <w:sz w:val="21"/>
          <w:szCs w:val="21"/>
        </w:rPr>
        <w:t>●  Infrastructure quality — quality of transport and IT infrastructure (ports, roads, warehouses)</w:t>
      </w:r>
    </w:p>
    <w:p w14:paraId="5D242871" w14:textId="77777777" w:rsidR="00F63AF3" w:rsidRDefault="00500100">
      <w:pPr>
        <w:spacing w:before="60" w:after="60" w:line="310" w:lineRule="auto"/>
        <w:ind w:left="360" w:hanging="260"/>
      </w:pPr>
      <w:r>
        <w:rPr>
          <w:color w:val="2D3748"/>
          <w:sz w:val="21"/>
          <w:szCs w:val="21"/>
        </w:rPr>
        <w:t>●  International shipments — ease of arranging international freight</w:t>
      </w:r>
    </w:p>
    <w:p w14:paraId="4F304E0B" w14:textId="77777777" w:rsidR="00F63AF3" w:rsidRDefault="00500100">
      <w:pPr>
        <w:spacing w:before="60" w:after="60" w:line="310" w:lineRule="auto"/>
        <w:ind w:left="360" w:hanging="260"/>
      </w:pPr>
      <w:r>
        <w:rPr>
          <w:color w:val="2D3748"/>
          <w:sz w:val="21"/>
          <w:szCs w:val="21"/>
        </w:rPr>
        <w:t>●  Logistics competence — competence and quality of logistics services</w:t>
      </w:r>
    </w:p>
    <w:p w14:paraId="0B2ED16B" w14:textId="77777777" w:rsidR="00F63AF3" w:rsidRDefault="00500100">
      <w:pPr>
        <w:spacing w:before="60" w:after="60" w:line="310" w:lineRule="auto"/>
        <w:ind w:left="360" w:hanging="260"/>
      </w:pPr>
      <w:r>
        <w:rPr>
          <w:color w:val="2D3748"/>
          <w:sz w:val="21"/>
          <w:szCs w:val="21"/>
        </w:rPr>
        <w:t>●  Timeliness — frequency with which shipments reach the consignee within scheduled delivery time</w:t>
      </w:r>
    </w:p>
    <w:p w14:paraId="1E24AC0C"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PLAIN ENGLISH:  </w:t>
      </w:r>
      <w:r>
        <w:rPr>
          <w:color w:val="2D3748"/>
          <w:sz w:val="21"/>
          <w:szCs w:val="21"/>
        </w:rPr>
        <w:t>Think of η₁ as "how well does this country deliver things?" — five measurements about border speed, road quality, and shipping reliability combined into one score.</w:t>
      </w:r>
    </w:p>
    <w:p w14:paraId="7FE90858" w14:textId="77777777" w:rsidR="00F63AF3" w:rsidRDefault="00500100">
      <w:pPr>
        <w:spacing w:before="120" w:after="80" w:line="340" w:lineRule="auto"/>
      </w:pPr>
      <w:r>
        <w:rPr>
          <w:color w:val="1A2335"/>
        </w:rPr>
        <w:lastRenderedPageBreak/>
        <w:t>η (eta) is the Greek letter for endogenous (outcome) variables. SC Performance is endogenous because the model predicts it — it is caused by AI readiness and institutional quality.</w:t>
      </w:r>
    </w:p>
    <w:p w14:paraId="29F21CD1" w14:textId="77777777" w:rsidR="00F63AF3" w:rsidRDefault="00F63AF3">
      <w:pPr>
        <w:spacing w:before="60" w:after="60"/>
      </w:pPr>
    </w:p>
    <w:p w14:paraId="484859B6" w14:textId="77777777" w:rsidR="00F63AF3" w:rsidRDefault="00500100">
      <w:pPr>
        <w:pBdr>
          <w:bottom w:val="single" w:sz="4" w:space="0" w:color="B8860B"/>
        </w:pBdr>
        <w:spacing w:before="220" w:after="100"/>
      </w:pPr>
      <w:r>
        <w:rPr>
          <w:b/>
          <w:bCs/>
          <w:color w:val="B8860B"/>
          <w:sz w:val="24"/>
          <w:szCs w:val="24"/>
        </w:rPr>
        <w:t>3.3  η₂ — Economic Performance (Endogenous Outcome)</w:t>
      </w:r>
    </w:p>
    <w:p w14:paraId="1AA68884" w14:textId="77777777" w:rsidR="00F63AF3" w:rsidRDefault="00500100">
      <w:pPr>
        <w:spacing w:before="160" w:after="60"/>
      </w:pPr>
      <w:r>
        <w:rPr>
          <w:b/>
          <w:bCs/>
          <w:color w:val="0E6B7A"/>
        </w:rPr>
        <w:t>What it represents:</w:t>
      </w:r>
    </w:p>
    <w:p w14:paraId="01CFEAED" w14:textId="77777777" w:rsidR="00F63AF3" w:rsidRDefault="00500100">
      <w:pPr>
        <w:spacing w:before="120" w:after="80" w:line="340" w:lineRule="auto"/>
      </w:pPr>
      <w:r>
        <w:rPr>
          <w:color w:val="1A2335"/>
        </w:rPr>
        <w:t>The overall economic output and trade integration of a country. It captures not just raw wealth but also how open and trade-active an economy is.</w:t>
      </w:r>
    </w:p>
    <w:p w14:paraId="207437B4" w14:textId="77777777" w:rsidR="00F63AF3" w:rsidRDefault="00500100">
      <w:pPr>
        <w:spacing w:before="160" w:after="60"/>
      </w:pPr>
      <w:r>
        <w:rPr>
          <w:b/>
          <w:bCs/>
          <w:color w:val="0E6B7A"/>
        </w:rPr>
        <w:t>How it is measured:</w:t>
      </w:r>
    </w:p>
    <w:p w14:paraId="2589B150" w14:textId="77777777" w:rsidR="00F63AF3" w:rsidRDefault="00500100">
      <w:pPr>
        <w:spacing w:before="60" w:after="60" w:line="310" w:lineRule="auto"/>
        <w:ind w:left="360" w:hanging="260"/>
      </w:pPr>
      <w:r>
        <w:rPr>
          <w:color w:val="2D3748"/>
          <w:sz w:val="21"/>
          <w:szCs w:val="21"/>
        </w:rPr>
        <w:t>●  GDP per capita (constant 2015 USD) — inflation-adjusted income per person; primary wealth measure</w:t>
      </w:r>
    </w:p>
    <w:p w14:paraId="2E640808" w14:textId="77777777" w:rsidR="00F63AF3" w:rsidRDefault="00500100">
      <w:pPr>
        <w:spacing w:before="60" w:after="60" w:line="310" w:lineRule="auto"/>
        <w:ind w:left="360" w:hanging="260"/>
      </w:pPr>
      <w:r>
        <w:rPr>
          <w:color w:val="2D3748"/>
          <w:sz w:val="21"/>
          <w:szCs w:val="21"/>
        </w:rPr>
        <w:t>●  Exports as % of GDP — how much of the economy is from selling goods/services internationally</w:t>
      </w:r>
    </w:p>
    <w:p w14:paraId="4E94D6B3" w14:textId="77777777" w:rsidR="00F63AF3" w:rsidRDefault="00500100">
      <w:pPr>
        <w:spacing w:before="60" w:after="60" w:line="310" w:lineRule="auto"/>
        <w:ind w:left="360" w:hanging="260"/>
      </w:pPr>
      <w:r>
        <w:rPr>
          <w:color w:val="2D3748"/>
          <w:sz w:val="21"/>
          <w:szCs w:val="21"/>
        </w:rPr>
        <w:t>●  Trade Openness (Imports + Exports as % of GDP) — overall integration into global trade</w:t>
      </w:r>
    </w:p>
    <w:p w14:paraId="3EFD68EB"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IMPORTANT NOTE:  </w:t>
      </w:r>
      <w:r>
        <w:rPr>
          <w:color w:val="2D3748"/>
          <w:sz w:val="21"/>
          <w:szCs w:val="21"/>
        </w:rPr>
        <w:t>η₂ (Economic Performance) is highly non-normal — skewness = 2.368, kurtosis = 8.157. This is because a few extremely rich countries (Singapore, Luxembourg) sit far above the majority. The researcher acknowledges this and applies HC3 robust standard errors to mitigate the impact.</w:t>
      </w:r>
    </w:p>
    <w:p w14:paraId="1AAEDBAF" w14:textId="77777777" w:rsidR="00F63AF3" w:rsidRDefault="00F63AF3">
      <w:pPr>
        <w:spacing w:before="60" w:after="60"/>
      </w:pPr>
    </w:p>
    <w:p w14:paraId="412E9A06" w14:textId="77777777" w:rsidR="00F63AF3" w:rsidRDefault="00500100">
      <w:pPr>
        <w:pBdr>
          <w:bottom w:val="single" w:sz="4" w:space="0" w:color="0D1B3E"/>
        </w:pBdr>
        <w:spacing w:before="220" w:after="100"/>
      </w:pPr>
      <w:r>
        <w:rPr>
          <w:b/>
          <w:bCs/>
          <w:color w:val="0D1B3E"/>
          <w:sz w:val="24"/>
          <w:szCs w:val="24"/>
        </w:rPr>
        <w:t>3.4  ξ₂ — Institutional Quality (Exogenous / Moderator)</w:t>
      </w:r>
    </w:p>
    <w:p w14:paraId="33D79CAA" w14:textId="77777777" w:rsidR="00F63AF3" w:rsidRDefault="00500100">
      <w:pPr>
        <w:spacing w:before="160" w:after="60"/>
      </w:pPr>
      <w:r>
        <w:rPr>
          <w:b/>
          <w:bCs/>
          <w:color w:val="0E6B7A"/>
        </w:rPr>
        <w:t>What it represents:</w:t>
      </w:r>
    </w:p>
    <w:p w14:paraId="71A20058" w14:textId="77777777" w:rsidR="00F63AF3" w:rsidRDefault="00500100">
      <w:pPr>
        <w:spacing w:before="120" w:after="80" w:line="340" w:lineRule="auto"/>
      </w:pPr>
      <w:r>
        <w:rPr>
          <w:color w:val="1A2335"/>
        </w:rPr>
        <w:t>The quality of a country's governance structures, rule of law, regulatory environment, and control of corruption. Institutions shape whether technology can be effectively deployed and whether business environments are conducive to supply chain investment.</w:t>
      </w:r>
    </w:p>
    <w:p w14:paraId="6EF420F5" w14:textId="77777777" w:rsidR="00F63AF3" w:rsidRDefault="00500100">
      <w:pPr>
        <w:spacing w:before="160" w:after="60"/>
      </w:pPr>
      <w:r>
        <w:rPr>
          <w:b/>
          <w:bCs/>
          <w:color w:val="0E6B7A"/>
        </w:rPr>
        <w:t>How it is measured (4 WGI indicators):</w:t>
      </w:r>
    </w:p>
    <w:p w14:paraId="26A153E9" w14:textId="77777777" w:rsidR="00F63AF3" w:rsidRDefault="00500100">
      <w:pPr>
        <w:spacing w:before="60" w:after="60" w:line="310" w:lineRule="auto"/>
        <w:ind w:left="360" w:hanging="260"/>
      </w:pPr>
      <w:r>
        <w:rPr>
          <w:color w:val="2D3748"/>
          <w:sz w:val="21"/>
          <w:szCs w:val="21"/>
        </w:rPr>
        <w:t>●  Government Effectiveness — quality of public services and implementation of policies</w:t>
      </w:r>
    </w:p>
    <w:p w14:paraId="161CE3B2" w14:textId="77777777" w:rsidR="00F63AF3" w:rsidRDefault="00500100">
      <w:pPr>
        <w:spacing w:before="60" w:after="60" w:line="310" w:lineRule="auto"/>
        <w:ind w:left="360" w:hanging="260"/>
      </w:pPr>
      <w:r>
        <w:rPr>
          <w:color w:val="2D3748"/>
          <w:sz w:val="21"/>
          <w:szCs w:val="21"/>
        </w:rPr>
        <w:t>●  Rule of Law — contract enforcement, property rights, judicial quality</w:t>
      </w:r>
    </w:p>
    <w:p w14:paraId="6D57D32B" w14:textId="77777777" w:rsidR="00F63AF3" w:rsidRDefault="00500100">
      <w:pPr>
        <w:spacing w:before="60" w:after="60" w:line="310" w:lineRule="auto"/>
        <w:ind w:left="360" w:hanging="260"/>
      </w:pPr>
      <w:r>
        <w:rPr>
          <w:color w:val="2D3748"/>
          <w:sz w:val="21"/>
          <w:szCs w:val="21"/>
        </w:rPr>
        <w:t>●  Regulatory Quality — ability to formulate sound policies and regulations enabling private sector</w:t>
      </w:r>
    </w:p>
    <w:p w14:paraId="5D4CF89A" w14:textId="77777777" w:rsidR="00F63AF3" w:rsidRDefault="00500100">
      <w:pPr>
        <w:spacing w:before="60" w:after="60" w:line="310" w:lineRule="auto"/>
        <w:ind w:left="360" w:hanging="260"/>
      </w:pPr>
      <w:r>
        <w:rPr>
          <w:color w:val="2D3748"/>
          <w:sz w:val="21"/>
          <w:szCs w:val="21"/>
        </w:rPr>
        <w:t>●  Control of Corruption — extent to which public power is not abused for private gain</w:t>
      </w:r>
    </w:p>
    <w:p w14:paraId="6CEA2002" w14:textId="77777777" w:rsidR="00F63AF3" w:rsidRDefault="00500100">
      <w:pPr>
        <w:pBdr>
          <w:left w:val="single" w:sz="18" w:space="0" w:color="0D1B3E"/>
        </w:pBdr>
        <w:shd w:val="clear" w:color="auto" w:fill="EBF4FA"/>
        <w:spacing w:before="120" w:after="120" w:line="320" w:lineRule="auto"/>
        <w:ind w:left="360" w:right="200"/>
      </w:pPr>
      <w:r>
        <w:rPr>
          <w:b/>
          <w:bCs/>
          <w:color w:val="0D1B3E"/>
          <w:sz w:val="21"/>
          <w:szCs w:val="21"/>
        </w:rPr>
        <w:t xml:space="preserve">PLAIN ENGLISH:  </w:t>
      </w:r>
      <w:r>
        <w:rPr>
          <w:color w:val="2D3748"/>
          <w:sz w:val="21"/>
          <w:szCs w:val="21"/>
        </w:rPr>
        <w:t>Think of ξ₂ as "how well-governed is this country?" — measured by four World Bank scores about government competence, legal systems, regulation, and corruption. This is also the moderator — it is the variable that changes how AI affects supply chains.</w:t>
      </w:r>
    </w:p>
    <w:p w14:paraId="6CDAD46D" w14:textId="77777777" w:rsidR="00F63AF3" w:rsidRDefault="00500100">
      <w:pPr>
        <w:spacing w:before="120" w:after="80" w:line="340" w:lineRule="auto"/>
      </w:pPr>
      <w:r>
        <w:rPr>
          <w:color w:val="1A2335"/>
        </w:rPr>
        <w:t>Highest reliability of all constructs: α = 0.982. The four WGI pillars are so tightly intercorrelated that they form an almost perfect scale — meaning these four aspects of governance tend to move together across countries.</w:t>
      </w:r>
    </w:p>
    <w:p w14:paraId="2214426D" w14:textId="77777777" w:rsidR="00F63AF3" w:rsidRDefault="00F63AF3">
      <w:pPr>
        <w:spacing w:before="100" w:after="60"/>
      </w:pPr>
    </w:p>
    <w:p w14:paraId="7E450791" w14:textId="77777777" w:rsidR="00F63AF3" w:rsidRDefault="00500100">
      <w:r>
        <w:br w:type="page"/>
      </w:r>
    </w:p>
    <w:p w14:paraId="394039D1" w14:textId="77777777" w:rsidR="00F63AF3" w:rsidRDefault="00500100">
      <w:pPr>
        <w:shd w:val="clear" w:color="auto" w:fill="B8860B"/>
        <w:spacing w:before="320" w:after="160"/>
        <w:ind w:left="160" w:right="160"/>
      </w:pPr>
      <w:r>
        <w:rPr>
          <w:b/>
          <w:bCs/>
          <w:color w:val="FFFFFF"/>
          <w:sz w:val="26"/>
          <w:szCs w:val="26"/>
        </w:rPr>
        <w:lastRenderedPageBreak/>
        <w:t>PART 4  THEORETICAL FRAMEWORK — THE IDEAS BEHIND THE STUDY</w:t>
      </w:r>
    </w:p>
    <w:p w14:paraId="6FF6CF61" w14:textId="77777777" w:rsidR="00F63AF3" w:rsidRDefault="00F63AF3">
      <w:pPr>
        <w:spacing w:before="80" w:after="60"/>
      </w:pPr>
    </w:p>
    <w:p w14:paraId="6A7EAEE0"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IN PLAIN ENGLISH:  </w:t>
      </w:r>
      <w:r>
        <w:rPr>
          <w:color w:val="2D3748"/>
          <w:sz w:val="21"/>
          <w:szCs w:val="21"/>
        </w:rPr>
        <w:t>Before running any statistics, a researcher needs a theoretical reason to believe their hypotheses might be true. The theory is the "why" that motivates the "what". This study draws on three well-established theories.</w:t>
      </w:r>
    </w:p>
    <w:p w14:paraId="1907C448" w14:textId="77777777" w:rsidR="00F63AF3" w:rsidRDefault="00F63AF3">
      <w:pPr>
        <w:spacing w:before="60" w:after="60"/>
      </w:pPr>
    </w:p>
    <w:p w14:paraId="5A01D020" w14:textId="77777777" w:rsidR="00F63AF3" w:rsidRDefault="00500100">
      <w:pPr>
        <w:pBdr>
          <w:bottom w:val="single" w:sz="4" w:space="0" w:color="B8860B"/>
        </w:pBdr>
        <w:spacing w:before="220" w:after="100"/>
      </w:pPr>
      <w:r>
        <w:rPr>
          <w:b/>
          <w:bCs/>
          <w:color w:val="B8860B"/>
          <w:sz w:val="24"/>
          <w:szCs w:val="24"/>
        </w:rPr>
        <w:t>4.1  Theory 1: Technology Adoption Theory (TOE Framework)</w:t>
      </w:r>
    </w:p>
    <w:p w14:paraId="129A50E4" w14:textId="77777777" w:rsidR="00F63AF3" w:rsidRDefault="00500100">
      <w:pPr>
        <w:spacing w:before="120" w:after="80" w:line="340" w:lineRule="auto"/>
      </w:pPr>
      <w:r>
        <w:rPr>
          <w:color w:val="1A2335"/>
        </w:rPr>
        <w:t>The Technology–Organisation–Environment (TOE) Framework, proposed by Tornatzky and Fleischer (1990), argues that the adoption and impact of technology on organisational/system performance depends on three contexts: the technological context (what technology is available), the organisational context (internal capabilities), and the environmental context (industry and institutional environment).</w:t>
      </w:r>
    </w:p>
    <w:p w14:paraId="451DF892" w14:textId="77777777" w:rsidR="00F63AF3" w:rsidRDefault="00500100">
      <w:pPr>
        <w:spacing w:before="120" w:after="80" w:line="340" w:lineRule="auto"/>
      </w:pPr>
      <w:r>
        <w:rPr>
          <w:color w:val="1A2335"/>
        </w:rPr>
        <w:t>Applied here at the macro-national level: countries with greater technological capacity (AI readiness) are better positioned to deploy intelligent systems that optimise logistics — demand forecasting, route optimisation, automated customs processing, predictive inventory management. This provides the theoretical foundation for H1a.</w:t>
      </w:r>
    </w:p>
    <w:p w14:paraId="29D5C64B"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WHAT THIS PREDICTS (H1a):  </w:t>
      </w:r>
      <w:r>
        <w:rPr>
          <w:color w:val="2D3748"/>
          <w:sz w:val="21"/>
          <w:szCs w:val="21"/>
        </w:rPr>
        <w:t>Higher AI readiness → better supply chain performance. Countries that are more AI-ready should have more efficient, faster, more reliable logistics systems.</w:t>
      </w:r>
    </w:p>
    <w:p w14:paraId="0924E924" w14:textId="77777777" w:rsidR="00F63AF3" w:rsidRDefault="00F63AF3">
      <w:pPr>
        <w:spacing w:before="60" w:after="60"/>
      </w:pPr>
    </w:p>
    <w:p w14:paraId="6810BEE7" w14:textId="77777777" w:rsidR="00F63AF3" w:rsidRDefault="00500100">
      <w:pPr>
        <w:pBdr>
          <w:bottom w:val="single" w:sz="4" w:space="0" w:color="4A235A"/>
        </w:pBdr>
        <w:spacing w:before="220" w:after="100"/>
      </w:pPr>
      <w:r>
        <w:rPr>
          <w:b/>
          <w:bCs/>
          <w:color w:val="4A235A"/>
          <w:sz w:val="24"/>
          <w:szCs w:val="24"/>
        </w:rPr>
        <w:t>4.2  Theory 2: Institutional Theory</w:t>
      </w:r>
    </w:p>
    <w:p w14:paraId="65787FEE" w14:textId="77777777" w:rsidR="00F63AF3" w:rsidRDefault="00500100">
      <w:pPr>
        <w:spacing w:before="120" w:after="80" w:line="340" w:lineRule="auto"/>
      </w:pPr>
      <w:r>
        <w:rPr>
          <w:color w:val="1A2335"/>
        </w:rPr>
        <w:t>Institutional Theory (DiMaggio &amp; Powell, 1983; North, 1990) argues that the formal and informal rules of a society — laws, regulations, governance structures, norms — fundamentally shape how organisations and systems behave and perform. Strong institutions create stability, enforce contracts, reduce corruption, and provide the regulatory clarity that logistics operations need.</w:t>
      </w:r>
    </w:p>
    <w:p w14:paraId="5AD0A966" w14:textId="77777777" w:rsidR="00F63AF3" w:rsidRDefault="00500100">
      <w:pPr>
        <w:spacing w:before="120" w:after="80" w:line="340" w:lineRule="auto"/>
      </w:pPr>
      <w:r>
        <w:rPr>
          <w:color w:val="1A2335"/>
        </w:rPr>
        <w:t>In logistics: customs efficiency depends on regulatory quality. Infrastructure investment depends on rule of law. Logistics competence builds where government effectiveness supports training and certification. Hence, institutional quality is expected to directly improve SC performance (H1b) and also to moderate how AI readiness translates into SC gains (H1c).</w:t>
      </w:r>
    </w:p>
    <w:p w14:paraId="11FF8307"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WHAT THIS PREDICTS (H1b + H1c):  </w:t>
      </w:r>
      <w:r>
        <w:rPr>
          <w:color w:val="2D3748"/>
          <w:sz w:val="21"/>
          <w:szCs w:val="21"/>
        </w:rPr>
        <w:t>H1b: Better institutions → better supply chains. H1c: Institutions change how much AI readiness matters for supply chains (moderation). The literature assumed this moderation is positive/amplifying — but the findings show it is negative/substitutive.</w:t>
      </w:r>
    </w:p>
    <w:p w14:paraId="12525646" w14:textId="77777777" w:rsidR="00F63AF3" w:rsidRDefault="00F63AF3">
      <w:pPr>
        <w:spacing w:before="60" w:after="60"/>
      </w:pPr>
    </w:p>
    <w:p w14:paraId="7BC46DC7" w14:textId="77777777" w:rsidR="00F63AF3" w:rsidRDefault="00500100">
      <w:pPr>
        <w:pBdr>
          <w:bottom w:val="single" w:sz="4" w:space="0" w:color="1A5C39"/>
        </w:pBdr>
        <w:spacing w:before="220" w:after="100"/>
      </w:pPr>
      <w:r>
        <w:rPr>
          <w:b/>
          <w:bCs/>
          <w:color w:val="1A5C39"/>
          <w:sz w:val="24"/>
          <w:szCs w:val="24"/>
        </w:rPr>
        <w:t>4.3  Theory 3: Supply Chain Performance Theory (Mediation)</w:t>
      </w:r>
    </w:p>
    <w:p w14:paraId="39B46DE5" w14:textId="77777777" w:rsidR="00F63AF3" w:rsidRDefault="00500100">
      <w:pPr>
        <w:spacing w:before="120" w:after="80" w:line="340" w:lineRule="auto"/>
      </w:pPr>
      <w:r>
        <w:rPr>
          <w:color w:val="1A2335"/>
        </w:rPr>
        <w:t>Supply chain performance theory (informed by Mentzer et al., 2001 and others) posits that efficient logistics systems reduce transaction costs, improve market access, and facilitate trade — all of which compound into broader economic gains at the national level. Countries with better LPI scores consistently show higher trade volumes and economic integration.</w:t>
      </w:r>
    </w:p>
    <w:p w14:paraId="59E8B4BE" w14:textId="77777777" w:rsidR="00F63AF3" w:rsidRDefault="00500100">
      <w:pPr>
        <w:spacing w:before="120" w:after="80" w:line="340" w:lineRule="auto"/>
      </w:pPr>
      <w:r>
        <w:rPr>
          <w:color w:val="1A2335"/>
        </w:rPr>
        <w:lastRenderedPageBreak/>
        <w:t>The mediation proposition (H2a) follows logically: if AI readiness improves supply chains, and supply chains improve economic performance, then AI readiness should indirectly improve economic performance through supply chains. This is the "transmission mechanism" hypothesis.</w:t>
      </w:r>
    </w:p>
    <w:p w14:paraId="4F6AD2F6"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t xml:space="preserve">WHAT THIS PREDICTS (H2a) — AND WHAT ACTUALLY HAPPENED:  </w:t>
      </w:r>
      <w:r>
        <w:rPr>
          <w:color w:val="2D3748"/>
          <w:sz w:val="21"/>
          <w:szCs w:val="21"/>
        </w:rPr>
        <w:t>H2a predicted: AI Readiness → SC Performance → Economic Performance (mediation). What actually happened: AI Readiness → Economic Performance directly (bypassing supply chains). The mediation chain broke because supply chain performance did not predict economic performance once AI readiness was controlled. This is a significant and surprising finding.</w:t>
      </w:r>
    </w:p>
    <w:p w14:paraId="502BFD76" w14:textId="77777777" w:rsidR="00F63AF3" w:rsidRDefault="00F63AF3">
      <w:pPr>
        <w:spacing w:before="100" w:after="60"/>
      </w:pPr>
    </w:p>
    <w:p w14:paraId="42A76664" w14:textId="77777777" w:rsidR="00F63AF3" w:rsidRDefault="00500100">
      <w:r>
        <w:br w:type="page"/>
      </w:r>
    </w:p>
    <w:p w14:paraId="2B0FF1F5" w14:textId="77777777" w:rsidR="00F63AF3" w:rsidRDefault="00500100">
      <w:pPr>
        <w:shd w:val="clear" w:color="auto" w:fill="0E6B7A"/>
        <w:spacing w:before="320" w:after="160"/>
        <w:ind w:left="160" w:right="160"/>
      </w:pPr>
      <w:r>
        <w:rPr>
          <w:b/>
          <w:bCs/>
          <w:color w:val="FFFFFF"/>
          <w:sz w:val="26"/>
          <w:szCs w:val="26"/>
        </w:rPr>
        <w:lastRenderedPageBreak/>
        <w:t>PART 5  DATA SOURCES, COLLECTION &amp; PREPARATION</w:t>
      </w:r>
    </w:p>
    <w:p w14:paraId="1DC1FF80" w14:textId="77777777" w:rsidR="00F63AF3" w:rsidRDefault="00F63AF3">
      <w:pPr>
        <w:spacing w:before="80" w:after="60"/>
      </w:pPr>
    </w:p>
    <w:p w14:paraId="36738D85" w14:textId="77777777" w:rsidR="00F63AF3" w:rsidRDefault="00500100">
      <w:pPr>
        <w:pBdr>
          <w:bottom w:val="single" w:sz="4" w:space="0" w:color="0E6B7A"/>
        </w:pBdr>
        <w:spacing w:before="220" w:after="100"/>
      </w:pPr>
      <w:r>
        <w:rPr>
          <w:b/>
          <w:bCs/>
          <w:color w:val="0E6B7A"/>
          <w:sz w:val="24"/>
          <w:szCs w:val="24"/>
        </w:rPr>
        <w:t>5.1  The Five Data Sources</w:t>
      </w:r>
    </w:p>
    <w:p w14:paraId="0A08EDC1"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F63AF3" w14:paraId="356B73DC" w14:textId="77777777">
        <w:tblPrEx>
          <w:tblCellMar>
            <w:top w:w="0" w:type="dxa"/>
            <w:bottom w:w="0" w:type="dxa"/>
          </w:tblCellMar>
        </w:tblPrEx>
        <w:trPr>
          <w:tblHeader/>
        </w:trPr>
        <w:tc>
          <w:tcPr>
            <w:tcW w:w="24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395AEB4" w14:textId="77777777" w:rsidR="00F63AF3" w:rsidRDefault="00500100">
            <w:pPr>
              <w:jc w:val="center"/>
            </w:pPr>
            <w:r>
              <w:rPr>
                <w:b/>
                <w:bCs/>
                <w:color w:val="FFFFFF"/>
                <w:sz w:val="19"/>
                <w:szCs w:val="19"/>
              </w:rPr>
              <w:t>Source</w:t>
            </w:r>
          </w:p>
        </w:tc>
        <w:tc>
          <w:tcPr>
            <w:tcW w:w="36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705BDB98" w14:textId="77777777" w:rsidR="00F63AF3" w:rsidRDefault="00500100">
            <w:pPr>
              <w:jc w:val="center"/>
            </w:pPr>
            <w:r>
              <w:rPr>
                <w:b/>
                <w:bCs/>
                <w:color w:val="FFFFFF"/>
                <w:sz w:val="19"/>
                <w:szCs w:val="19"/>
              </w:rPr>
              <w:t>What It Provides</w:t>
            </w:r>
          </w:p>
        </w:tc>
        <w:tc>
          <w:tcPr>
            <w:tcW w:w="30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F045CDE" w14:textId="77777777" w:rsidR="00F63AF3" w:rsidRDefault="00500100">
            <w:pPr>
              <w:jc w:val="center"/>
            </w:pPr>
            <w:r>
              <w:rPr>
                <w:b/>
                <w:bCs/>
                <w:color w:val="FFFFFF"/>
                <w:sz w:val="19"/>
                <w:szCs w:val="19"/>
              </w:rPr>
              <w:t>Used For</w:t>
            </w:r>
          </w:p>
        </w:tc>
      </w:tr>
      <w:tr w:rsidR="00F63AF3" w14:paraId="763D782E" w14:textId="77777777">
        <w:tblPrEx>
          <w:tblCellMar>
            <w:top w:w="0" w:type="dxa"/>
            <w:bottom w:w="0" w:type="dxa"/>
          </w:tblCellMar>
        </w:tblPrEx>
        <w:tc>
          <w:tcPr>
            <w:tcW w:w="2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6489623" w14:textId="77777777" w:rsidR="00F63AF3" w:rsidRDefault="00500100">
            <w:r>
              <w:rPr>
                <w:color w:val="1A2335"/>
                <w:sz w:val="19"/>
                <w:szCs w:val="19"/>
              </w:rPr>
              <w:t>Oxford Insights AI Readiness Index</w:t>
            </w:r>
          </w:p>
        </w:tc>
        <w:tc>
          <w:tcPr>
            <w:tcW w:w="36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9B4A709" w14:textId="77777777" w:rsidR="00F63AF3" w:rsidRDefault="00500100">
            <w:pPr>
              <w:jc w:val="center"/>
            </w:pPr>
            <w:r>
              <w:rPr>
                <w:color w:val="1A2335"/>
                <w:sz w:val="19"/>
                <w:szCs w:val="19"/>
              </w:rPr>
              <w:t>Annual scores for 193 countries on government AI capability, data infrastructure, skills, and technology adoption</w:t>
            </w:r>
          </w:p>
        </w:tc>
        <w:tc>
          <w:tcPr>
            <w:tcW w:w="30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278FAE3" w14:textId="77777777" w:rsidR="00F63AF3" w:rsidRDefault="00500100">
            <w:pPr>
              <w:jc w:val="center"/>
            </w:pPr>
            <w:r>
              <w:rPr>
                <w:color w:val="1A2335"/>
                <w:sz w:val="19"/>
                <w:szCs w:val="19"/>
              </w:rPr>
              <w:t>ξ₁ AI Readiness (primary indicator)</w:t>
            </w:r>
          </w:p>
        </w:tc>
      </w:tr>
      <w:tr w:rsidR="00F63AF3" w14:paraId="553B7D6F" w14:textId="77777777">
        <w:tblPrEx>
          <w:tblCellMar>
            <w:top w:w="0" w:type="dxa"/>
            <w:bottom w:w="0" w:type="dxa"/>
          </w:tblCellMar>
        </w:tblPrEx>
        <w:tc>
          <w:tcPr>
            <w:tcW w:w="24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F3872E0" w14:textId="77777777" w:rsidR="00F63AF3" w:rsidRDefault="00500100">
            <w:r>
              <w:rPr>
                <w:color w:val="1A2335"/>
                <w:sz w:val="19"/>
                <w:szCs w:val="19"/>
              </w:rPr>
              <w:t>World Bank LPI</w:t>
            </w:r>
          </w:p>
        </w:tc>
        <w:tc>
          <w:tcPr>
            <w:tcW w:w="36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39BD704" w14:textId="77777777" w:rsidR="00F63AF3" w:rsidRDefault="00500100">
            <w:pPr>
              <w:jc w:val="center"/>
            </w:pPr>
            <w:r>
              <w:rPr>
                <w:color w:val="1A2335"/>
                <w:sz w:val="19"/>
                <w:szCs w:val="19"/>
              </w:rPr>
              <w:t>Biennial survey of logistics professionals rating country-level logistics performance on 6 dimensions</w:t>
            </w:r>
          </w:p>
        </w:tc>
        <w:tc>
          <w:tcPr>
            <w:tcW w:w="30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C946D8D" w14:textId="77777777" w:rsidR="00F63AF3" w:rsidRDefault="00500100">
            <w:pPr>
              <w:jc w:val="center"/>
            </w:pPr>
            <w:r>
              <w:rPr>
                <w:color w:val="1A2335"/>
                <w:sz w:val="19"/>
                <w:szCs w:val="19"/>
              </w:rPr>
              <w:t>η₁ SC Performance (5 sub-indicators)</w:t>
            </w:r>
          </w:p>
        </w:tc>
      </w:tr>
      <w:tr w:rsidR="00F63AF3" w14:paraId="66CC8E79" w14:textId="77777777">
        <w:tblPrEx>
          <w:tblCellMar>
            <w:top w:w="0" w:type="dxa"/>
            <w:bottom w:w="0" w:type="dxa"/>
          </w:tblCellMar>
        </w:tblPrEx>
        <w:tc>
          <w:tcPr>
            <w:tcW w:w="2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647E28A" w14:textId="77777777" w:rsidR="00F63AF3" w:rsidRDefault="00500100">
            <w:r>
              <w:rPr>
                <w:color w:val="1A2335"/>
                <w:sz w:val="19"/>
                <w:szCs w:val="19"/>
              </w:rPr>
              <w:t>World Bank WDI</w:t>
            </w:r>
          </w:p>
        </w:tc>
        <w:tc>
          <w:tcPr>
            <w:tcW w:w="36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ECAB274" w14:textId="77777777" w:rsidR="00F63AF3" w:rsidRDefault="00500100">
            <w:pPr>
              <w:jc w:val="center"/>
            </w:pPr>
            <w:r>
              <w:rPr>
                <w:color w:val="1A2335"/>
                <w:sz w:val="19"/>
                <w:szCs w:val="19"/>
              </w:rPr>
              <w:t>Annual macroeconomic indicators: GDP, trade, exports, internet use, R&amp;D</w:t>
            </w:r>
          </w:p>
        </w:tc>
        <w:tc>
          <w:tcPr>
            <w:tcW w:w="30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12D02AD" w14:textId="77777777" w:rsidR="00F63AF3" w:rsidRDefault="00500100">
            <w:pPr>
              <w:jc w:val="center"/>
            </w:pPr>
            <w:r>
              <w:rPr>
                <w:color w:val="1A2335"/>
                <w:sz w:val="19"/>
                <w:szCs w:val="19"/>
              </w:rPr>
              <w:t>η₂ Economic Performance + ξ₁ internet/R&amp;D</w:t>
            </w:r>
          </w:p>
        </w:tc>
      </w:tr>
      <w:tr w:rsidR="00F63AF3" w14:paraId="09F74A7D" w14:textId="77777777">
        <w:tblPrEx>
          <w:tblCellMar>
            <w:top w:w="0" w:type="dxa"/>
            <w:bottom w:w="0" w:type="dxa"/>
          </w:tblCellMar>
        </w:tblPrEx>
        <w:tc>
          <w:tcPr>
            <w:tcW w:w="24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08299E3" w14:textId="77777777" w:rsidR="00F63AF3" w:rsidRDefault="00500100">
            <w:r>
              <w:rPr>
                <w:color w:val="1A2335"/>
                <w:sz w:val="19"/>
                <w:szCs w:val="19"/>
              </w:rPr>
              <w:t>World Bank WGI</w:t>
            </w:r>
          </w:p>
        </w:tc>
        <w:tc>
          <w:tcPr>
            <w:tcW w:w="36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D5682D1" w14:textId="77777777" w:rsidR="00F63AF3" w:rsidRDefault="00500100">
            <w:pPr>
              <w:jc w:val="center"/>
            </w:pPr>
            <w:r>
              <w:rPr>
                <w:color w:val="1A2335"/>
                <w:sz w:val="19"/>
                <w:szCs w:val="19"/>
              </w:rPr>
              <w:t>Annual governance scores for 215+ countries on 6 dimensions of governance quality</w:t>
            </w:r>
          </w:p>
        </w:tc>
        <w:tc>
          <w:tcPr>
            <w:tcW w:w="30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AE54E3D" w14:textId="77777777" w:rsidR="00F63AF3" w:rsidRDefault="00500100">
            <w:pPr>
              <w:jc w:val="center"/>
            </w:pPr>
            <w:r>
              <w:rPr>
                <w:color w:val="1A2335"/>
                <w:sz w:val="19"/>
                <w:szCs w:val="19"/>
              </w:rPr>
              <w:t>ξ₂ Institutional Quality (4 of 6 pillars)</w:t>
            </w:r>
          </w:p>
        </w:tc>
      </w:tr>
      <w:tr w:rsidR="00F63AF3" w14:paraId="7C46CA93" w14:textId="77777777">
        <w:tblPrEx>
          <w:tblCellMar>
            <w:top w:w="0" w:type="dxa"/>
            <w:bottom w:w="0" w:type="dxa"/>
          </w:tblCellMar>
        </w:tblPrEx>
        <w:tc>
          <w:tcPr>
            <w:tcW w:w="2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EF14618" w14:textId="77777777" w:rsidR="00F63AF3" w:rsidRDefault="00500100">
            <w:r>
              <w:rPr>
                <w:color w:val="1A2335"/>
                <w:sz w:val="19"/>
                <w:szCs w:val="19"/>
              </w:rPr>
              <w:t>ITU + Stanford HAI</w:t>
            </w:r>
          </w:p>
        </w:tc>
        <w:tc>
          <w:tcPr>
            <w:tcW w:w="36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91AF8C3" w14:textId="77777777" w:rsidR="00F63AF3" w:rsidRDefault="00500100">
            <w:pPr>
              <w:jc w:val="center"/>
            </w:pPr>
            <w:r>
              <w:rPr>
                <w:color w:val="1A2335"/>
                <w:sz w:val="19"/>
                <w:szCs w:val="19"/>
              </w:rPr>
              <w:t>Supplementary digital economy and AI investment data</w:t>
            </w:r>
          </w:p>
        </w:tc>
        <w:tc>
          <w:tcPr>
            <w:tcW w:w="30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AC615FF" w14:textId="77777777" w:rsidR="00F63AF3" w:rsidRDefault="00500100">
            <w:pPr>
              <w:jc w:val="center"/>
            </w:pPr>
            <w:r>
              <w:rPr>
                <w:color w:val="1A2335"/>
                <w:sz w:val="19"/>
                <w:szCs w:val="19"/>
              </w:rPr>
              <w:t>Additional ξ₁ indicators</w:t>
            </w:r>
          </w:p>
        </w:tc>
      </w:tr>
    </w:tbl>
    <w:p w14:paraId="42D65BAB" w14:textId="77777777" w:rsidR="00F63AF3" w:rsidRDefault="00F63AF3">
      <w:pPr>
        <w:spacing w:before="80" w:after="60"/>
      </w:pPr>
    </w:p>
    <w:p w14:paraId="3487891C" w14:textId="77777777" w:rsidR="00F63AF3" w:rsidRDefault="00500100">
      <w:pPr>
        <w:pBdr>
          <w:bottom w:val="single" w:sz="4" w:space="0" w:color="0E6B7A"/>
        </w:pBdr>
        <w:spacing w:before="220" w:after="100"/>
      </w:pPr>
      <w:r>
        <w:rPr>
          <w:b/>
          <w:bCs/>
          <w:color w:val="0E6B7A"/>
          <w:sz w:val="24"/>
          <w:szCs w:val="24"/>
        </w:rPr>
        <w:t>5.2  Data Collection Method — Python Automation</w:t>
      </w:r>
    </w:p>
    <w:p w14:paraId="4EA3D6C8"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Instead of manually downloading Excel files and copy-pasting data, the researcher wrote computer programs (Python scripts) that automatically fetch the data, clean it, and prepare it. This is called a "computational pipeline</w:t>
      </w:r>
      <w:proofErr w:type="gramStart"/>
      <w:r>
        <w:rPr>
          <w:color w:val="2D3748"/>
          <w:sz w:val="21"/>
          <w:szCs w:val="21"/>
        </w:rPr>
        <w:t>"</w:t>
      </w:r>
      <w:proofErr w:type="gramEnd"/>
      <w:r>
        <w:rPr>
          <w:color w:val="2D3748"/>
          <w:sz w:val="21"/>
          <w:szCs w:val="21"/>
        </w:rPr>
        <w:t xml:space="preserve"> and it makes the research reproducible — anyone can run the same scripts and get the same data.</w:t>
      </w:r>
    </w:p>
    <w:p w14:paraId="7E7387CD" w14:textId="77777777" w:rsidR="00F63AF3" w:rsidRDefault="00F63AF3">
      <w:pPr>
        <w:spacing w:before="60" w:after="60"/>
      </w:pPr>
    </w:p>
    <w:p w14:paraId="312DB8D0" w14:textId="77777777" w:rsidR="00F63AF3" w:rsidRDefault="00500100">
      <w:pPr>
        <w:spacing w:before="120" w:after="80" w:line="340" w:lineRule="auto"/>
      </w:pPr>
      <w:r>
        <w:rPr>
          <w:color w:val="1A2335"/>
        </w:rPr>
        <w:t>Three Python tools were used:</w:t>
      </w:r>
    </w:p>
    <w:p w14:paraId="4217C86C" w14:textId="77777777" w:rsidR="00F63AF3" w:rsidRDefault="00500100">
      <w:pPr>
        <w:spacing w:before="60" w:after="60" w:line="310" w:lineRule="auto"/>
        <w:ind w:left="360" w:hanging="260"/>
      </w:pPr>
      <w:r>
        <w:rPr>
          <w:color w:val="2D3748"/>
          <w:sz w:val="21"/>
          <w:szCs w:val="21"/>
        </w:rPr>
        <w:t>●  wbgapi library — directly queries the World Bank API to retrieve WDI, WGI, and LPI data for all countries and years 2010–2025</w:t>
      </w:r>
    </w:p>
    <w:p w14:paraId="2570AE4E" w14:textId="77777777" w:rsidR="00F63AF3" w:rsidRDefault="00500100">
      <w:pPr>
        <w:spacing w:before="60" w:after="60" w:line="310" w:lineRule="auto"/>
        <w:ind w:left="360" w:hanging="260"/>
      </w:pPr>
      <w:r>
        <w:rPr>
          <w:color w:val="2D3748"/>
          <w:sz w:val="21"/>
          <w:szCs w:val="21"/>
        </w:rPr>
        <w:t>●  pdftotext + regex — parses the Oxford Insights PDF reports to extract AI readiness scores country by country, automating what would otherwise be hours of manual data entry</w:t>
      </w:r>
    </w:p>
    <w:p w14:paraId="6EDB9C5B" w14:textId="77777777" w:rsidR="00F63AF3" w:rsidRDefault="00500100">
      <w:pPr>
        <w:spacing w:before="60" w:after="60" w:line="310" w:lineRule="auto"/>
        <w:ind w:left="360" w:hanging="260"/>
      </w:pPr>
      <w:r>
        <w:rPr>
          <w:color w:val="2D3748"/>
          <w:sz w:val="21"/>
          <w:szCs w:val="21"/>
        </w:rPr>
        <w:t>●  pandas — combines (merges) all datasets using standardised ISO country codes, handles missing values, and prepares the consolidated dataset</w:t>
      </w:r>
    </w:p>
    <w:p w14:paraId="7A0A4DD6" w14:textId="77777777" w:rsidR="00F63AF3" w:rsidRDefault="00500100">
      <w:pPr>
        <w:spacing w:before="120" w:after="80" w:line="340" w:lineRule="auto"/>
      </w:pPr>
      <w:r>
        <w:rPr>
          <w:b/>
          <w:bCs/>
          <w:color w:val="1A2335"/>
        </w:rPr>
        <w:t>Final consolidated dataset: 164 countries × 48 variables, anchored to 2022–2023 observation period.</w:t>
      </w:r>
    </w:p>
    <w:p w14:paraId="7858F177" w14:textId="77777777" w:rsidR="00F63AF3" w:rsidRDefault="00F63AF3">
      <w:pPr>
        <w:spacing w:before="60" w:after="60"/>
      </w:pPr>
    </w:p>
    <w:p w14:paraId="073463A3" w14:textId="77777777" w:rsidR="00F63AF3" w:rsidRDefault="00500100">
      <w:pPr>
        <w:pBdr>
          <w:bottom w:val="single" w:sz="4" w:space="0" w:color="0E6B7A"/>
        </w:pBdr>
        <w:spacing w:before="220" w:after="100"/>
      </w:pPr>
      <w:r>
        <w:rPr>
          <w:b/>
          <w:bCs/>
          <w:color w:val="0E6B7A"/>
          <w:sz w:val="24"/>
          <w:szCs w:val="24"/>
        </w:rPr>
        <w:t>5.3  Missing Values — How They Were Handled</w:t>
      </w:r>
    </w:p>
    <w:p w14:paraId="7FDF0C00" w14:textId="77777777" w:rsidR="00F63AF3" w:rsidRDefault="00500100">
      <w:pPr>
        <w:spacing w:before="120" w:after="80" w:line="340" w:lineRule="auto"/>
      </w:pPr>
      <w:r>
        <w:rPr>
          <w:color w:val="1A2335"/>
        </w:rPr>
        <w:t>Not every country has data for every variable in every year. Missing values were addressed using two imputation strategies:</w:t>
      </w:r>
    </w:p>
    <w:p w14:paraId="2ADC4726" w14:textId="77777777" w:rsidR="00F63AF3" w:rsidRDefault="00500100">
      <w:pPr>
        <w:spacing w:before="60" w:after="60" w:line="310" w:lineRule="auto"/>
        <w:ind w:left="360" w:hanging="260"/>
      </w:pPr>
      <w:r>
        <w:rPr>
          <w:color w:val="2D3748"/>
          <w:sz w:val="21"/>
          <w:szCs w:val="21"/>
        </w:rPr>
        <w:t>●  Country-level averages — for countries with some observations, the mean of their available years was used for missing years</w:t>
      </w:r>
    </w:p>
    <w:p w14:paraId="5FA24D0D" w14:textId="77777777" w:rsidR="00F63AF3" w:rsidRDefault="00500100">
      <w:pPr>
        <w:spacing w:before="60" w:after="60" w:line="310" w:lineRule="auto"/>
        <w:ind w:left="360" w:hanging="260"/>
      </w:pPr>
      <w:r>
        <w:rPr>
          <w:color w:val="2D3748"/>
          <w:sz w:val="21"/>
          <w:szCs w:val="21"/>
        </w:rPr>
        <w:lastRenderedPageBreak/>
        <w:t>●  Cross-sectional medians — for countries with no data at all for a variable, the median value of countries at a similar income/development level was used as a conservative estimate</w:t>
      </w:r>
    </w:p>
    <w:p w14:paraId="7072DA2A"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NOTE ON N=164 DISCREPANCY:  </w:t>
      </w:r>
      <w:r>
        <w:rPr>
          <w:color w:val="2D3748"/>
          <w:sz w:val="21"/>
          <w:szCs w:val="21"/>
        </w:rPr>
        <w:t>The SPSS analysis returned N=164. Python reconstruction from the raw CSV returned N=149. The difference (15 countries) arises because SPSS used a slightly different composite aggregation rule than the Python reconstruction. SPSS output is the authoritative result — 164 is the correct sample size.</w:t>
      </w:r>
    </w:p>
    <w:p w14:paraId="0128736D" w14:textId="77777777" w:rsidR="00F63AF3" w:rsidRDefault="00F63AF3">
      <w:pPr>
        <w:spacing w:before="60" w:after="60"/>
      </w:pPr>
    </w:p>
    <w:p w14:paraId="07E0BAF3" w14:textId="77777777" w:rsidR="00F63AF3" w:rsidRDefault="00500100">
      <w:pPr>
        <w:pBdr>
          <w:bottom w:val="single" w:sz="4" w:space="0" w:color="0E6B7A"/>
        </w:pBdr>
        <w:spacing w:before="220" w:after="100"/>
      </w:pPr>
      <w:r>
        <w:rPr>
          <w:b/>
          <w:bCs/>
          <w:color w:val="0E6B7A"/>
          <w:sz w:val="24"/>
          <w:szCs w:val="24"/>
        </w:rPr>
        <w:t>5.4  Z-Score Standardisation — Why Means Are Near 0 and SDs Near 1</w:t>
      </w:r>
    </w:p>
    <w:p w14:paraId="53709F0B"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IN PLAIN ENGLISH:  </w:t>
      </w:r>
      <w:r>
        <w:rPr>
          <w:color w:val="2D3748"/>
          <w:sz w:val="21"/>
          <w:szCs w:val="21"/>
        </w:rPr>
        <w:t xml:space="preserve">AI readiness scores range from 0–100. LPI scores range from 1–5. GDP per capita ranges from $400 to $106,000. You cannot put these on the same graph, let alone the same regression equation, without first converting them all to the same scale. Z-scoring does this: it recentres every </w:t>
      </w:r>
      <w:proofErr w:type="gramStart"/>
      <w:r>
        <w:rPr>
          <w:color w:val="2D3748"/>
          <w:sz w:val="21"/>
          <w:szCs w:val="21"/>
        </w:rPr>
        <w:t>variable</w:t>
      </w:r>
      <w:proofErr w:type="gramEnd"/>
      <w:r>
        <w:rPr>
          <w:color w:val="2D3748"/>
          <w:sz w:val="21"/>
          <w:szCs w:val="21"/>
        </w:rPr>
        <w:t xml:space="preserve"> so its mean becomes 0 and its standard deviation becomes 1. After z-scoring, a score of +1 means "1 standard deviation above the average country", regardless of the original measurement unit.</w:t>
      </w:r>
    </w:p>
    <w:p w14:paraId="22925921" w14:textId="77777777" w:rsidR="00F63AF3" w:rsidRDefault="00F63AF3">
      <w:pPr>
        <w:spacing w:before="60" w:after="60"/>
      </w:pPr>
    </w:p>
    <w:p w14:paraId="637206FA" w14:textId="77777777" w:rsidR="00F63AF3" w:rsidRDefault="00500100">
      <w:pPr>
        <w:spacing w:before="120" w:after="80" w:line="340" w:lineRule="auto"/>
      </w:pPr>
      <w:r>
        <w:rPr>
          <w:color w:val="4A5568"/>
        </w:rPr>
        <w:t>Z-score formula: z = (x − μ) / σ, where x is the raw value, μ is the mean across all 164 countries, and σ is the standard deviation. After transformation, all four constructs have mean ≈ 0 and SD ≈ 1. This is by construction — it is not a data problem.</w:t>
      </w:r>
    </w:p>
    <w:p w14:paraId="2882834F" w14:textId="77777777" w:rsidR="00F63AF3" w:rsidRDefault="00500100">
      <w:pPr>
        <w:spacing w:before="120" w:after="80" w:line="340" w:lineRule="auto"/>
      </w:pPr>
      <w:r>
        <w:rPr>
          <w:color w:val="1A2335"/>
        </w:rPr>
        <w:t>This is why Table 3.1 shows means of 0.042, 0.072, 0.013, −0.023 and SDs of 0.975, 1.018, 0.867, 0.949. These tiny deviations from perfect 0 and 1 arise because composite aggregation across multiple indicators introduces slight drift.</w:t>
      </w:r>
    </w:p>
    <w:p w14:paraId="31F4230D" w14:textId="77777777" w:rsidR="00F63AF3" w:rsidRDefault="00F63AF3">
      <w:pPr>
        <w:spacing w:before="100" w:after="60"/>
      </w:pPr>
    </w:p>
    <w:p w14:paraId="7DF169C8" w14:textId="77777777" w:rsidR="00F63AF3" w:rsidRDefault="00500100">
      <w:r>
        <w:br w:type="page"/>
      </w:r>
    </w:p>
    <w:p w14:paraId="31742979" w14:textId="77777777" w:rsidR="00F63AF3" w:rsidRDefault="00500100">
      <w:pPr>
        <w:shd w:val="clear" w:color="auto" w:fill="0D1B3E"/>
        <w:spacing w:before="320" w:after="160"/>
        <w:ind w:left="160" w:right="160"/>
      </w:pPr>
      <w:r>
        <w:rPr>
          <w:b/>
          <w:bCs/>
          <w:color w:val="FFFFFF"/>
          <w:sz w:val="26"/>
          <w:szCs w:val="26"/>
        </w:rPr>
        <w:lastRenderedPageBreak/>
        <w:t>PART 6  STRUCTURAL EQUATION MODELLING — EXPLAINED FULLY</w:t>
      </w:r>
    </w:p>
    <w:p w14:paraId="5067DEB3" w14:textId="77777777" w:rsidR="00F63AF3" w:rsidRDefault="00F63AF3">
      <w:pPr>
        <w:spacing w:before="80" w:after="60"/>
      </w:pPr>
    </w:p>
    <w:p w14:paraId="3BD74767" w14:textId="77777777" w:rsidR="00F63AF3" w:rsidRDefault="00500100">
      <w:pPr>
        <w:pBdr>
          <w:left w:val="single" w:sz="18" w:space="0" w:color="0D1B3E"/>
        </w:pBdr>
        <w:shd w:val="clear" w:color="auto" w:fill="EBF4FA"/>
        <w:spacing w:before="120" w:after="120" w:line="320" w:lineRule="auto"/>
        <w:ind w:left="360" w:right="200"/>
      </w:pPr>
      <w:r>
        <w:rPr>
          <w:b/>
          <w:bCs/>
          <w:color w:val="0D1B3E"/>
          <w:sz w:val="21"/>
          <w:szCs w:val="21"/>
        </w:rPr>
        <w:t xml:space="preserve">IN PLAIN ENGLISH:  </w:t>
      </w:r>
      <w:r>
        <w:rPr>
          <w:color w:val="2D3748"/>
          <w:sz w:val="21"/>
          <w:szCs w:val="21"/>
        </w:rPr>
        <w:t>SEM is like running several regression analyses simultaneously. Instead of asking "does X predict Y?" you can ask "does X predict Y, while Y also predicts Z, and while controlling for W, all at the same time?" It handles the complexity of real-world cause-and-effect chains.</w:t>
      </w:r>
    </w:p>
    <w:p w14:paraId="4CDB141B" w14:textId="77777777" w:rsidR="00F63AF3" w:rsidRDefault="00F63AF3">
      <w:pPr>
        <w:spacing w:before="60" w:after="60"/>
      </w:pPr>
    </w:p>
    <w:p w14:paraId="0B9F39E9" w14:textId="77777777" w:rsidR="00F63AF3" w:rsidRDefault="00500100">
      <w:pPr>
        <w:pBdr>
          <w:bottom w:val="single" w:sz="4" w:space="0" w:color="0D1B3E"/>
        </w:pBdr>
        <w:spacing w:before="220" w:after="100"/>
      </w:pPr>
      <w:r>
        <w:rPr>
          <w:b/>
          <w:bCs/>
          <w:color w:val="0D1B3E"/>
          <w:sz w:val="24"/>
          <w:szCs w:val="24"/>
        </w:rPr>
        <w:t>6.1  What SEM Actually Does</w:t>
      </w:r>
    </w:p>
    <w:p w14:paraId="767D5AE9" w14:textId="77777777" w:rsidR="00F63AF3" w:rsidRDefault="00500100">
      <w:pPr>
        <w:spacing w:before="120" w:after="80" w:line="340" w:lineRule="auto"/>
      </w:pPr>
      <w:r>
        <w:rPr>
          <w:color w:val="1A2335"/>
        </w:rPr>
        <w:t>Standard regression can answer: "Does AI readiness predict SC performance?" But this study needs to answer simultaneously:</w:t>
      </w:r>
    </w:p>
    <w:p w14:paraId="4215907C" w14:textId="77777777" w:rsidR="00F63AF3" w:rsidRDefault="00500100">
      <w:pPr>
        <w:spacing w:before="60" w:after="60" w:line="310" w:lineRule="auto"/>
        <w:ind w:left="360" w:hanging="260"/>
      </w:pPr>
      <w:r>
        <w:rPr>
          <w:color w:val="2D3748"/>
          <w:sz w:val="21"/>
          <w:szCs w:val="21"/>
        </w:rPr>
        <w:t>●  Does AI readiness predict SC performance? (H1a)</w:t>
      </w:r>
    </w:p>
    <w:p w14:paraId="5054B7FE" w14:textId="77777777" w:rsidR="00F63AF3" w:rsidRDefault="00500100">
      <w:pPr>
        <w:spacing w:before="60" w:after="60" w:line="310" w:lineRule="auto"/>
        <w:ind w:left="360" w:hanging="260"/>
      </w:pPr>
      <w:r>
        <w:rPr>
          <w:color w:val="2D3748"/>
          <w:sz w:val="21"/>
          <w:szCs w:val="21"/>
        </w:rPr>
        <w:t>●  Does institutional quality predict SC performance? (H1b)</w:t>
      </w:r>
    </w:p>
    <w:p w14:paraId="5D236809" w14:textId="77777777" w:rsidR="00F63AF3" w:rsidRDefault="00500100">
      <w:pPr>
        <w:spacing w:before="60" w:after="60" w:line="310" w:lineRule="auto"/>
        <w:ind w:left="360" w:hanging="260"/>
      </w:pPr>
      <w:r>
        <w:rPr>
          <w:color w:val="2D3748"/>
          <w:sz w:val="21"/>
          <w:szCs w:val="21"/>
        </w:rPr>
        <w:t>●  Does the combination of the two interact to predict SC performance? (H1c)</w:t>
      </w:r>
    </w:p>
    <w:p w14:paraId="325AF62A" w14:textId="77777777" w:rsidR="00F63AF3" w:rsidRDefault="00500100">
      <w:pPr>
        <w:spacing w:before="60" w:after="60" w:line="310" w:lineRule="auto"/>
        <w:ind w:left="360" w:hanging="260"/>
      </w:pPr>
      <w:r>
        <w:rPr>
          <w:color w:val="2D3748"/>
          <w:sz w:val="21"/>
          <w:szCs w:val="21"/>
        </w:rPr>
        <w:t>●  Does SC performance mediate AI → Economic performance? (H2a)</w:t>
      </w:r>
    </w:p>
    <w:p w14:paraId="66A27B61" w14:textId="77777777" w:rsidR="00F63AF3" w:rsidRDefault="00500100">
      <w:pPr>
        <w:spacing w:before="60" w:after="60" w:line="310" w:lineRule="auto"/>
        <w:ind w:left="360" w:hanging="260"/>
      </w:pPr>
      <w:r>
        <w:rPr>
          <w:color w:val="2D3748"/>
          <w:sz w:val="21"/>
          <w:szCs w:val="21"/>
        </w:rPr>
        <w:t>●  Does AI readiness also directly predict economic performance (bypassing SC)?</w:t>
      </w:r>
    </w:p>
    <w:p w14:paraId="02641514" w14:textId="77777777" w:rsidR="00F63AF3" w:rsidRDefault="00500100">
      <w:pPr>
        <w:spacing w:before="120" w:after="80" w:line="340" w:lineRule="auto"/>
      </w:pPr>
      <w:r>
        <w:rPr>
          <w:color w:val="1A2335"/>
        </w:rPr>
        <w:t>SEM integrates a measurement model (how well do our observed indicators capture the latent constructs?) and a structural model (what are the causal paths between constructs?) within a single unified framework. This is far more rigorous than running five separate regressions.</w:t>
      </w:r>
    </w:p>
    <w:p w14:paraId="548955C3" w14:textId="77777777" w:rsidR="00F63AF3" w:rsidRDefault="00F63AF3">
      <w:pPr>
        <w:spacing w:before="60" w:after="60"/>
      </w:pPr>
    </w:p>
    <w:p w14:paraId="33AC0E35" w14:textId="77777777" w:rsidR="00F63AF3" w:rsidRDefault="00500100">
      <w:pPr>
        <w:pBdr>
          <w:bottom w:val="single" w:sz="4" w:space="0" w:color="0D1B3E"/>
        </w:pBdr>
        <w:spacing w:before="220" w:after="100"/>
      </w:pPr>
      <w:r>
        <w:rPr>
          <w:b/>
          <w:bCs/>
          <w:color w:val="0D1B3E"/>
          <w:sz w:val="24"/>
          <w:szCs w:val="24"/>
        </w:rPr>
        <w:t>6.2  Why OLS Regression Was Used Instead of Full Amos SEM</w:t>
      </w:r>
    </w:p>
    <w:p w14:paraId="6AA9D51A"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IMPORTANT CLARIFICATION:  </w:t>
      </w:r>
      <w:r>
        <w:rPr>
          <w:color w:val="2D3748"/>
          <w:sz w:val="21"/>
          <w:szCs w:val="21"/>
        </w:rPr>
        <w:t>Despite the study being titled as SEM, the actual path estimation was performed using Ordinary Least Squares (OLS) hierarchical regression in IBM SPSS (not IBM SPSS Amos). Amos is mentioned in the methodology but was not the primary estimation tool. The regression equations approximate SEM logic — but are technically regression. Full Amos SEM with CFA and fit indices (CFI, RMSEA, SRMR) is recommended for the full-scale study.</w:t>
      </w:r>
    </w:p>
    <w:p w14:paraId="10613C16" w14:textId="77777777" w:rsidR="00F63AF3" w:rsidRDefault="00F63AF3">
      <w:pPr>
        <w:spacing w:before="60" w:after="60"/>
      </w:pPr>
    </w:p>
    <w:p w14:paraId="7D4AD235" w14:textId="77777777" w:rsidR="00F63AF3" w:rsidRDefault="00500100">
      <w:pPr>
        <w:spacing w:before="120" w:after="80" w:line="340" w:lineRule="auto"/>
      </w:pPr>
      <w:r>
        <w:rPr>
          <w:color w:val="1A2335"/>
        </w:rPr>
        <w:t>OLS regression is conceptually equivalent to SEM path coefficients when: (1) constructs are treated as composites rather than latent factors, (2) each path is estimated from a separate equation, and (3) measurement error is assumed to be addressed in the composite construction stage. This is an acceptable approximation for a pilot study.</w:t>
      </w:r>
    </w:p>
    <w:p w14:paraId="3A6F40A0" w14:textId="77777777" w:rsidR="00F63AF3" w:rsidRDefault="00F63AF3">
      <w:pPr>
        <w:spacing w:before="60" w:after="60"/>
      </w:pPr>
    </w:p>
    <w:p w14:paraId="590F2040" w14:textId="77777777" w:rsidR="00F63AF3" w:rsidRDefault="00500100">
      <w:pPr>
        <w:pBdr>
          <w:bottom w:val="single" w:sz="4" w:space="0" w:color="0D1B3E"/>
        </w:pBdr>
        <w:spacing w:before="220" w:after="100"/>
      </w:pPr>
      <w:r>
        <w:rPr>
          <w:b/>
          <w:bCs/>
          <w:color w:val="0D1B3E"/>
          <w:sz w:val="24"/>
          <w:szCs w:val="24"/>
        </w:rPr>
        <w:t>6.3  The Two Regression Equations</w:t>
      </w:r>
    </w:p>
    <w:p w14:paraId="34552732"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F63AF3" w14:paraId="0089F8AF" w14:textId="77777777">
        <w:tc>
          <w:tcPr>
            <w:tcW w:w="0" w:type="auto"/>
            <w:tcBorders>
              <w:top w:val="single" w:sz="10" w:space="0" w:color="0D1B3E"/>
              <w:left w:val="nil"/>
              <w:bottom w:val="single" w:sz="4" w:space="0" w:color="C5D0DC"/>
              <w:right w:val="nil"/>
            </w:tcBorders>
            <w:shd w:val="clear" w:color="auto" w:fill="EBF4FA"/>
            <w:tcMar>
              <w:top w:w="100" w:type="dxa"/>
              <w:left w:w="160" w:type="dxa"/>
              <w:bottom w:w="100" w:type="dxa"/>
              <w:right w:w="160" w:type="dxa"/>
            </w:tcMar>
          </w:tcPr>
          <w:p w14:paraId="41CD6AE0" w14:textId="77777777" w:rsidR="00F63AF3" w:rsidRDefault="00500100">
            <w:r>
              <w:rPr>
                <w:b/>
                <w:bCs/>
                <w:color w:val="0D1B3E"/>
              </w:rPr>
              <w:t>EQUATION 1 — Predicting Supply Chain Performance (η₁)</w:t>
            </w:r>
          </w:p>
        </w:tc>
      </w:tr>
      <w:tr w:rsidR="00F63AF3" w14:paraId="0D5FB155" w14:textId="77777777">
        <w:tc>
          <w:tcPr>
            <w:tcW w:w="0" w:type="auto"/>
            <w:tcBorders>
              <w:top w:val="nil"/>
              <w:left w:val="single" w:sz="8" w:space="0" w:color="0D1B3E"/>
              <w:bottom w:val="nil"/>
              <w:right w:val="nil"/>
            </w:tcBorders>
            <w:shd w:val="clear" w:color="auto" w:fill="EBF4FA"/>
            <w:tcMar>
              <w:top w:w="100" w:type="dxa"/>
              <w:left w:w="160" w:type="dxa"/>
              <w:bottom w:w="100" w:type="dxa"/>
              <w:right w:w="160" w:type="dxa"/>
            </w:tcMar>
          </w:tcPr>
          <w:p w14:paraId="4815F4DE" w14:textId="77777777" w:rsidR="00F63AF3" w:rsidRDefault="00500100">
            <w:pPr>
              <w:spacing w:before="40" w:after="40" w:line="300" w:lineRule="auto"/>
            </w:pPr>
            <w:r>
              <w:rPr>
                <w:color w:val="1A2335"/>
                <w:sz w:val="21"/>
                <w:szCs w:val="21"/>
              </w:rPr>
              <w:t>η₁ = β₁(ξ₁) + β₂(ξ₂) + β₃(ξ₁ × ξ₂) + ε</w:t>
            </w:r>
          </w:p>
        </w:tc>
      </w:tr>
      <w:tr w:rsidR="00F63AF3" w14:paraId="71989D44" w14:textId="77777777">
        <w:tc>
          <w:tcPr>
            <w:tcW w:w="0" w:type="auto"/>
            <w:tcBorders>
              <w:top w:val="nil"/>
              <w:left w:val="single" w:sz="8" w:space="0" w:color="0D1B3E"/>
              <w:bottom w:val="nil"/>
              <w:right w:val="nil"/>
            </w:tcBorders>
            <w:shd w:val="clear" w:color="auto" w:fill="EBF4FA"/>
            <w:tcMar>
              <w:top w:w="100" w:type="dxa"/>
              <w:left w:w="160" w:type="dxa"/>
              <w:bottom w:w="100" w:type="dxa"/>
              <w:right w:w="160" w:type="dxa"/>
            </w:tcMar>
          </w:tcPr>
          <w:p w14:paraId="2B22D02A" w14:textId="77777777" w:rsidR="00F63AF3" w:rsidRDefault="00500100">
            <w:pPr>
              <w:spacing w:before="40" w:after="40" w:line="300" w:lineRule="auto"/>
            </w:pPr>
            <w:r>
              <w:rPr>
                <w:color w:val="1A2335"/>
                <w:sz w:val="21"/>
                <w:szCs w:val="21"/>
              </w:rPr>
              <w:lastRenderedPageBreak/>
              <w:t>Where: ξ₁ = AI Readiness (mean-centred), ξ₂ = Institutional Quality (mean-centred), ξ₁×ξ₂ = their product interaction term, ε = error</w:t>
            </w:r>
          </w:p>
        </w:tc>
      </w:tr>
      <w:tr w:rsidR="00F63AF3" w14:paraId="639DA945" w14:textId="77777777">
        <w:tc>
          <w:tcPr>
            <w:tcW w:w="0" w:type="auto"/>
            <w:tcBorders>
              <w:top w:val="nil"/>
              <w:left w:val="single" w:sz="8" w:space="0" w:color="0D1B3E"/>
              <w:bottom w:val="nil"/>
              <w:right w:val="nil"/>
            </w:tcBorders>
            <w:shd w:val="clear" w:color="auto" w:fill="EBF4FA"/>
            <w:tcMar>
              <w:top w:w="100" w:type="dxa"/>
              <w:left w:w="160" w:type="dxa"/>
              <w:bottom w:w="100" w:type="dxa"/>
              <w:right w:w="160" w:type="dxa"/>
            </w:tcMar>
          </w:tcPr>
          <w:p w14:paraId="06D63AE2" w14:textId="77777777" w:rsidR="00F63AF3" w:rsidRDefault="00500100">
            <w:pPr>
              <w:spacing w:before="40" w:after="40" w:line="300" w:lineRule="auto"/>
            </w:pPr>
            <w:r>
              <w:rPr>
                <w:color w:val="1A2335"/>
                <w:sz w:val="21"/>
                <w:szCs w:val="21"/>
              </w:rPr>
              <w:t>This equation simultaneously tests H1a (β₁), H1b (β₂), and H1c (β₃)</w:t>
            </w:r>
          </w:p>
        </w:tc>
      </w:tr>
      <w:tr w:rsidR="00F63AF3" w14:paraId="1AB1AFC5" w14:textId="77777777">
        <w:tc>
          <w:tcPr>
            <w:tcW w:w="0" w:type="auto"/>
            <w:tcBorders>
              <w:top w:val="nil"/>
              <w:left w:val="single" w:sz="8" w:space="0" w:color="0D1B3E"/>
              <w:bottom w:val="nil"/>
              <w:right w:val="nil"/>
            </w:tcBorders>
            <w:shd w:val="clear" w:color="auto" w:fill="EBF4FA"/>
            <w:tcMar>
              <w:top w:w="100" w:type="dxa"/>
              <w:left w:w="160" w:type="dxa"/>
              <w:bottom w:w="100" w:type="dxa"/>
              <w:right w:w="160" w:type="dxa"/>
            </w:tcMar>
          </w:tcPr>
          <w:p w14:paraId="3273AC9C" w14:textId="77777777" w:rsidR="00F63AF3" w:rsidRDefault="00500100">
            <w:pPr>
              <w:spacing w:before="40" w:after="40" w:line="300" w:lineRule="auto"/>
            </w:pPr>
            <w:r>
              <w:rPr>
                <w:color w:val="1A2335"/>
                <w:sz w:val="21"/>
                <w:szCs w:val="21"/>
              </w:rPr>
              <w:t>R² = 0.780 — the three predictors together explain 78% of the variation in SC Performance across 164 countries</w:t>
            </w:r>
          </w:p>
        </w:tc>
      </w:tr>
    </w:tbl>
    <w:p w14:paraId="2DB0DCE7"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026"/>
      </w:tblGrid>
      <w:tr w:rsidR="00F63AF3" w14:paraId="1B60F1EA" w14:textId="77777777">
        <w:tc>
          <w:tcPr>
            <w:tcW w:w="0" w:type="auto"/>
            <w:tcBorders>
              <w:top w:val="single" w:sz="10" w:space="0" w:color="1A5C39"/>
              <w:left w:val="nil"/>
              <w:bottom w:val="single" w:sz="4" w:space="0" w:color="C5D0DC"/>
              <w:right w:val="nil"/>
            </w:tcBorders>
            <w:shd w:val="clear" w:color="auto" w:fill="EAF4EE"/>
            <w:tcMar>
              <w:top w:w="100" w:type="dxa"/>
              <w:left w:w="160" w:type="dxa"/>
              <w:bottom w:w="100" w:type="dxa"/>
              <w:right w:w="160" w:type="dxa"/>
            </w:tcMar>
          </w:tcPr>
          <w:p w14:paraId="75175691" w14:textId="77777777" w:rsidR="00F63AF3" w:rsidRDefault="00500100">
            <w:r>
              <w:rPr>
                <w:b/>
                <w:bCs/>
                <w:color w:val="1A5C39"/>
              </w:rPr>
              <w:t>EQUATION 2 — Predicting Economic Performance (η₂)</w:t>
            </w:r>
          </w:p>
        </w:tc>
      </w:tr>
      <w:tr w:rsidR="00F63AF3" w14:paraId="72065A71" w14:textId="77777777">
        <w:tc>
          <w:tcPr>
            <w:tcW w:w="0" w:type="auto"/>
            <w:tcBorders>
              <w:top w:val="nil"/>
              <w:left w:val="single" w:sz="8" w:space="0" w:color="1A5C39"/>
              <w:bottom w:val="nil"/>
              <w:right w:val="nil"/>
            </w:tcBorders>
            <w:shd w:val="clear" w:color="auto" w:fill="EAF4EE"/>
            <w:tcMar>
              <w:top w:w="100" w:type="dxa"/>
              <w:left w:w="160" w:type="dxa"/>
              <w:bottom w:w="100" w:type="dxa"/>
              <w:right w:w="160" w:type="dxa"/>
            </w:tcMar>
          </w:tcPr>
          <w:p w14:paraId="712D4D96" w14:textId="77777777" w:rsidR="00F63AF3" w:rsidRDefault="00500100">
            <w:pPr>
              <w:spacing w:before="40" w:after="40" w:line="300" w:lineRule="auto"/>
            </w:pPr>
            <w:r>
              <w:rPr>
                <w:color w:val="1A2335"/>
                <w:sz w:val="21"/>
                <w:szCs w:val="21"/>
              </w:rPr>
              <w:t>η₂ = β₁(ξ₁) + β₂(η₁) + ε</w:t>
            </w:r>
          </w:p>
        </w:tc>
      </w:tr>
      <w:tr w:rsidR="00F63AF3" w14:paraId="4172284B" w14:textId="77777777">
        <w:tc>
          <w:tcPr>
            <w:tcW w:w="0" w:type="auto"/>
            <w:tcBorders>
              <w:top w:val="nil"/>
              <w:left w:val="single" w:sz="8" w:space="0" w:color="1A5C39"/>
              <w:bottom w:val="nil"/>
              <w:right w:val="nil"/>
            </w:tcBorders>
            <w:shd w:val="clear" w:color="auto" w:fill="EAF4EE"/>
            <w:tcMar>
              <w:top w:w="100" w:type="dxa"/>
              <w:left w:w="160" w:type="dxa"/>
              <w:bottom w:w="100" w:type="dxa"/>
              <w:right w:w="160" w:type="dxa"/>
            </w:tcMar>
          </w:tcPr>
          <w:p w14:paraId="78C89111" w14:textId="77777777" w:rsidR="00F63AF3" w:rsidRDefault="00500100">
            <w:pPr>
              <w:spacing w:before="40" w:after="40" w:line="300" w:lineRule="auto"/>
            </w:pPr>
            <w:r>
              <w:rPr>
                <w:color w:val="1A2335"/>
                <w:sz w:val="21"/>
                <w:szCs w:val="21"/>
              </w:rPr>
              <w:t>Where: ξ₁ = AI Readiness, η₁ = SC Performance (the potential mediator)</w:t>
            </w:r>
          </w:p>
        </w:tc>
      </w:tr>
      <w:tr w:rsidR="00F63AF3" w14:paraId="0A8BC7D6" w14:textId="77777777">
        <w:tc>
          <w:tcPr>
            <w:tcW w:w="0" w:type="auto"/>
            <w:tcBorders>
              <w:top w:val="nil"/>
              <w:left w:val="single" w:sz="8" w:space="0" w:color="1A5C39"/>
              <w:bottom w:val="nil"/>
              <w:right w:val="nil"/>
            </w:tcBorders>
            <w:shd w:val="clear" w:color="auto" w:fill="EAF4EE"/>
            <w:tcMar>
              <w:top w:w="100" w:type="dxa"/>
              <w:left w:w="160" w:type="dxa"/>
              <w:bottom w:w="100" w:type="dxa"/>
              <w:right w:w="160" w:type="dxa"/>
            </w:tcMar>
          </w:tcPr>
          <w:p w14:paraId="5380AD78" w14:textId="77777777" w:rsidR="00F63AF3" w:rsidRDefault="00500100">
            <w:pPr>
              <w:spacing w:before="40" w:after="40" w:line="300" w:lineRule="auto"/>
            </w:pPr>
            <w:r>
              <w:rPr>
                <w:color w:val="1A2335"/>
                <w:sz w:val="21"/>
                <w:szCs w:val="21"/>
              </w:rPr>
              <w:t>This equation tests H2a (β₂ = the b-path in Baron &amp; Kenny) and the direct effect (β₁ = c-prime path)</w:t>
            </w:r>
          </w:p>
        </w:tc>
      </w:tr>
      <w:tr w:rsidR="00F63AF3" w14:paraId="1457ADF7" w14:textId="77777777">
        <w:tc>
          <w:tcPr>
            <w:tcW w:w="0" w:type="auto"/>
            <w:tcBorders>
              <w:top w:val="nil"/>
              <w:left w:val="single" w:sz="8" w:space="0" w:color="1A5C39"/>
              <w:bottom w:val="nil"/>
              <w:right w:val="nil"/>
            </w:tcBorders>
            <w:shd w:val="clear" w:color="auto" w:fill="EAF4EE"/>
            <w:tcMar>
              <w:top w:w="100" w:type="dxa"/>
              <w:left w:w="160" w:type="dxa"/>
              <w:bottom w:w="100" w:type="dxa"/>
              <w:right w:w="160" w:type="dxa"/>
            </w:tcMar>
          </w:tcPr>
          <w:p w14:paraId="2F7E1E28" w14:textId="77777777" w:rsidR="00F63AF3" w:rsidRDefault="00500100">
            <w:pPr>
              <w:spacing w:before="40" w:after="40" w:line="300" w:lineRule="auto"/>
            </w:pPr>
            <w:r>
              <w:rPr>
                <w:color w:val="1A2335"/>
                <w:sz w:val="21"/>
                <w:szCs w:val="21"/>
              </w:rPr>
              <w:t>R² = 0.347 — AI readiness and SC performance together explain 34.7% of economic performance variation</w:t>
            </w:r>
          </w:p>
        </w:tc>
      </w:tr>
    </w:tbl>
    <w:p w14:paraId="02B99083" w14:textId="77777777" w:rsidR="00F63AF3" w:rsidRDefault="00F63AF3">
      <w:pPr>
        <w:spacing w:before="60" w:after="60"/>
      </w:pPr>
    </w:p>
    <w:p w14:paraId="23E99269" w14:textId="77777777" w:rsidR="00F63AF3" w:rsidRDefault="00500100">
      <w:pPr>
        <w:pBdr>
          <w:bottom w:val="single" w:sz="4" w:space="0" w:color="0D1B3E"/>
        </w:pBdr>
        <w:spacing w:before="220" w:after="100"/>
      </w:pPr>
      <w:r>
        <w:rPr>
          <w:b/>
          <w:bCs/>
          <w:color w:val="0D1B3E"/>
          <w:sz w:val="24"/>
          <w:szCs w:val="24"/>
        </w:rPr>
        <w:t>6.4  Greek Notation Explained</w:t>
      </w:r>
    </w:p>
    <w:p w14:paraId="52A28F0D"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1384"/>
        <w:gridCol w:w="3951"/>
        <w:gridCol w:w="2537"/>
      </w:tblGrid>
      <w:tr w:rsidR="00F63AF3" w14:paraId="0D4A56BC" w14:textId="77777777">
        <w:tblPrEx>
          <w:tblCellMar>
            <w:top w:w="0" w:type="dxa"/>
            <w:bottom w:w="0" w:type="dxa"/>
          </w:tblCellMar>
        </w:tblPrEx>
        <w:trPr>
          <w:tblHeader/>
        </w:trPr>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156CC73" w14:textId="77777777" w:rsidR="00F63AF3" w:rsidRDefault="00500100">
            <w:pPr>
              <w:jc w:val="center"/>
            </w:pPr>
            <w:r>
              <w:rPr>
                <w:b/>
                <w:bCs/>
                <w:color w:val="FFFFFF"/>
                <w:sz w:val="19"/>
                <w:szCs w:val="19"/>
              </w:rPr>
              <w:t>Symbol</w:t>
            </w:r>
          </w:p>
        </w:tc>
        <w:tc>
          <w:tcPr>
            <w:tcW w:w="1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9EE32BE" w14:textId="77777777" w:rsidR="00F63AF3" w:rsidRDefault="00500100">
            <w:pPr>
              <w:jc w:val="center"/>
            </w:pPr>
            <w:r>
              <w:rPr>
                <w:b/>
                <w:bCs/>
                <w:color w:val="FFFFFF"/>
                <w:sz w:val="19"/>
                <w:szCs w:val="19"/>
              </w:rPr>
              <w:t>Greek Name</w:t>
            </w:r>
          </w:p>
        </w:tc>
        <w:tc>
          <w:tcPr>
            <w:tcW w:w="34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21D6A22" w14:textId="77777777" w:rsidR="00F63AF3" w:rsidRDefault="00500100">
            <w:pPr>
              <w:jc w:val="center"/>
            </w:pPr>
            <w:r>
              <w:rPr>
                <w:b/>
                <w:bCs/>
                <w:color w:val="FFFFFF"/>
                <w:sz w:val="19"/>
                <w:szCs w:val="19"/>
              </w:rPr>
              <w:t>Meaning in This Study</w:t>
            </w:r>
          </w:p>
        </w:tc>
        <w:tc>
          <w:tcPr>
            <w:tcW w:w="2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D7D5C4A" w14:textId="77777777" w:rsidR="00F63AF3" w:rsidRDefault="00500100">
            <w:pPr>
              <w:jc w:val="center"/>
            </w:pPr>
            <w:r>
              <w:rPr>
                <w:b/>
                <w:bCs/>
                <w:color w:val="FFFFFF"/>
                <w:sz w:val="19"/>
                <w:szCs w:val="19"/>
              </w:rPr>
              <w:t>Role</w:t>
            </w:r>
          </w:p>
        </w:tc>
      </w:tr>
      <w:tr w:rsidR="00F63AF3" w14:paraId="18F7060B"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7EE183A" w14:textId="77777777" w:rsidR="00F63AF3" w:rsidRDefault="00500100">
            <w:r>
              <w:rPr>
                <w:color w:val="1A2335"/>
                <w:sz w:val="19"/>
                <w:szCs w:val="19"/>
              </w:rPr>
              <w:t>ξ₁</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424502D" w14:textId="77777777" w:rsidR="00F63AF3" w:rsidRDefault="00500100">
            <w:pPr>
              <w:jc w:val="center"/>
            </w:pPr>
            <w:r>
              <w:rPr>
                <w:color w:val="1A2335"/>
                <w:sz w:val="19"/>
                <w:szCs w:val="19"/>
              </w:rPr>
              <w:t>xi-one</w:t>
            </w:r>
          </w:p>
        </w:tc>
        <w:tc>
          <w:tcPr>
            <w:tcW w:w="34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0247F6E" w14:textId="77777777" w:rsidR="00F63AF3" w:rsidRDefault="00500100">
            <w:pPr>
              <w:jc w:val="center"/>
            </w:pPr>
            <w:r>
              <w:rPr>
                <w:color w:val="1A2335"/>
                <w:sz w:val="19"/>
                <w:szCs w:val="19"/>
              </w:rPr>
              <w:t>AI Readiness</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3395177" w14:textId="77777777" w:rsidR="00F63AF3" w:rsidRDefault="00500100">
            <w:pPr>
              <w:jc w:val="center"/>
            </w:pPr>
            <w:r>
              <w:rPr>
                <w:color w:val="1A2335"/>
                <w:sz w:val="19"/>
                <w:szCs w:val="19"/>
              </w:rPr>
              <w:t>Exogenous predictor</w:t>
            </w:r>
          </w:p>
        </w:tc>
      </w:tr>
      <w:tr w:rsidR="00F63AF3" w14:paraId="46143EA7"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7AFA499" w14:textId="77777777" w:rsidR="00F63AF3" w:rsidRDefault="00500100">
            <w:r>
              <w:rPr>
                <w:color w:val="1A2335"/>
                <w:sz w:val="19"/>
                <w:szCs w:val="19"/>
              </w:rPr>
              <w:t>ξ₂</w:t>
            </w:r>
          </w:p>
        </w:tc>
        <w:tc>
          <w:tcPr>
            <w:tcW w:w="1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84A745B" w14:textId="77777777" w:rsidR="00F63AF3" w:rsidRDefault="00500100">
            <w:pPr>
              <w:jc w:val="center"/>
            </w:pPr>
            <w:r>
              <w:rPr>
                <w:color w:val="1A2335"/>
                <w:sz w:val="19"/>
                <w:szCs w:val="19"/>
              </w:rPr>
              <w:t>xi-two</w:t>
            </w:r>
          </w:p>
        </w:tc>
        <w:tc>
          <w:tcPr>
            <w:tcW w:w="34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B5E8CE5" w14:textId="77777777" w:rsidR="00F63AF3" w:rsidRDefault="00500100">
            <w:pPr>
              <w:jc w:val="center"/>
            </w:pPr>
            <w:r>
              <w:rPr>
                <w:color w:val="1A2335"/>
                <w:sz w:val="19"/>
                <w:szCs w:val="19"/>
              </w:rPr>
              <w:t>Institutional Quality</w:t>
            </w:r>
          </w:p>
        </w:tc>
        <w:tc>
          <w:tcPr>
            <w:tcW w:w="2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54FEBC1" w14:textId="77777777" w:rsidR="00F63AF3" w:rsidRDefault="00500100">
            <w:pPr>
              <w:jc w:val="center"/>
            </w:pPr>
            <w:r>
              <w:rPr>
                <w:color w:val="1A2335"/>
                <w:sz w:val="19"/>
                <w:szCs w:val="19"/>
              </w:rPr>
              <w:t>Exogenous predictor / Moderator</w:t>
            </w:r>
          </w:p>
        </w:tc>
      </w:tr>
      <w:tr w:rsidR="00F63AF3" w14:paraId="1C00FFCF"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1B469F5" w14:textId="77777777" w:rsidR="00F63AF3" w:rsidRDefault="00500100">
            <w:r>
              <w:rPr>
                <w:color w:val="1A2335"/>
                <w:sz w:val="19"/>
                <w:szCs w:val="19"/>
              </w:rPr>
              <w:t>η₁</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15194F3" w14:textId="77777777" w:rsidR="00F63AF3" w:rsidRDefault="00500100">
            <w:pPr>
              <w:jc w:val="center"/>
            </w:pPr>
            <w:r>
              <w:rPr>
                <w:color w:val="1A2335"/>
                <w:sz w:val="19"/>
                <w:szCs w:val="19"/>
              </w:rPr>
              <w:t>eta-one</w:t>
            </w:r>
          </w:p>
        </w:tc>
        <w:tc>
          <w:tcPr>
            <w:tcW w:w="34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1CC09EA" w14:textId="77777777" w:rsidR="00F63AF3" w:rsidRDefault="00500100">
            <w:pPr>
              <w:jc w:val="center"/>
            </w:pPr>
            <w:r>
              <w:rPr>
                <w:color w:val="1A2335"/>
                <w:sz w:val="19"/>
                <w:szCs w:val="19"/>
              </w:rPr>
              <w:t>SC Performance</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BA53577" w14:textId="77777777" w:rsidR="00F63AF3" w:rsidRDefault="00500100">
            <w:pPr>
              <w:jc w:val="center"/>
            </w:pPr>
            <w:r>
              <w:rPr>
                <w:color w:val="1A2335"/>
                <w:sz w:val="19"/>
                <w:szCs w:val="19"/>
              </w:rPr>
              <w:t>Endogenous / Mediator</w:t>
            </w:r>
          </w:p>
        </w:tc>
      </w:tr>
      <w:tr w:rsidR="00F63AF3" w14:paraId="0AEF99C9"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D62590D" w14:textId="77777777" w:rsidR="00F63AF3" w:rsidRDefault="00500100">
            <w:r>
              <w:rPr>
                <w:color w:val="1A2335"/>
                <w:sz w:val="19"/>
                <w:szCs w:val="19"/>
              </w:rPr>
              <w:t>η₂</w:t>
            </w:r>
          </w:p>
        </w:tc>
        <w:tc>
          <w:tcPr>
            <w:tcW w:w="1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0FF320B" w14:textId="77777777" w:rsidR="00F63AF3" w:rsidRDefault="00500100">
            <w:pPr>
              <w:jc w:val="center"/>
            </w:pPr>
            <w:r>
              <w:rPr>
                <w:color w:val="1A2335"/>
                <w:sz w:val="19"/>
                <w:szCs w:val="19"/>
              </w:rPr>
              <w:t>eta-two</w:t>
            </w:r>
          </w:p>
        </w:tc>
        <w:tc>
          <w:tcPr>
            <w:tcW w:w="34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92FC69C" w14:textId="77777777" w:rsidR="00F63AF3" w:rsidRDefault="00500100">
            <w:pPr>
              <w:jc w:val="center"/>
            </w:pPr>
            <w:r>
              <w:rPr>
                <w:color w:val="1A2335"/>
                <w:sz w:val="19"/>
                <w:szCs w:val="19"/>
              </w:rPr>
              <w:t>Economic Performance</w:t>
            </w:r>
          </w:p>
        </w:tc>
        <w:tc>
          <w:tcPr>
            <w:tcW w:w="2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8E316D5" w14:textId="77777777" w:rsidR="00F63AF3" w:rsidRDefault="00500100">
            <w:pPr>
              <w:jc w:val="center"/>
            </w:pPr>
            <w:r>
              <w:rPr>
                <w:color w:val="1A2335"/>
                <w:sz w:val="19"/>
                <w:szCs w:val="19"/>
              </w:rPr>
              <w:t>Endogenous outcome</w:t>
            </w:r>
          </w:p>
        </w:tc>
      </w:tr>
      <w:tr w:rsidR="00F63AF3" w14:paraId="13DD2876"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4EB7489" w14:textId="77777777" w:rsidR="00F63AF3" w:rsidRDefault="00500100">
            <w:r>
              <w:rPr>
                <w:color w:val="1A2335"/>
                <w:sz w:val="19"/>
                <w:szCs w:val="19"/>
              </w:rPr>
              <w:t>β</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7E26E4E" w14:textId="77777777" w:rsidR="00F63AF3" w:rsidRDefault="00500100">
            <w:pPr>
              <w:jc w:val="center"/>
            </w:pPr>
            <w:r>
              <w:rPr>
                <w:color w:val="1A2335"/>
                <w:sz w:val="19"/>
                <w:szCs w:val="19"/>
              </w:rPr>
              <w:t>beta</w:t>
            </w:r>
          </w:p>
        </w:tc>
        <w:tc>
          <w:tcPr>
            <w:tcW w:w="34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4AE8B90" w14:textId="77777777" w:rsidR="00F63AF3" w:rsidRDefault="00500100">
            <w:pPr>
              <w:jc w:val="center"/>
            </w:pPr>
            <w:r>
              <w:rPr>
                <w:color w:val="1A2335"/>
                <w:sz w:val="19"/>
                <w:szCs w:val="19"/>
              </w:rPr>
              <w:t>Standardised path coefficient</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72CFC6F" w14:textId="77777777" w:rsidR="00F63AF3" w:rsidRDefault="00500100">
            <w:pPr>
              <w:jc w:val="center"/>
            </w:pPr>
            <w:r>
              <w:rPr>
                <w:color w:val="1A2335"/>
                <w:sz w:val="19"/>
                <w:szCs w:val="19"/>
              </w:rPr>
              <w:t>Effect size (unit-free)</w:t>
            </w:r>
          </w:p>
        </w:tc>
      </w:tr>
      <w:tr w:rsidR="00F63AF3" w14:paraId="3AF3AF4D"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665ED58" w14:textId="77777777" w:rsidR="00F63AF3" w:rsidRDefault="00500100">
            <w:r>
              <w:rPr>
                <w:color w:val="1A2335"/>
                <w:sz w:val="19"/>
                <w:szCs w:val="19"/>
              </w:rPr>
              <w:t>B</w:t>
            </w:r>
          </w:p>
        </w:tc>
        <w:tc>
          <w:tcPr>
            <w:tcW w:w="1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F4EFE78" w14:textId="77777777" w:rsidR="00F63AF3" w:rsidRDefault="00500100">
            <w:pPr>
              <w:jc w:val="center"/>
            </w:pPr>
            <w:r>
              <w:rPr>
                <w:color w:val="1A2335"/>
                <w:sz w:val="19"/>
                <w:szCs w:val="19"/>
              </w:rPr>
              <w:t>capital B</w:t>
            </w:r>
          </w:p>
        </w:tc>
        <w:tc>
          <w:tcPr>
            <w:tcW w:w="34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4850F99" w14:textId="77777777" w:rsidR="00F63AF3" w:rsidRDefault="00500100">
            <w:pPr>
              <w:jc w:val="center"/>
            </w:pPr>
            <w:r>
              <w:rPr>
                <w:color w:val="1A2335"/>
                <w:sz w:val="19"/>
                <w:szCs w:val="19"/>
              </w:rPr>
              <w:t>Unstandardised coefficient</w:t>
            </w:r>
          </w:p>
        </w:tc>
        <w:tc>
          <w:tcPr>
            <w:tcW w:w="2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FB4176D" w14:textId="77777777" w:rsidR="00F63AF3" w:rsidRDefault="00500100">
            <w:pPr>
              <w:jc w:val="center"/>
            </w:pPr>
            <w:r>
              <w:rPr>
                <w:color w:val="1A2335"/>
                <w:sz w:val="19"/>
                <w:szCs w:val="19"/>
              </w:rPr>
              <w:t>Raw effect in original units</w:t>
            </w:r>
          </w:p>
        </w:tc>
      </w:tr>
      <w:tr w:rsidR="00F63AF3" w14:paraId="7DC6CC07"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198FCCF" w14:textId="77777777" w:rsidR="00F63AF3" w:rsidRDefault="00500100">
            <w:r>
              <w:rPr>
                <w:color w:val="1A2335"/>
                <w:sz w:val="19"/>
                <w:szCs w:val="19"/>
              </w:rPr>
              <w:t>ε</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52750E3" w14:textId="77777777" w:rsidR="00F63AF3" w:rsidRDefault="00500100">
            <w:pPr>
              <w:jc w:val="center"/>
            </w:pPr>
            <w:r>
              <w:rPr>
                <w:color w:val="1A2335"/>
                <w:sz w:val="19"/>
                <w:szCs w:val="19"/>
              </w:rPr>
              <w:t>epsilon</w:t>
            </w:r>
          </w:p>
        </w:tc>
        <w:tc>
          <w:tcPr>
            <w:tcW w:w="34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056FD70" w14:textId="77777777" w:rsidR="00F63AF3" w:rsidRDefault="00500100">
            <w:pPr>
              <w:jc w:val="center"/>
            </w:pPr>
            <w:r>
              <w:rPr>
                <w:color w:val="1A2335"/>
                <w:sz w:val="19"/>
                <w:szCs w:val="19"/>
              </w:rPr>
              <w:t>Error term</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4459DE3" w14:textId="77777777" w:rsidR="00F63AF3" w:rsidRDefault="00500100">
            <w:pPr>
              <w:jc w:val="center"/>
            </w:pPr>
            <w:r>
              <w:rPr>
                <w:color w:val="1A2335"/>
                <w:sz w:val="19"/>
                <w:szCs w:val="19"/>
              </w:rPr>
              <w:t>Unexplained variance</w:t>
            </w:r>
          </w:p>
        </w:tc>
      </w:tr>
    </w:tbl>
    <w:p w14:paraId="4E8E1C15" w14:textId="77777777" w:rsidR="00F63AF3" w:rsidRDefault="00F63AF3">
      <w:pPr>
        <w:spacing w:before="100" w:after="60"/>
      </w:pPr>
    </w:p>
    <w:p w14:paraId="3CD82F11" w14:textId="77777777" w:rsidR="00F63AF3" w:rsidRDefault="00500100">
      <w:r>
        <w:br w:type="page"/>
      </w:r>
    </w:p>
    <w:p w14:paraId="4C92660F" w14:textId="77777777" w:rsidR="00F63AF3" w:rsidRDefault="00500100">
      <w:pPr>
        <w:shd w:val="clear" w:color="auto" w:fill="1A5C39"/>
        <w:spacing w:before="320" w:after="160"/>
        <w:ind w:left="160" w:right="160"/>
      </w:pPr>
      <w:r>
        <w:rPr>
          <w:b/>
          <w:bCs/>
          <w:color w:val="FFFFFF"/>
          <w:sz w:val="26"/>
          <w:szCs w:val="26"/>
        </w:rPr>
        <w:lastRenderedPageBreak/>
        <w:t>PART 7  DESCRIPTIVE STATISTICS — UNDERSTANDING THE DATA</w:t>
      </w:r>
    </w:p>
    <w:p w14:paraId="276220D9" w14:textId="77777777" w:rsidR="00F63AF3" w:rsidRDefault="00F63AF3">
      <w:pPr>
        <w:spacing w:before="80" w:after="60"/>
      </w:pPr>
    </w:p>
    <w:p w14:paraId="7A92DEAC"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IN PLAIN ENGLISH:  </w:t>
      </w:r>
      <w:r>
        <w:rPr>
          <w:color w:val="2D3748"/>
          <w:sz w:val="21"/>
          <w:szCs w:val="21"/>
        </w:rPr>
        <w:t>Before running any complicated statistics, you always check the basic shape of your data. How spread out is it? Is it symmetric? Are there extreme outliers? Descriptive statistics answer these questions. Think of it as a health check for your data.</w:t>
      </w:r>
    </w:p>
    <w:p w14:paraId="6F757560" w14:textId="77777777" w:rsidR="00F63AF3" w:rsidRDefault="00F63AF3">
      <w:pPr>
        <w:spacing w:before="60" w:after="60"/>
      </w:pPr>
    </w:p>
    <w:p w14:paraId="0824DEB0" w14:textId="77777777" w:rsidR="00F63AF3" w:rsidRDefault="00500100">
      <w:pPr>
        <w:pBdr>
          <w:bottom w:val="single" w:sz="4" w:space="0" w:color="1A5C39"/>
        </w:pBdr>
        <w:spacing w:before="220" w:after="100"/>
      </w:pPr>
      <w:r>
        <w:rPr>
          <w:b/>
          <w:bCs/>
          <w:color w:val="1A5C39"/>
          <w:sz w:val="24"/>
          <w:szCs w:val="24"/>
        </w:rPr>
        <w:t>7.1  What Was Found</w:t>
      </w:r>
    </w:p>
    <w:p w14:paraId="097FAE54"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660"/>
        <w:gridCol w:w="880"/>
        <w:gridCol w:w="880"/>
        <w:gridCol w:w="990"/>
        <w:gridCol w:w="990"/>
        <w:gridCol w:w="1108"/>
        <w:gridCol w:w="1100"/>
      </w:tblGrid>
      <w:tr w:rsidR="00F63AF3" w14:paraId="6030D359" w14:textId="77777777">
        <w:tblPrEx>
          <w:tblCellMar>
            <w:top w:w="0" w:type="dxa"/>
            <w:bottom w:w="0" w:type="dxa"/>
          </w:tblCellMar>
        </w:tblPrEx>
        <w:trPr>
          <w:tblHeader/>
        </w:trPr>
        <w:tc>
          <w:tcPr>
            <w:tcW w:w="2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24F7C53" w14:textId="77777777" w:rsidR="00F63AF3" w:rsidRDefault="00500100">
            <w:pPr>
              <w:jc w:val="center"/>
            </w:pPr>
            <w:r>
              <w:rPr>
                <w:b/>
                <w:bCs/>
                <w:color w:val="FFFFFF"/>
                <w:sz w:val="19"/>
                <w:szCs w:val="19"/>
              </w:rPr>
              <w:t>Construct</w:t>
            </w:r>
          </w:p>
        </w:tc>
        <w:tc>
          <w:tcPr>
            <w:tcW w:w="6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E612B48" w14:textId="77777777" w:rsidR="00F63AF3" w:rsidRDefault="00500100">
            <w:pPr>
              <w:jc w:val="center"/>
            </w:pPr>
            <w:r>
              <w:rPr>
                <w:b/>
                <w:bCs/>
                <w:color w:val="FFFFFF"/>
                <w:sz w:val="19"/>
                <w:szCs w:val="19"/>
              </w:rPr>
              <w:t>N</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0C64CAA" w14:textId="77777777" w:rsidR="00F63AF3" w:rsidRDefault="00500100">
            <w:pPr>
              <w:jc w:val="center"/>
            </w:pPr>
            <w:r>
              <w:rPr>
                <w:b/>
                <w:bCs/>
                <w:color w:val="FFFFFF"/>
                <w:sz w:val="19"/>
                <w:szCs w:val="19"/>
              </w:rPr>
              <w:t>Mean</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277E8A1" w14:textId="77777777" w:rsidR="00F63AF3" w:rsidRDefault="00500100">
            <w:pPr>
              <w:jc w:val="center"/>
            </w:pPr>
            <w:r>
              <w:rPr>
                <w:b/>
                <w:bCs/>
                <w:color w:val="FFFFFF"/>
                <w:sz w:val="19"/>
                <w:szCs w:val="19"/>
              </w:rPr>
              <w:t>SD</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D243E49" w14:textId="77777777" w:rsidR="00F63AF3" w:rsidRDefault="00500100">
            <w:pPr>
              <w:jc w:val="center"/>
            </w:pPr>
            <w:r>
              <w:rPr>
                <w:b/>
                <w:bCs/>
                <w:color w:val="FFFFFF"/>
                <w:sz w:val="19"/>
                <w:szCs w:val="19"/>
              </w:rPr>
              <w:t>Min</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276292C" w14:textId="77777777" w:rsidR="00F63AF3" w:rsidRDefault="00500100">
            <w:pPr>
              <w:jc w:val="center"/>
            </w:pPr>
            <w:r>
              <w:rPr>
                <w:b/>
                <w:bCs/>
                <w:color w:val="FFFFFF"/>
                <w:sz w:val="19"/>
                <w:szCs w:val="19"/>
              </w:rPr>
              <w:t>Max</w:t>
            </w:r>
          </w:p>
        </w:tc>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A164EBB" w14:textId="77777777" w:rsidR="00F63AF3" w:rsidRDefault="00500100">
            <w:pPr>
              <w:jc w:val="center"/>
            </w:pPr>
            <w:r>
              <w:rPr>
                <w:b/>
                <w:bCs/>
                <w:color w:val="FFFFFF"/>
                <w:sz w:val="19"/>
                <w:szCs w:val="19"/>
              </w:rPr>
              <w:t>Skewness</w:t>
            </w:r>
          </w:p>
        </w:tc>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54D73C4A" w14:textId="77777777" w:rsidR="00F63AF3" w:rsidRDefault="00500100">
            <w:pPr>
              <w:jc w:val="center"/>
            </w:pPr>
            <w:r>
              <w:rPr>
                <w:b/>
                <w:bCs/>
                <w:color w:val="FFFFFF"/>
                <w:sz w:val="19"/>
                <w:szCs w:val="19"/>
              </w:rPr>
              <w:t>Kurtosis</w:t>
            </w:r>
          </w:p>
        </w:tc>
      </w:tr>
      <w:tr w:rsidR="00F63AF3" w14:paraId="3AF68A95" w14:textId="77777777">
        <w:tblPrEx>
          <w:tblCellMar>
            <w:top w:w="0" w:type="dxa"/>
            <w:bottom w:w="0" w:type="dxa"/>
          </w:tblCellMar>
        </w:tblPrEx>
        <w:tc>
          <w:tcPr>
            <w:tcW w:w="2200" w:type="dxa"/>
            <w:tcBorders>
              <w:top w:val="single" w:sz="4" w:space="0" w:color="C5D0DC"/>
              <w:left w:val="single" w:sz="4" w:space="0" w:color="C5D0DC"/>
              <w:bottom w:val="single" w:sz="4" w:space="0" w:color="C5D0DC"/>
              <w:right w:val="single" w:sz="4" w:space="0" w:color="C5D0DC"/>
            </w:tcBorders>
            <w:shd w:val="clear" w:color="auto" w:fill="EBF4FA"/>
            <w:tcMar>
              <w:top w:w="80" w:type="dxa"/>
              <w:left w:w="120" w:type="dxa"/>
              <w:bottom w:w="80" w:type="dxa"/>
              <w:right w:w="120" w:type="dxa"/>
            </w:tcMar>
            <w:vAlign w:val="center"/>
          </w:tcPr>
          <w:p w14:paraId="4C28EFD2" w14:textId="77777777" w:rsidR="00F63AF3" w:rsidRDefault="00500100">
            <w:r>
              <w:rPr>
                <w:b/>
                <w:bCs/>
                <w:color w:val="0D1B3E"/>
                <w:sz w:val="19"/>
                <w:szCs w:val="19"/>
              </w:rPr>
              <w:t>ξ₁ AI Readiness</w:t>
            </w:r>
          </w:p>
        </w:tc>
        <w:tc>
          <w:tcPr>
            <w:tcW w:w="6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9853A1B" w14:textId="77777777" w:rsidR="00F63AF3" w:rsidRDefault="00500100">
            <w:pPr>
              <w:jc w:val="center"/>
            </w:pPr>
            <w:r>
              <w:rPr>
                <w:color w:val="1A2335"/>
                <w:sz w:val="19"/>
                <w:szCs w:val="19"/>
              </w:rPr>
              <w:t>164</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7131072" w14:textId="77777777" w:rsidR="00F63AF3" w:rsidRDefault="00500100">
            <w:pPr>
              <w:jc w:val="center"/>
            </w:pPr>
            <w:r>
              <w:rPr>
                <w:color w:val="1A2335"/>
                <w:sz w:val="19"/>
                <w:szCs w:val="19"/>
              </w:rPr>
              <w:t>0.042</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16AE22B" w14:textId="77777777" w:rsidR="00F63AF3" w:rsidRDefault="00500100">
            <w:pPr>
              <w:jc w:val="center"/>
            </w:pPr>
            <w:r>
              <w:rPr>
                <w:color w:val="1A2335"/>
                <w:sz w:val="19"/>
                <w:szCs w:val="19"/>
              </w:rPr>
              <w:t>0.975</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C737605" w14:textId="77777777" w:rsidR="00F63AF3" w:rsidRDefault="00500100">
            <w:pPr>
              <w:jc w:val="center"/>
            </w:pPr>
            <w:r>
              <w:rPr>
                <w:color w:val="1A2335"/>
                <w:sz w:val="19"/>
                <w:szCs w:val="19"/>
              </w:rPr>
              <w:t>−</w:t>
            </w:r>
            <w:r>
              <w:rPr>
                <w:color w:val="1A2335"/>
                <w:sz w:val="19"/>
                <w:szCs w:val="19"/>
              </w:rPr>
              <w:t>2.159</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48374F5" w14:textId="77777777" w:rsidR="00F63AF3" w:rsidRDefault="00500100">
            <w:pPr>
              <w:jc w:val="center"/>
            </w:pPr>
            <w:r>
              <w:rPr>
                <w:color w:val="1A2335"/>
                <w:sz w:val="19"/>
                <w:szCs w:val="19"/>
              </w:rPr>
              <w:t>1.624</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22ABE5C" w14:textId="77777777" w:rsidR="00F63AF3" w:rsidRDefault="00500100">
            <w:pPr>
              <w:jc w:val="center"/>
            </w:pPr>
            <w:r>
              <w:rPr>
                <w:color w:val="1A2335"/>
                <w:sz w:val="19"/>
                <w:szCs w:val="19"/>
              </w:rPr>
              <w:t>−</w:t>
            </w:r>
            <w:r>
              <w:rPr>
                <w:color w:val="1A2335"/>
                <w:sz w:val="19"/>
                <w:szCs w:val="19"/>
              </w:rPr>
              <w:t>0.361</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CD5A3B7" w14:textId="77777777" w:rsidR="00F63AF3" w:rsidRDefault="00500100">
            <w:pPr>
              <w:jc w:val="center"/>
            </w:pPr>
            <w:r>
              <w:rPr>
                <w:color w:val="1A2335"/>
                <w:sz w:val="19"/>
                <w:szCs w:val="19"/>
              </w:rPr>
              <w:t>−</w:t>
            </w:r>
            <w:r>
              <w:rPr>
                <w:color w:val="1A2335"/>
                <w:sz w:val="19"/>
                <w:szCs w:val="19"/>
              </w:rPr>
              <w:t>0.982</w:t>
            </w:r>
          </w:p>
        </w:tc>
      </w:tr>
      <w:tr w:rsidR="00F63AF3" w14:paraId="0EE7B024" w14:textId="77777777">
        <w:tblPrEx>
          <w:tblCellMar>
            <w:top w:w="0" w:type="dxa"/>
            <w:bottom w:w="0" w:type="dxa"/>
          </w:tblCellMar>
        </w:tblPrEx>
        <w:tc>
          <w:tcPr>
            <w:tcW w:w="2200"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1F2F4D93" w14:textId="77777777" w:rsidR="00F63AF3" w:rsidRDefault="00500100">
            <w:r>
              <w:rPr>
                <w:b/>
                <w:bCs/>
                <w:color w:val="1A5C39"/>
                <w:sz w:val="19"/>
                <w:szCs w:val="19"/>
              </w:rPr>
              <w:t>η₁ SC Performance</w:t>
            </w:r>
          </w:p>
        </w:tc>
        <w:tc>
          <w:tcPr>
            <w:tcW w:w="6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4BFB2E7" w14:textId="77777777" w:rsidR="00F63AF3" w:rsidRDefault="00500100">
            <w:pPr>
              <w:jc w:val="center"/>
            </w:pPr>
            <w:r>
              <w:rPr>
                <w:color w:val="1A2335"/>
                <w:sz w:val="19"/>
                <w:szCs w:val="19"/>
              </w:rPr>
              <w:t>164</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93F3217" w14:textId="77777777" w:rsidR="00F63AF3" w:rsidRDefault="00500100">
            <w:pPr>
              <w:jc w:val="center"/>
            </w:pPr>
            <w:r>
              <w:rPr>
                <w:color w:val="1A2335"/>
                <w:sz w:val="19"/>
                <w:szCs w:val="19"/>
              </w:rPr>
              <w:t>0.072</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8718509" w14:textId="77777777" w:rsidR="00F63AF3" w:rsidRDefault="00500100">
            <w:pPr>
              <w:jc w:val="center"/>
            </w:pPr>
            <w:r>
              <w:rPr>
                <w:color w:val="1A2335"/>
                <w:sz w:val="19"/>
                <w:szCs w:val="19"/>
              </w:rPr>
              <w:t>1.018</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609544F" w14:textId="77777777" w:rsidR="00F63AF3" w:rsidRDefault="00500100">
            <w:pPr>
              <w:jc w:val="center"/>
            </w:pPr>
            <w:r>
              <w:rPr>
                <w:color w:val="1A2335"/>
                <w:sz w:val="19"/>
                <w:szCs w:val="19"/>
              </w:rPr>
              <w:t>−</w:t>
            </w:r>
            <w:r>
              <w:rPr>
                <w:color w:val="1A2335"/>
                <w:sz w:val="19"/>
                <w:szCs w:val="19"/>
              </w:rPr>
              <w:t>1.704</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EF40A5B" w14:textId="77777777" w:rsidR="00F63AF3" w:rsidRDefault="00500100">
            <w:pPr>
              <w:jc w:val="center"/>
            </w:pPr>
            <w:r>
              <w:rPr>
                <w:color w:val="1A2335"/>
                <w:sz w:val="19"/>
                <w:szCs w:val="19"/>
              </w:rPr>
              <w:t>2.526</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33E0C9D" w14:textId="77777777" w:rsidR="00F63AF3" w:rsidRDefault="00500100">
            <w:pPr>
              <w:jc w:val="center"/>
            </w:pPr>
            <w:r>
              <w:rPr>
                <w:color w:val="1A2335"/>
                <w:sz w:val="19"/>
                <w:szCs w:val="19"/>
              </w:rPr>
              <w:t>0.562</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E76CEC8" w14:textId="77777777" w:rsidR="00F63AF3" w:rsidRDefault="00500100">
            <w:pPr>
              <w:jc w:val="center"/>
            </w:pPr>
            <w:r>
              <w:rPr>
                <w:color w:val="1A2335"/>
                <w:sz w:val="19"/>
                <w:szCs w:val="19"/>
              </w:rPr>
              <w:t>−</w:t>
            </w:r>
            <w:r>
              <w:rPr>
                <w:color w:val="1A2335"/>
                <w:sz w:val="19"/>
                <w:szCs w:val="19"/>
              </w:rPr>
              <w:t>0.671</w:t>
            </w:r>
          </w:p>
        </w:tc>
      </w:tr>
      <w:tr w:rsidR="00F63AF3" w14:paraId="2E8F7B2E" w14:textId="77777777">
        <w:tblPrEx>
          <w:tblCellMar>
            <w:top w:w="0" w:type="dxa"/>
            <w:bottom w:w="0" w:type="dxa"/>
          </w:tblCellMar>
        </w:tblPrEx>
        <w:tc>
          <w:tcPr>
            <w:tcW w:w="2200" w:type="dxa"/>
            <w:tcBorders>
              <w:top w:val="single" w:sz="4" w:space="0" w:color="C5D0DC"/>
              <w:left w:val="single" w:sz="4" w:space="0" w:color="C5D0DC"/>
              <w:bottom w:val="single" w:sz="4" w:space="0" w:color="C5D0DC"/>
              <w:right w:val="single" w:sz="4" w:space="0" w:color="C5D0DC"/>
            </w:tcBorders>
            <w:shd w:val="clear" w:color="auto" w:fill="FDECEA"/>
            <w:tcMar>
              <w:top w:w="80" w:type="dxa"/>
              <w:left w:w="120" w:type="dxa"/>
              <w:bottom w:w="80" w:type="dxa"/>
              <w:right w:w="120" w:type="dxa"/>
            </w:tcMar>
            <w:vAlign w:val="center"/>
          </w:tcPr>
          <w:p w14:paraId="695D149D" w14:textId="77777777" w:rsidR="00F63AF3" w:rsidRDefault="00500100">
            <w:r>
              <w:rPr>
                <w:b/>
                <w:bCs/>
                <w:color w:val="7B1010"/>
                <w:sz w:val="19"/>
                <w:szCs w:val="19"/>
              </w:rPr>
              <w:t>η₂ Economic Perf.</w:t>
            </w:r>
          </w:p>
        </w:tc>
        <w:tc>
          <w:tcPr>
            <w:tcW w:w="6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2ECCC70" w14:textId="77777777" w:rsidR="00F63AF3" w:rsidRDefault="00500100">
            <w:pPr>
              <w:jc w:val="center"/>
            </w:pPr>
            <w:r>
              <w:rPr>
                <w:color w:val="1A2335"/>
                <w:sz w:val="19"/>
                <w:szCs w:val="19"/>
              </w:rPr>
              <w:t>164</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16BB2C3" w14:textId="77777777" w:rsidR="00F63AF3" w:rsidRDefault="00500100">
            <w:pPr>
              <w:jc w:val="center"/>
            </w:pPr>
            <w:r>
              <w:rPr>
                <w:color w:val="1A2335"/>
                <w:sz w:val="19"/>
                <w:szCs w:val="19"/>
              </w:rPr>
              <w:t>0.013</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BB5C705" w14:textId="77777777" w:rsidR="00F63AF3" w:rsidRDefault="00500100">
            <w:pPr>
              <w:jc w:val="center"/>
            </w:pPr>
            <w:r>
              <w:rPr>
                <w:color w:val="1A2335"/>
                <w:sz w:val="19"/>
                <w:szCs w:val="19"/>
              </w:rPr>
              <w:t>0.867</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7A0DF09" w14:textId="77777777" w:rsidR="00F63AF3" w:rsidRDefault="00500100">
            <w:pPr>
              <w:jc w:val="center"/>
            </w:pPr>
            <w:r>
              <w:rPr>
                <w:color w:val="1A2335"/>
                <w:sz w:val="19"/>
                <w:szCs w:val="19"/>
              </w:rPr>
              <w:t>−</w:t>
            </w:r>
            <w:r>
              <w:rPr>
                <w:color w:val="1A2335"/>
                <w:sz w:val="19"/>
                <w:szCs w:val="19"/>
              </w:rPr>
              <w:t>1.158</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1993C68" w14:textId="77777777" w:rsidR="00F63AF3" w:rsidRDefault="00500100">
            <w:pPr>
              <w:jc w:val="center"/>
            </w:pPr>
            <w:r>
              <w:rPr>
                <w:color w:val="1A2335"/>
                <w:sz w:val="19"/>
                <w:szCs w:val="19"/>
              </w:rPr>
              <w:t>4.908</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EAF16FC" w14:textId="77777777" w:rsidR="00F63AF3" w:rsidRDefault="00500100">
            <w:pPr>
              <w:jc w:val="center"/>
            </w:pPr>
            <w:r>
              <w:rPr>
                <w:color w:val="1A2335"/>
                <w:sz w:val="19"/>
                <w:szCs w:val="19"/>
              </w:rPr>
              <w:t>2.368 ⚠</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E1173AC" w14:textId="77777777" w:rsidR="00F63AF3" w:rsidRDefault="00500100">
            <w:pPr>
              <w:jc w:val="center"/>
            </w:pPr>
            <w:r>
              <w:rPr>
                <w:color w:val="1A2335"/>
                <w:sz w:val="19"/>
                <w:szCs w:val="19"/>
              </w:rPr>
              <w:t>8.157 ⚠</w:t>
            </w:r>
          </w:p>
        </w:tc>
      </w:tr>
      <w:tr w:rsidR="00F63AF3" w14:paraId="17D79A0F" w14:textId="77777777">
        <w:tblPrEx>
          <w:tblCellMar>
            <w:top w:w="0" w:type="dxa"/>
            <w:bottom w:w="0" w:type="dxa"/>
          </w:tblCellMar>
        </w:tblPrEx>
        <w:tc>
          <w:tcPr>
            <w:tcW w:w="2200" w:type="dxa"/>
            <w:tcBorders>
              <w:top w:val="single" w:sz="4" w:space="0" w:color="C5D0DC"/>
              <w:left w:val="single" w:sz="4" w:space="0" w:color="C5D0DC"/>
              <w:bottom w:val="single" w:sz="4" w:space="0" w:color="C5D0DC"/>
              <w:right w:val="single" w:sz="4" w:space="0" w:color="C5D0DC"/>
            </w:tcBorders>
            <w:shd w:val="clear" w:color="auto" w:fill="F0EBF8"/>
            <w:tcMar>
              <w:top w:w="80" w:type="dxa"/>
              <w:left w:w="120" w:type="dxa"/>
              <w:bottom w:w="80" w:type="dxa"/>
              <w:right w:w="120" w:type="dxa"/>
            </w:tcMar>
            <w:vAlign w:val="center"/>
          </w:tcPr>
          <w:p w14:paraId="51756A8D" w14:textId="77777777" w:rsidR="00F63AF3" w:rsidRDefault="00500100">
            <w:r>
              <w:rPr>
                <w:b/>
                <w:bCs/>
                <w:color w:val="4A235A"/>
                <w:sz w:val="19"/>
                <w:szCs w:val="19"/>
              </w:rPr>
              <w:t>ξ₂ Institutions</w:t>
            </w:r>
          </w:p>
        </w:tc>
        <w:tc>
          <w:tcPr>
            <w:tcW w:w="6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0859112" w14:textId="77777777" w:rsidR="00F63AF3" w:rsidRDefault="00500100">
            <w:pPr>
              <w:jc w:val="center"/>
            </w:pPr>
            <w:r>
              <w:rPr>
                <w:color w:val="1A2335"/>
                <w:sz w:val="19"/>
                <w:szCs w:val="19"/>
              </w:rPr>
              <w:t>164</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F1B1DF4" w14:textId="77777777" w:rsidR="00F63AF3" w:rsidRDefault="00500100">
            <w:pPr>
              <w:jc w:val="center"/>
            </w:pPr>
            <w:r>
              <w:rPr>
                <w:color w:val="1A2335"/>
                <w:sz w:val="19"/>
                <w:szCs w:val="19"/>
              </w:rPr>
              <w:t>−</w:t>
            </w:r>
            <w:r>
              <w:rPr>
                <w:color w:val="1A2335"/>
                <w:sz w:val="19"/>
                <w:szCs w:val="19"/>
              </w:rPr>
              <w:t>0.023</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E58FF3F" w14:textId="77777777" w:rsidR="00F63AF3" w:rsidRDefault="00500100">
            <w:pPr>
              <w:jc w:val="center"/>
            </w:pPr>
            <w:r>
              <w:rPr>
                <w:color w:val="1A2335"/>
                <w:sz w:val="19"/>
                <w:szCs w:val="19"/>
              </w:rPr>
              <w:t>0.949</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744D30E" w14:textId="77777777" w:rsidR="00F63AF3" w:rsidRDefault="00500100">
            <w:pPr>
              <w:jc w:val="center"/>
            </w:pPr>
            <w:r>
              <w:rPr>
                <w:color w:val="1A2335"/>
                <w:sz w:val="19"/>
                <w:szCs w:val="19"/>
              </w:rPr>
              <w:t>−</w:t>
            </w:r>
            <w:r>
              <w:rPr>
                <w:color w:val="1A2335"/>
                <w:sz w:val="19"/>
                <w:szCs w:val="19"/>
              </w:rPr>
              <w:t>1.683</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6617847" w14:textId="77777777" w:rsidR="00F63AF3" w:rsidRDefault="00500100">
            <w:pPr>
              <w:jc w:val="center"/>
            </w:pPr>
            <w:r>
              <w:rPr>
                <w:color w:val="1A2335"/>
                <w:sz w:val="19"/>
                <w:szCs w:val="19"/>
              </w:rPr>
              <w:t>2.137</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45044D7" w14:textId="77777777" w:rsidR="00F63AF3" w:rsidRDefault="00500100">
            <w:pPr>
              <w:jc w:val="center"/>
            </w:pPr>
            <w:r>
              <w:rPr>
                <w:color w:val="1A2335"/>
                <w:sz w:val="19"/>
                <w:szCs w:val="19"/>
              </w:rPr>
              <w:t>0.439</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66DA81F" w14:textId="77777777" w:rsidR="00F63AF3" w:rsidRDefault="00500100">
            <w:pPr>
              <w:jc w:val="center"/>
            </w:pPr>
            <w:r>
              <w:rPr>
                <w:color w:val="1A2335"/>
                <w:sz w:val="19"/>
                <w:szCs w:val="19"/>
              </w:rPr>
              <w:t>−</w:t>
            </w:r>
            <w:r>
              <w:rPr>
                <w:color w:val="1A2335"/>
                <w:sz w:val="19"/>
                <w:szCs w:val="19"/>
              </w:rPr>
              <w:t>0.661</w:t>
            </w:r>
          </w:p>
        </w:tc>
      </w:tr>
    </w:tbl>
    <w:p w14:paraId="453E0166" w14:textId="77777777" w:rsidR="00F63AF3" w:rsidRDefault="00F63AF3">
      <w:pPr>
        <w:spacing w:before="80" w:after="60"/>
      </w:pPr>
    </w:p>
    <w:p w14:paraId="76C8789F" w14:textId="77777777" w:rsidR="00F63AF3" w:rsidRDefault="00500100">
      <w:pPr>
        <w:pBdr>
          <w:bottom w:val="single" w:sz="4" w:space="0" w:color="1A5C39"/>
        </w:pBdr>
        <w:spacing w:before="220" w:after="100"/>
      </w:pPr>
      <w:r>
        <w:rPr>
          <w:b/>
          <w:bCs/>
          <w:color w:val="1A5C39"/>
          <w:sz w:val="24"/>
          <w:szCs w:val="24"/>
        </w:rPr>
        <w:t>7.2  Reading Each Statistic</w:t>
      </w:r>
    </w:p>
    <w:p w14:paraId="03C87269" w14:textId="77777777" w:rsidR="00F63AF3" w:rsidRDefault="00500100">
      <w:pPr>
        <w:spacing w:before="160" w:after="60"/>
      </w:pPr>
      <w:r>
        <w:rPr>
          <w:b/>
          <w:bCs/>
          <w:color w:val="0E6B7A"/>
        </w:rPr>
        <w:t>Mean (average):</w:t>
      </w:r>
    </w:p>
    <w:p w14:paraId="3BD9E95B" w14:textId="77777777" w:rsidR="00F63AF3" w:rsidRDefault="00500100">
      <w:pPr>
        <w:spacing w:before="120" w:after="80" w:line="340" w:lineRule="auto"/>
      </w:pPr>
      <w:r>
        <w:rPr>
          <w:color w:val="1A2335"/>
        </w:rPr>
        <w:t>All means are close to 0 because all variables are z-score standardised. This is expected and correct, not a data error. The slight deviations (0.042, 0.072, etc.) arise from composite aggregation across multiple indicators.</w:t>
      </w:r>
    </w:p>
    <w:p w14:paraId="31DA1F47" w14:textId="77777777" w:rsidR="00F63AF3" w:rsidRDefault="00500100">
      <w:pPr>
        <w:spacing w:before="160" w:after="60"/>
      </w:pPr>
      <w:r>
        <w:rPr>
          <w:b/>
          <w:bCs/>
          <w:color w:val="0E6B7A"/>
        </w:rPr>
        <w:t>Standard Deviation (SD):</w:t>
      </w:r>
    </w:p>
    <w:p w14:paraId="17EEAAC1" w14:textId="77777777" w:rsidR="00F63AF3" w:rsidRDefault="00500100">
      <w:pPr>
        <w:spacing w:before="120" w:after="80" w:line="340" w:lineRule="auto"/>
      </w:pPr>
      <w:r>
        <w:rPr>
          <w:color w:val="1A2335"/>
        </w:rPr>
        <w:t>All SDs are close to 1, again by design from z-standardisation. An SD of 1 means the typical country sits about 1 unit away from the mean. The variation across countries is preserved — only the scale changes.</w:t>
      </w:r>
    </w:p>
    <w:p w14:paraId="3A197E4A" w14:textId="77777777" w:rsidR="00F63AF3" w:rsidRDefault="00500100">
      <w:pPr>
        <w:spacing w:before="160" w:after="60"/>
      </w:pPr>
      <w:r>
        <w:rPr>
          <w:b/>
          <w:bCs/>
          <w:color w:val="0E6B7A"/>
        </w:rPr>
        <w:t>Skewness — what it tells you:</w:t>
      </w:r>
    </w:p>
    <w:p w14:paraId="7F0E9DFE" w14:textId="77777777" w:rsidR="00F63AF3" w:rsidRDefault="00500100">
      <w:pPr>
        <w:spacing w:before="120" w:after="80" w:line="340" w:lineRule="auto"/>
      </w:pPr>
      <w:r>
        <w:rPr>
          <w:color w:val="1A2335"/>
        </w:rPr>
        <w:t>Skewness measures whether the distribution leans left or right. A perfectly symmetric distribution has skewness = 0. Generally: |skewness| &lt; 1.0 is considered acceptable for SEM (Kline, 2023).</w:t>
      </w:r>
    </w:p>
    <w:p w14:paraId="6ED0138E" w14:textId="77777777" w:rsidR="00F63AF3" w:rsidRDefault="00500100">
      <w:pPr>
        <w:spacing w:before="60" w:after="60" w:line="310" w:lineRule="auto"/>
        <w:ind w:left="360" w:hanging="260"/>
      </w:pPr>
      <w:r>
        <w:rPr>
          <w:color w:val="2D3748"/>
          <w:sz w:val="21"/>
          <w:szCs w:val="21"/>
        </w:rPr>
        <w:t>●  ξ₁ AI Readiness: skewness = −0.361 (very slight left lean — most countries clustered around or below average)</w:t>
      </w:r>
    </w:p>
    <w:p w14:paraId="3F8B1936" w14:textId="77777777" w:rsidR="00F63AF3" w:rsidRDefault="00500100">
      <w:pPr>
        <w:spacing w:before="60" w:after="60" w:line="310" w:lineRule="auto"/>
        <w:ind w:left="360" w:hanging="260"/>
      </w:pPr>
      <w:r>
        <w:rPr>
          <w:color w:val="2D3748"/>
          <w:sz w:val="21"/>
          <w:szCs w:val="21"/>
        </w:rPr>
        <w:t>●  η₁ SC Performance: skewness = 0.562 (slight right lean — a few countries with very high logistics performance)</w:t>
      </w:r>
    </w:p>
    <w:p w14:paraId="5652F260" w14:textId="77777777" w:rsidR="00F63AF3" w:rsidRDefault="00500100">
      <w:pPr>
        <w:spacing w:before="60" w:after="60" w:line="310" w:lineRule="auto"/>
        <w:ind w:left="360" w:hanging="260"/>
      </w:pPr>
      <w:r>
        <w:rPr>
          <w:color w:val="2D3748"/>
          <w:sz w:val="21"/>
          <w:szCs w:val="21"/>
        </w:rPr>
        <w:t>●  η₂ Economic Performance: skewness = 2.368 (strong right lean — most countries are poor to middle income, but Singapore, Luxembourg, etc. pull the tail hard to the right)</w:t>
      </w:r>
    </w:p>
    <w:p w14:paraId="47292AD6" w14:textId="77777777" w:rsidR="00F63AF3" w:rsidRDefault="00500100">
      <w:pPr>
        <w:spacing w:before="60" w:after="60" w:line="310" w:lineRule="auto"/>
        <w:ind w:left="360" w:hanging="260"/>
      </w:pPr>
      <w:r>
        <w:rPr>
          <w:color w:val="2D3748"/>
          <w:sz w:val="21"/>
          <w:szCs w:val="21"/>
        </w:rPr>
        <w:t>●  ξ₂ Institutions: skewness = 0.439 (slight right lean — generally most countries have lower governance scores, a few score very high)</w:t>
      </w:r>
    </w:p>
    <w:p w14:paraId="115D250B" w14:textId="77777777" w:rsidR="00F63AF3" w:rsidRDefault="00500100">
      <w:pPr>
        <w:spacing w:before="160" w:after="60"/>
      </w:pPr>
      <w:r>
        <w:rPr>
          <w:b/>
          <w:bCs/>
          <w:color w:val="0E6B7A"/>
        </w:rPr>
        <w:t>Kurtosis — what it tells you:</w:t>
      </w:r>
    </w:p>
    <w:p w14:paraId="3D62CD8B" w14:textId="77777777" w:rsidR="00F63AF3" w:rsidRDefault="00500100">
      <w:pPr>
        <w:spacing w:before="120" w:after="80" w:line="340" w:lineRule="auto"/>
      </w:pPr>
      <w:r>
        <w:rPr>
          <w:color w:val="1A2335"/>
        </w:rPr>
        <w:t>Kurtosis measures how "peaked" or "fat-tailed" a distribution is. Normal distribution kurtosis = 0 (excess kurtosis). High positive kurtosis means extreme outliers are more common than expected.</w:t>
      </w:r>
    </w:p>
    <w:p w14:paraId="12743054"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lastRenderedPageBreak/>
        <w:t xml:space="preserve">THE η₂ PROBLEM:  </w:t>
      </w:r>
      <w:r>
        <w:rPr>
          <w:color w:val="2D3748"/>
          <w:sz w:val="21"/>
          <w:szCs w:val="21"/>
        </w:rPr>
        <w:t>Kurtosis = 8.157 for Economic Performance. This is very high — it means the distribution has extreme outliers (Singapore with GDP per capita ~$65,000; Luxembourg ~$115,000) that sit far from the global average (~$10,000). This violates the normality assumption of OLS regression. The researcher mitigates this with HC3 robust standard errors and acknowledges it as a study limitation.</w:t>
      </w:r>
    </w:p>
    <w:p w14:paraId="0E6ED066" w14:textId="77777777" w:rsidR="00F63AF3" w:rsidRDefault="00F63AF3">
      <w:pPr>
        <w:spacing w:before="60" w:after="60"/>
      </w:pPr>
    </w:p>
    <w:p w14:paraId="4C3D9047" w14:textId="77777777" w:rsidR="00F63AF3" w:rsidRDefault="00500100">
      <w:pPr>
        <w:pBdr>
          <w:bottom w:val="single" w:sz="4" w:space="0" w:color="1A5C39"/>
        </w:pBdr>
        <w:spacing w:before="220" w:after="100"/>
      </w:pPr>
      <w:r>
        <w:rPr>
          <w:b/>
          <w:bCs/>
          <w:color w:val="1A5C39"/>
          <w:sz w:val="24"/>
          <w:szCs w:val="24"/>
        </w:rPr>
        <w:t>7.3  Pearson Correlation Matrix</w:t>
      </w:r>
    </w:p>
    <w:p w14:paraId="70D4C89C"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IN PLAIN ENGLISH:  </w:t>
      </w:r>
      <w:r>
        <w:rPr>
          <w:color w:val="2D3748"/>
          <w:sz w:val="21"/>
          <w:szCs w:val="21"/>
        </w:rPr>
        <w:t>A correlation coefficient (r) tells you how strongly two variables move together. r = 1.0 means perfect positive relationship (when one goes up, the other always goes up by the same proportion). r = 0 means no relationship. r = −1.0 means perfect negative relationship. All correlations here are significant at p &lt; .001.</w:t>
      </w:r>
    </w:p>
    <w:p w14:paraId="2E20FA31"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400"/>
        <w:gridCol w:w="3926"/>
      </w:tblGrid>
      <w:tr w:rsidR="00F63AF3" w14:paraId="550B6117" w14:textId="77777777">
        <w:tblPrEx>
          <w:tblCellMar>
            <w:top w:w="0" w:type="dxa"/>
            <w:bottom w:w="0" w:type="dxa"/>
          </w:tblCellMar>
        </w:tblPrEx>
        <w:trPr>
          <w:tblHeader/>
        </w:trPr>
        <w:tc>
          <w:tcPr>
            <w:tcW w:w="2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22AE478" w14:textId="77777777" w:rsidR="00F63AF3" w:rsidRDefault="00500100">
            <w:pPr>
              <w:jc w:val="center"/>
            </w:pPr>
            <w:r>
              <w:rPr>
                <w:b/>
                <w:bCs/>
                <w:color w:val="FFFFFF"/>
                <w:sz w:val="19"/>
                <w:szCs w:val="19"/>
              </w:rPr>
              <w:t>Construct Pair</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28BB20E" w14:textId="77777777" w:rsidR="00F63AF3" w:rsidRDefault="00500100">
            <w:pPr>
              <w:jc w:val="center"/>
            </w:pPr>
            <w:r>
              <w:rPr>
                <w:b/>
                <w:bCs/>
                <w:color w:val="FFFFFF"/>
                <w:sz w:val="19"/>
                <w:szCs w:val="19"/>
              </w:rPr>
              <w:t>r Value</w:t>
            </w:r>
          </w:p>
        </w:tc>
        <w:tc>
          <w:tcPr>
            <w:tcW w:w="14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43A6A20" w14:textId="77777777" w:rsidR="00F63AF3" w:rsidRDefault="00500100">
            <w:pPr>
              <w:jc w:val="center"/>
            </w:pPr>
            <w:r>
              <w:rPr>
                <w:b/>
                <w:bCs/>
                <w:color w:val="FFFFFF"/>
                <w:sz w:val="19"/>
                <w:szCs w:val="19"/>
              </w:rPr>
              <w:t>Strength</w:t>
            </w:r>
          </w:p>
        </w:tc>
        <w:tc>
          <w:tcPr>
            <w:tcW w:w="39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0061975" w14:textId="77777777" w:rsidR="00F63AF3" w:rsidRDefault="00500100">
            <w:pPr>
              <w:jc w:val="center"/>
            </w:pPr>
            <w:r>
              <w:rPr>
                <w:b/>
                <w:bCs/>
                <w:color w:val="FFFFFF"/>
                <w:sz w:val="19"/>
                <w:szCs w:val="19"/>
              </w:rPr>
              <w:t>Key Interpretation</w:t>
            </w:r>
          </w:p>
        </w:tc>
      </w:tr>
      <w:tr w:rsidR="00F63AF3" w14:paraId="7BCA7242"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098830D" w14:textId="77777777" w:rsidR="00F63AF3" w:rsidRDefault="00500100">
            <w:r>
              <w:rPr>
                <w:color w:val="1A2335"/>
                <w:sz w:val="19"/>
                <w:szCs w:val="19"/>
              </w:rPr>
              <w:t>ξ₂ Institutions ↔ η₁ SC Performance</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5E85F70" w14:textId="77777777" w:rsidR="00F63AF3" w:rsidRDefault="00500100">
            <w:pPr>
              <w:jc w:val="center"/>
            </w:pPr>
            <w:r>
              <w:rPr>
                <w:color w:val="1A2335"/>
                <w:sz w:val="19"/>
                <w:szCs w:val="19"/>
              </w:rPr>
              <w:t>0.844</w:t>
            </w:r>
          </w:p>
        </w:tc>
        <w:tc>
          <w:tcPr>
            <w:tcW w:w="1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EA2441A" w14:textId="77777777" w:rsidR="00F63AF3" w:rsidRDefault="00500100">
            <w:pPr>
              <w:jc w:val="center"/>
            </w:pPr>
            <w:r>
              <w:rPr>
                <w:color w:val="1A2335"/>
                <w:sz w:val="19"/>
                <w:szCs w:val="19"/>
              </w:rPr>
              <w:t>Very strong</w:t>
            </w:r>
          </w:p>
        </w:tc>
        <w:tc>
          <w:tcPr>
            <w:tcW w:w="3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21B48F3" w14:textId="77777777" w:rsidR="00F63AF3" w:rsidRDefault="00500100">
            <w:pPr>
              <w:jc w:val="center"/>
            </w:pPr>
            <w:r>
              <w:rPr>
                <w:color w:val="1A2335"/>
                <w:sz w:val="19"/>
                <w:szCs w:val="19"/>
              </w:rPr>
              <w:t>Governance is the dominant bivariate predictor of supply chain performance</w:t>
            </w:r>
          </w:p>
        </w:tc>
      </w:tr>
      <w:tr w:rsidR="00F63AF3" w14:paraId="6A4D832E"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08E41F8" w14:textId="77777777" w:rsidR="00F63AF3" w:rsidRDefault="00500100">
            <w:r>
              <w:rPr>
                <w:color w:val="1A2335"/>
                <w:sz w:val="19"/>
                <w:szCs w:val="19"/>
              </w:rPr>
              <w:t>ξ₁ AI Readiness ↔ ξ₂ Institutions</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C858177" w14:textId="77777777" w:rsidR="00F63AF3" w:rsidRDefault="00500100">
            <w:pPr>
              <w:jc w:val="center"/>
            </w:pPr>
            <w:r>
              <w:rPr>
                <w:color w:val="1A2335"/>
                <w:sz w:val="19"/>
                <w:szCs w:val="19"/>
              </w:rPr>
              <w:t>0.799</w:t>
            </w:r>
          </w:p>
        </w:tc>
        <w:tc>
          <w:tcPr>
            <w:tcW w:w="14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8C478CF" w14:textId="77777777" w:rsidR="00F63AF3" w:rsidRDefault="00500100">
            <w:pPr>
              <w:jc w:val="center"/>
            </w:pPr>
            <w:r>
              <w:rPr>
                <w:color w:val="1A2335"/>
                <w:sz w:val="19"/>
                <w:szCs w:val="19"/>
              </w:rPr>
              <w:t>Very strong</w:t>
            </w:r>
          </w:p>
        </w:tc>
        <w:tc>
          <w:tcPr>
            <w:tcW w:w="39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45BA173" w14:textId="77777777" w:rsidR="00F63AF3" w:rsidRDefault="00500100">
            <w:pPr>
              <w:jc w:val="center"/>
            </w:pPr>
            <w:r>
              <w:rPr>
                <w:color w:val="1A2335"/>
                <w:sz w:val="19"/>
                <w:szCs w:val="19"/>
              </w:rPr>
              <w:t>AI-ready countries also tend to have strong governance — they co-evolve</w:t>
            </w:r>
          </w:p>
        </w:tc>
      </w:tr>
      <w:tr w:rsidR="00F63AF3" w14:paraId="41F2E28D"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AAE63B6" w14:textId="77777777" w:rsidR="00F63AF3" w:rsidRDefault="00500100">
            <w:r>
              <w:rPr>
                <w:color w:val="1A2335"/>
                <w:sz w:val="19"/>
                <w:szCs w:val="19"/>
              </w:rPr>
              <w:t>ξ₁ AI Readiness ↔ η₁ SC Performance</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F341B74" w14:textId="77777777" w:rsidR="00F63AF3" w:rsidRDefault="00500100">
            <w:pPr>
              <w:jc w:val="center"/>
            </w:pPr>
            <w:r>
              <w:rPr>
                <w:color w:val="1A2335"/>
                <w:sz w:val="19"/>
                <w:szCs w:val="19"/>
              </w:rPr>
              <w:t>0.786</w:t>
            </w:r>
          </w:p>
        </w:tc>
        <w:tc>
          <w:tcPr>
            <w:tcW w:w="1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D0DFEEB" w14:textId="77777777" w:rsidR="00F63AF3" w:rsidRDefault="00500100">
            <w:pPr>
              <w:jc w:val="center"/>
            </w:pPr>
            <w:r>
              <w:rPr>
                <w:color w:val="1A2335"/>
                <w:sz w:val="19"/>
                <w:szCs w:val="19"/>
              </w:rPr>
              <w:t>Strong</w:t>
            </w:r>
          </w:p>
        </w:tc>
        <w:tc>
          <w:tcPr>
            <w:tcW w:w="3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CF945AD" w14:textId="77777777" w:rsidR="00F63AF3" w:rsidRDefault="00500100">
            <w:pPr>
              <w:jc w:val="center"/>
            </w:pPr>
            <w:r>
              <w:rPr>
                <w:color w:val="1A2335"/>
                <w:sz w:val="19"/>
                <w:szCs w:val="19"/>
              </w:rPr>
              <w:t>More AI-ready countries have markedly better supply chains</w:t>
            </w:r>
          </w:p>
        </w:tc>
      </w:tr>
      <w:tr w:rsidR="00F63AF3" w14:paraId="0D1EC861"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DEA19DC" w14:textId="77777777" w:rsidR="00F63AF3" w:rsidRDefault="00500100">
            <w:r>
              <w:rPr>
                <w:color w:val="1A2335"/>
                <w:sz w:val="19"/>
                <w:szCs w:val="19"/>
              </w:rPr>
              <w:t>ξ₂ Institutions ↔ η₂ Economic Perf.</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8EED035" w14:textId="77777777" w:rsidR="00F63AF3" w:rsidRDefault="00500100">
            <w:pPr>
              <w:jc w:val="center"/>
            </w:pPr>
            <w:r>
              <w:rPr>
                <w:color w:val="1A2335"/>
                <w:sz w:val="19"/>
                <w:szCs w:val="19"/>
              </w:rPr>
              <w:t>0.620</w:t>
            </w:r>
          </w:p>
        </w:tc>
        <w:tc>
          <w:tcPr>
            <w:tcW w:w="14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CB65F70" w14:textId="77777777" w:rsidR="00F63AF3" w:rsidRDefault="00500100">
            <w:pPr>
              <w:jc w:val="center"/>
            </w:pPr>
            <w:r>
              <w:rPr>
                <w:color w:val="1A2335"/>
                <w:sz w:val="19"/>
                <w:szCs w:val="19"/>
              </w:rPr>
              <w:t>Moderate-strong</w:t>
            </w:r>
          </w:p>
        </w:tc>
        <w:tc>
          <w:tcPr>
            <w:tcW w:w="39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B7831E4" w14:textId="77777777" w:rsidR="00F63AF3" w:rsidRDefault="00500100">
            <w:pPr>
              <w:jc w:val="center"/>
            </w:pPr>
            <w:r>
              <w:rPr>
                <w:color w:val="1A2335"/>
                <w:sz w:val="19"/>
                <w:szCs w:val="19"/>
              </w:rPr>
              <w:t>Governance also correlates with wealth, but less than with SC</w:t>
            </w:r>
          </w:p>
        </w:tc>
      </w:tr>
      <w:tr w:rsidR="00F63AF3" w14:paraId="6ED5A5CD"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0F9EED4" w14:textId="77777777" w:rsidR="00F63AF3" w:rsidRDefault="00500100">
            <w:r>
              <w:rPr>
                <w:color w:val="1A2335"/>
                <w:sz w:val="19"/>
                <w:szCs w:val="19"/>
              </w:rPr>
              <w:t>η₁ SC Performance ↔ η₂ Economic Perf.</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F4C20B2" w14:textId="77777777" w:rsidR="00F63AF3" w:rsidRDefault="00500100">
            <w:pPr>
              <w:jc w:val="center"/>
            </w:pPr>
            <w:r>
              <w:rPr>
                <w:color w:val="1A2335"/>
                <w:sz w:val="19"/>
                <w:szCs w:val="19"/>
              </w:rPr>
              <w:t>0.562</w:t>
            </w:r>
          </w:p>
        </w:tc>
        <w:tc>
          <w:tcPr>
            <w:tcW w:w="14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68F12DF" w14:textId="77777777" w:rsidR="00F63AF3" w:rsidRDefault="00500100">
            <w:pPr>
              <w:jc w:val="center"/>
            </w:pPr>
            <w:r>
              <w:rPr>
                <w:color w:val="1A2335"/>
                <w:sz w:val="19"/>
                <w:szCs w:val="19"/>
              </w:rPr>
              <w:t>Moderate</w:t>
            </w:r>
          </w:p>
        </w:tc>
        <w:tc>
          <w:tcPr>
            <w:tcW w:w="3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9D3D66C" w14:textId="77777777" w:rsidR="00F63AF3" w:rsidRDefault="00500100">
            <w:pPr>
              <w:jc w:val="center"/>
            </w:pPr>
            <w:r>
              <w:rPr>
                <w:color w:val="1A2335"/>
                <w:sz w:val="19"/>
                <w:szCs w:val="19"/>
              </w:rPr>
              <w:t>Supply chain efficiency correlates with economic performance bivariate</w:t>
            </w:r>
          </w:p>
        </w:tc>
      </w:tr>
      <w:tr w:rsidR="00F63AF3" w14:paraId="0E9DCB8B" w14:textId="77777777">
        <w:tblPrEx>
          <w:tblCellMar>
            <w:top w:w="0" w:type="dxa"/>
            <w:bottom w:w="0" w:type="dxa"/>
          </w:tblCellMar>
        </w:tblPrEx>
        <w:tc>
          <w:tcPr>
            <w:tcW w:w="2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546AEFF" w14:textId="77777777" w:rsidR="00F63AF3" w:rsidRDefault="00500100">
            <w:r>
              <w:rPr>
                <w:color w:val="1A2335"/>
                <w:sz w:val="19"/>
                <w:szCs w:val="19"/>
              </w:rPr>
              <w:t>ξ₁ AI Readiness ↔ η₂ Economic Perf.</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3B43A7D" w14:textId="77777777" w:rsidR="00F63AF3" w:rsidRDefault="00500100">
            <w:pPr>
              <w:jc w:val="center"/>
            </w:pPr>
            <w:r>
              <w:rPr>
                <w:color w:val="1A2335"/>
                <w:sz w:val="19"/>
                <w:szCs w:val="19"/>
              </w:rPr>
              <w:t>0.550</w:t>
            </w:r>
          </w:p>
        </w:tc>
        <w:tc>
          <w:tcPr>
            <w:tcW w:w="14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44349CAF" w14:textId="77777777" w:rsidR="00F63AF3" w:rsidRDefault="00500100">
            <w:pPr>
              <w:jc w:val="center"/>
            </w:pPr>
            <w:r>
              <w:rPr>
                <w:color w:val="1A2335"/>
                <w:sz w:val="19"/>
                <w:szCs w:val="19"/>
              </w:rPr>
              <w:t>Moderate</w:t>
            </w:r>
          </w:p>
        </w:tc>
        <w:tc>
          <w:tcPr>
            <w:tcW w:w="39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16BC628" w14:textId="77777777" w:rsidR="00F63AF3" w:rsidRDefault="00500100">
            <w:pPr>
              <w:jc w:val="center"/>
            </w:pPr>
            <w:r>
              <w:rPr>
                <w:color w:val="1A2335"/>
                <w:sz w:val="19"/>
                <w:szCs w:val="19"/>
              </w:rPr>
              <w:t>AI readiness correlates with economic performance — almost identical to SC-Econ</w:t>
            </w:r>
          </w:p>
        </w:tc>
      </w:tr>
    </w:tbl>
    <w:p w14:paraId="56965342" w14:textId="77777777" w:rsidR="00F63AF3" w:rsidRDefault="00F63AF3">
      <w:pPr>
        <w:spacing w:before="60" w:after="60"/>
      </w:pPr>
    </w:p>
    <w:p w14:paraId="6004FAEB"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WHAT THE NEAR-EQUAL r VALUES MEAN:  </w:t>
      </w:r>
      <w:r>
        <w:rPr>
          <w:color w:val="2D3748"/>
          <w:sz w:val="21"/>
          <w:szCs w:val="21"/>
        </w:rPr>
        <w:t>The correlations of AI readiness with economic performance (0.550) and SC performance with economic performance (0.562) are almost identical. This is a warning sign for mediation: if SC performance is supposed to transmit AI's effect on the economy, you would expect SC-Econ correlation to be much higher than AI-Econ. The near-equality suggests both AI readiness and SC performance affect the economy through separate routes, not a relay chain.</w:t>
      </w:r>
    </w:p>
    <w:p w14:paraId="3A1AF172" w14:textId="77777777" w:rsidR="00F63AF3" w:rsidRDefault="00F63AF3">
      <w:pPr>
        <w:spacing w:before="100" w:after="60"/>
      </w:pPr>
    </w:p>
    <w:p w14:paraId="36AD87B8" w14:textId="77777777" w:rsidR="00F63AF3" w:rsidRDefault="00500100">
      <w:r>
        <w:br w:type="page"/>
      </w:r>
    </w:p>
    <w:p w14:paraId="3A3C6780" w14:textId="77777777" w:rsidR="00F63AF3" w:rsidRDefault="00500100">
      <w:pPr>
        <w:shd w:val="clear" w:color="auto" w:fill="4A235A"/>
        <w:spacing w:before="320" w:after="160"/>
        <w:ind w:left="160" w:right="160"/>
      </w:pPr>
      <w:r>
        <w:rPr>
          <w:b/>
          <w:bCs/>
          <w:color w:val="FFFFFF"/>
          <w:sz w:val="26"/>
          <w:szCs w:val="26"/>
        </w:rPr>
        <w:lastRenderedPageBreak/>
        <w:t xml:space="preserve">PART 8  </w:t>
      </w:r>
      <w:r>
        <w:rPr>
          <w:b/>
          <w:bCs/>
          <w:color w:val="FFFFFF"/>
          <w:sz w:val="26"/>
          <w:szCs w:val="26"/>
        </w:rPr>
        <w:t>MEASUREMENT MODEL — RELIABILITY &amp; VALIDITY</w:t>
      </w:r>
    </w:p>
    <w:p w14:paraId="3A5B622E" w14:textId="77777777" w:rsidR="00F63AF3" w:rsidRDefault="00F63AF3">
      <w:pPr>
        <w:spacing w:before="80" w:after="60"/>
      </w:pPr>
    </w:p>
    <w:p w14:paraId="5ED25FE4"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IN PLAIN ENGLISH:  </w:t>
      </w:r>
      <w:r>
        <w:rPr>
          <w:color w:val="2D3748"/>
          <w:sz w:val="21"/>
          <w:szCs w:val="21"/>
        </w:rPr>
        <w:t>Before trusting your composite scores, you must check: (1) Do the indicators within each construct hang together well? (reliability) (2) Does each construct actually measure what it claims to measure? (validity) This section is the "quality control" step before the main analysis.</w:t>
      </w:r>
    </w:p>
    <w:p w14:paraId="47B59E38" w14:textId="77777777" w:rsidR="00F63AF3" w:rsidRDefault="00F63AF3">
      <w:pPr>
        <w:spacing w:before="60" w:after="60"/>
      </w:pPr>
    </w:p>
    <w:p w14:paraId="1D83B5DE" w14:textId="77777777" w:rsidR="00F63AF3" w:rsidRDefault="00500100">
      <w:pPr>
        <w:pBdr>
          <w:bottom w:val="single" w:sz="4" w:space="0" w:color="4A235A"/>
        </w:pBdr>
        <w:spacing w:before="220" w:after="100"/>
      </w:pPr>
      <w:r>
        <w:rPr>
          <w:b/>
          <w:bCs/>
          <w:color w:val="4A235A"/>
          <w:sz w:val="24"/>
          <w:szCs w:val="24"/>
        </w:rPr>
        <w:t>8.1  Cronbach's Alpha (α) — Internal Consistency</w:t>
      </w:r>
    </w:p>
    <w:p w14:paraId="60E4D239" w14:textId="77777777" w:rsidR="00F63AF3" w:rsidRDefault="00500100">
      <w:pPr>
        <w:spacing w:before="120" w:after="80" w:line="340" w:lineRule="auto"/>
      </w:pPr>
      <w:r>
        <w:rPr>
          <w:color w:val="1A2335"/>
        </w:rPr>
        <w:t>Cronbach's Alpha measures how well the individual items (indicators) within a construct scale hang together. It ranges from 0 to 1. Rule of thumb thresholds:</w:t>
      </w:r>
    </w:p>
    <w:p w14:paraId="4561C6F9" w14:textId="77777777" w:rsidR="00F63AF3" w:rsidRDefault="00500100">
      <w:pPr>
        <w:spacing w:before="60" w:after="60" w:line="310" w:lineRule="auto"/>
        <w:ind w:left="360" w:hanging="260"/>
      </w:pPr>
      <w:r>
        <w:rPr>
          <w:color w:val="2D3748"/>
          <w:sz w:val="21"/>
          <w:szCs w:val="21"/>
        </w:rPr>
        <w:t>●  α ≥ 0.90 = Excellent</w:t>
      </w:r>
    </w:p>
    <w:p w14:paraId="531B185F" w14:textId="77777777" w:rsidR="00F63AF3" w:rsidRDefault="00500100">
      <w:pPr>
        <w:spacing w:before="60" w:after="60" w:line="310" w:lineRule="auto"/>
        <w:ind w:left="360" w:hanging="260"/>
      </w:pPr>
      <w:r>
        <w:rPr>
          <w:color w:val="2D3748"/>
          <w:sz w:val="21"/>
          <w:szCs w:val="21"/>
        </w:rPr>
        <w:t>●  α ≥ 0.80 = Good</w:t>
      </w:r>
    </w:p>
    <w:p w14:paraId="5182CD27" w14:textId="77777777" w:rsidR="00F63AF3" w:rsidRDefault="00500100">
      <w:pPr>
        <w:spacing w:before="60" w:after="60" w:line="310" w:lineRule="auto"/>
        <w:ind w:left="360" w:hanging="260"/>
      </w:pPr>
      <w:r>
        <w:rPr>
          <w:color w:val="2D3748"/>
          <w:sz w:val="21"/>
          <w:szCs w:val="21"/>
        </w:rPr>
        <w:t>●  α ≥ 0.70 = Acceptable (minimum threshold)</w:t>
      </w:r>
    </w:p>
    <w:p w14:paraId="22052670" w14:textId="77777777" w:rsidR="00F63AF3" w:rsidRDefault="00500100">
      <w:pPr>
        <w:spacing w:before="60" w:after="60" w:line="310" w:lineRule="auto"/>
        <w:ind w:left="360" w:hanging="260"/>
      </w:pPr>
      <w:r>
        <w:rPr>
          <w:color w:val="2D3748"/>
          <w:sz w:val="21"/>
          <w:szCs w:val="21"/>
        </w:rPr>
        <w:t>●  α &lt; 0.70 = Questionable — do not proceed without revision</w:t>
      </w:r>
    </w:p>
    <w:p w14:paraId="3AA0654A"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00"/>
        <w:gridCol w:w="1200"/>
        <w:gridCol w:w="4526"/>
      </w:tblGrid>
      <w:tr w:rsidR="00F63AF3" w14:paraId="4D5E1218" w14:textId="77777777">
        <w:tblPrEx>
          <w:tblCellMar>
            <w:top w:w="0" w:type="dxa"/>
            <w:bottom w:w="0" w:type="dxa"/>
          </w:tblCellMar>
        </w:tblPrEx>
        <w:trPr>
          <w:tblHeader/>
        </w:trPr>
        <w:tc>
          <w:tcPr>
            <w:tcW w:w="25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65A901D" w14:textId="77777777" w:rsidR="00F63AF3" w:rsidRDefault="00500100">
            <w:pPr>
              <w:jc w:val="center"/>
            </w:pPr>
            <w:r>
              <w:rPr>
                <w:b/>
                <w:bCs/>
                <w:color w:val="FFFFFF"/>
                <w:sz w:val="19"/>
                <w:szCs w:val="19"/>
              </w:rPr>
              <w:t>Construct</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B578645" w14:textId="77777777" w:rsidR="00F63AF3" w:rsidRDefault="00500100">
            <w:pPr>
              <w:jc w:val="center"/>
            </w:pPr>
            <w:r>
              <w:rPr>
                <w:b/>
                <w:bCs/>
                <w:color w:val="FFFFFF"/>
                <w:sz w:val="19"/>
                <w:szCs w:val="19"/>
              </w:rPr>
              <w:t>Items</w:t>
            </w:r>
          </w:p>
        </w:tc>
        <w:tc>
          <w:tcPr>
            <w:tcW w:w="1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77C6E7D2" w14:textId="77777777" w:rsidR="00F63AF3" w:rsidRDefault="00500100">
            <w:pPr>
              <w:jc w:val="center"/>
            </w:pPr>
            <w:r>
              <w:rPr>
                <w:b/>
                <w:bCs/>
                <w:color w:val="FFFFFF"/>
                <w:sz w:val="19"/>
                <w:szCs w:val="19"/>
              </w:rPr>
              <w:t>α Value</w:t>
            </w:r>
          </w:p>
        </w:tc>
        <w:tc>
          <w:tcPr>
            <w:tcW w:w="45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24B84C91" w14:textId="77777777" w:rsidR="00F63AF3" w:rsidRDefault="00500100">
            <w:pPr>
              <w:jc w:val="center"/>
            </w:pPr>
            <w:r>
              <w:rPr>
                <w:b/>
                <w:bCs/>
                <w:color w:val="FFFFFF"/>
                <w:sz w:val="19"/>
                <w:szCs w:val="19"/>
              </w:rPr>
              <w:t>Assessment</w:t>
            </w:r>
          </w:p>
        </w:tc>
      </w:tr>
      <w:tr w:rsidR="00F63AF3" w14:paraId="54B9BEA8"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CE8FE22" w14:textId="77777777" w:rsidR="00F63AF3" w:rsidRDefault="00500100">
            <w:r>
              <w:rPr>
                <w:color w:val="1A2335"/>
                <w:sz w:val="19"/>
                <w:szCs w:val="19"/>
              </w:rPr>
              <w:t>ξ₁ AI Readiness</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16A28E9" w14:textId="77777777" w:rsidR="00F63AF3" w:rsidRDefault="00500100">
            <w:pPr>
              <w:jc w:val="center"/>
            </w:pPr>
            <w:r>
              <w:rPr>
                <w:color w:val="1A2335"/>
                <w:sz w:val="19"/>
                <w:szCs w:val="19"/>
              </w:rPr>
              <w:t>2</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0B01BDA" w14:textId="77777777" w:rsidR="00F63AF3" w:rsidRDefault="00500100">
            <w:pPr>
              <w:jc w:val="center"/>
            </w:pPr>
            <w:r>
              <w:rPr>
                <w:color w:val="1A2335"/>
                <w:sz w:val="19"/>
                <w:szCs w:val="19"/>
              </w:rPr>
              <w:t>0.819</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5F2976A7" w14:textId="77777777" w:rsidR="00F63AF3" w:rsidRDefault="00500100">
            <w:pPr>
              <w:jc w:val="center"/>
            </w:pPr>
            <w:r>
              <w:rPr>
                <w:color w:val="1A5C39"/>
                <w:sz w:val="19"/>
                <w:szCs w:val="19"/>
              </w:rPr>
              <w:t>Good — above 0.80 threshold</w:t>
            </w:r>
          </w:p>
        </w:tc>
      </w:tr>
      <w:tr w:rsidR="00F63AF3" w14:paraId="32A7BB10"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4D412A3" w14:textId="77777777" w:rsidR="00F63AF3" w:rsidRDefault="00500100">
            <w:r>
              <w:rPr>
                <w:color w:val="1A2335"/>
                <w:sz w:val="19"/>
                <w:szCs w:val="19"/>
              </w:rPr>
              <w:t>η₁ SC Performance</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6DBEEBB" w14:textId="77777777" w:rsidR="00F63AF3" w:rsidRDefault="00500100">
            <w:pPr>
              <w:jc w:val="center"/>
            </w:pPr>
            <w:r>
              <w:rPr>
                <w:color w:val="1A2335"/>
                <w:sz w:val="19"/>
                <w:szCs w:val="19"/>
              </w:rPr>
              <w:t>5</w:t>
            </w:r>
          </w:p>
        </w:tc>
        <w:tc>
          <w:tcPr>
            <w:tcW w:w="1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E62249F" w14:textId="77777777" w:rsidR="00F63AF3" w:rsidRDefault="00500100">
            <w:pPr>
              <w:jc w:val="center"/>
            </w:pPr>
            <w:r>
              <w:rPr>
                <w:color w:val="1A2335"/>
                <w:sz w:val="19"/>
                <w:szCs w:val="19"/>
              </w:rPr>
              <w:t>0.956</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5623B370" w14:textId="77777777" w:rsidR="00F63AF3" w:rsidRDefault="00500100">
            <w:pPr>
              <w:jc w:val="center"/>
            </w:pPr>
            <w:r>
              <w:rPr>
                <w:color w:val="1A5C39"/>
                <w:sz w:val="19"/>
                <w:szCs w:val="19"/>
              </w:rPr>
              <w:t>Excellent — very high internal consistency</w:t>
            </w:r>
          </w:p>
        </w:tc>
      </w:tr>
      <w:tr w:rsidR="00F63AF3" w14:paraId="114E3318"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7C01373" w14:textId="77777777" w:rsidR="00F63AF3" w:rsidRDefault="00500100">
            <w:r>
              <w:rPr>
                <w:color w:val="1A2335"/>
                <w:sz w:val="19"/>
                <w:szCs w:val="19"/>
              </w:rPr>
              <w:t>η₂ Economic Performance</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EB71D49" w14:textId="77777777" w:rsidR="00F63AF3" w:rsidRDefault="00500100">
            <w:pPr>
              <w:jc w:val="center"/>
            </w:pPr>
            <w:r>
              <w:rPr>
                <w:color w:val="1A2335"/>
                <w:sz w:val="19"/>
                <w:szCs w:val="19"/>
              </w:rPr>
              <w:t>3</w:t>
            </w:r>
          </w:p>
        </w:tc>
        <w:tc>
          <w:tcPr>
            <w:tcW w:w="1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1EB52AF" w14:textId="77777777" w:rsidR="00F63AF3" w:rsidRDefault="00500100">
            <w:pPr>
              <w:jc w:val="center"/>
            </w:pPr>
            <w:r>
              <w:rPr>
                <w:color w:val="1A2335"/>
                <w:sz w:val="19"/>
                <w:szCs w:val="19"/>
              </w:rPr>
              <w:t>0.850</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1BCFE343" w14:textId="77777777" w:rsidR="00F63AF3" w:rsidRDefault="00500100">
            <w:pPr>
              <w:jc w:val="center"/>
            </w:pPr>
            <w:r>
              <w:rPr>
                <w:color w:val="1A5C39"/>
                <w:sz w:val="19"/>
                <w:szCs w:val="19"/>
              </w:rPr>
              <w:t>Good — comfortably above threshold</w:t>
            </w:r>
          </w:p>
        </w:tc>
      </w:tr>
      <w:tr w:rsidR="00F63AF3" w14:paraId="49757C1B"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00AEA94" w14:textId="77777777" w:rsidR="00F63AF3" w:rsidRDefault="00500100">
            <w:r>
              <w:rPr>
                <w:color w:val="1A2335"/>
                <w:sz w:val="19"/>
                <w:szCs w:val="19"/>
              </w:rPr>
              <w:t>ξ₂ Institutional Quality</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DD5CE7D" w14:textId="77777777" w:rsidR="00F63AF3" w:rsidRDefault="00500100">
            <w:pPr>
              <w:jc w:val="center"/>
            </w:pPr>
            <w:r>
              <w:rPr>
                <w:color w:val="1A2335"/>
                <w:sz w:val="19"/>
                <w:szCs w:val="19"/>
              </w:rPr>
              <w:t>4</w:t>
            </w:r>
          </w:p>
        </w:tc>
        <w:tc>
          <w:tcPr>
            <w:tcW w:w="1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4E5F5705" w14:textId="77777777" w:rsidR="00F63AF3" w:rsidRDefault="00500100">
            <w:pPr>
              <w:jc w:val="center"/>
            </w:pPr>
            <w:r>
              <w:rPr>
                <w:color w:val="1A2335"/>
                <w:sz w:val="19"/>
                <w:szCs w:val="19"/>
              </w:rPr>
              <w:t>0.982</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3A9A387A" w14:textId="77777777" w:rsidR="00F63AF3" w:rsidRDefault="00500100">
            <w:pPr>
              <w:jc w:val="center"/>
            </w:pPr>
            <w:r>
              <w:rPr>
                <w:color w:val="1A5C39"/>
                <w:sz w:val="19"/>
                <w:szCs w:val="19"/>
              </w:rPr>
              <w:t>Exceptional — near-perfect consistency</w:t>
            </w:r>
          </w:p>
        </w:tc>
      </w:tr>
    </w:tbl>
    <w:p w14:paraId="3B270534" w14:textId="77777777" w:rsidR="00F63AF3" w:rsidRDefault="00F63AF3">
      <w:pPr>
        <w:spacing w:before="60" w:after="60"/>
      </w:pPr>
    </w:p>
    <w:p w14:paraId="62FF7D38"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WHY IS ξ₂ ALPHA SO HIGH (0.982)?  </w:t>
      </w:r>
      <w:r>
        <w:rPr>
          <w:color w:val="2D3748"/>
          <w:sz w:val="21"/>
          <w:szCs w:val="21"/>
        </w:rPr>
        <w:t>The four WGI governance pillars (Govt. Effectiveness, Rule of Law, Regulatory Quality, Corruption Control) are not independent — they are different faces of the same underlying construct. A country with strong rule of law almost always has strong government effectiveness. The four items are measuring the same latent thing so tightly that they are virtually redundant with each other. High alpha = high reliability. Potential concern: the indicators may lack discriminant validity among themselves (but this mat</w:t>
      </w:r>
      <w:r>
        <w:rPr>
          <w:color w:val="2D3748"/>
          <w:sz w:val="21"/>
          <w:szCs w:val="21"/>
        </w:rPr>
        <w:t>ters less for a composite score).</w:t>
      </w:r>
    </w:p>
    <w:p w14:paraId="7E73CBAB" w14:textId="77777777" w:rsidR="00F63AF3" w:rsidRDefault="00F63AF3">
      <w:pPr>
        <w:spacing w:before="60" w:after="60"/>
      </w:pPr>
    </w:p>
    <w:p w14:paraId="3B5968C4" w14:textId="77777777" w:rsidR="00F63AF3" w:rsidRDefault="00500100">
      <w:pPr>
        <w:pBdr>
          <w:bottom w:val="single" w:sz="4" w:space="0" w:color="4A235A"/>
        </w:pBdr>
        <w:spacing w:before="220" w:after="100"/>
      </w:pPr>
      <w:r>
        <w:rPr>
          <w:b/>
          <w:bCs/>
          <w:color w:val="4A235A"/>
          <w:sz w:val="24"/>
          <w:szCs w:val="24"/>
        </w:rPr>
        <w:t>8.2  Composite Reliability (CR)</w:t>
      </w:r>
    </w:p>
    <w:p w14:paraId="7014F49A" w14:textId="77777777" w:rsidR="00F63AF3" w:rsidRDefault="00500100">
      <w:pPr>
        <w:spacing w:before="120" w:after="80" w:line="340" w:lineRule="auto"/>
      </w:pPr>
      <w:r>
        <w:rPr>
          <w:color w:val="1A2335"/>
        </w:rPr>
        <w:t>Composite Reliability is a more sophisticated alternative to Cronbach's Alpha that accounts for differing factor loadings. Unlike Cronbach's Alpha (which weights items equally), CR weights each item by how strongly it loads onto the factor. CR ≥ 0.70 is the threshold.</w:t>
      </w:r>
    </w:p>
    <w:p w14:paraId="6EF8AA22" w14:textId="77777777" w:rsidR="00F63AF3" w:rsidRDefault="00500100">
      <w:pPr>
        <w:spacing w:before="60" w:after="60" w:line="310" w:lineRule="auto"/>
        <w:ind w:left="360" w:hanging="260"/>
      </w:pPr>
      <w:r>
        <w:rPr>
          <w:color w:val="2D3748"/>
          <w:sz w:val="21"/>
          <w:szCs w:val="21"/>
        </w:rPr>
        <w:t>●  ξ₁: CR = 0.866 ✓   η₁: CR = 0.956 ✓   η₂: CR = 0.750 ✓   ξ₂: CR = 0.967 ✓</w:t>
      </w:r>
    </w:p>
    <w:p w14:paraId="54A3D3A9" w14:textId="77777777" w:rsidR="00F63AF3" w:rsidRDefault="00500100">
      <w:pPr>
        <w:spacing w:before="120" w:after="80" w:line="340" w:lineRule="auto"/>
      </w:pPr>
      <w:r>
        <w:rPr>
          <w:color w:val="1A2335"/>
        </w:rPr>
        <w:t>All four constructs pass. η₂ Economic Performance has the lowest CR (0.750) — this is because GDP, exports %, and trade openness are conceptually related but not as tightly as governance pillars.</w:t>
      </w:r>
    </w:p>
    <w:p w14:paraId="2BFBD73B" w14:textId="77777777" w:rsidR="00F63AF3" w:rsidRDefault="00F63AF3">
      <w:pPr>
        <w:spacing w:before="60" w:after="60"/>
      </w:pPr>
    </w:p>
    <w:p w14:paraId="777CCE4B" w14:textId="77777777" w:rsidR="00F63AF3" w:rsidRDefault="00500100">
      <w:pPr>
        <w:pBdr>
          <w:bottom w:val="single" w:sz="4" w:space="0" w:color="4A235A"/>
        </w:pBdr>
        <w:spacing w:before="220" w:after="100"/>
      </w:pPr>
      <w:r>
        <w:rPr>
          <w:b/>
          <w:bCs/>
          <w:color w:val="4A235A"/>
          <w:sz w:val="24"/>
          <w:szCs w:val="24"/>
        </w:rPr>
        <w:t>8.3  Average Variance Extracted (AVE) — Convergent Validity</w:t>
      </w:r>
    </w:p>
    <w:p w14:paraId="0A03079D"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lastRenderedPageBreak/>
        <w:t xml:space="preserve">IN PLAIN ENGLISH:  </w:t>
      </w:r>
      <w:r>
        <w:rPr>
          <w:color w:val="2D3748"/>
          <w:sz w:val="21"/>
          <w:szCs w:val="21"/>
        </w:rPr>
        <w:t xml:space="preserve">AVE asks: "What percentage of the variation in our indicators is explained by the underlying construct, versus just random noise?" If AVE ≥ 0.50, at least half the variance is </w:t>
      </w:r>
      <w:proofErr w:type="gramStart"/>
      <w:r>
        <w:rPr>
          <w:color w:val="2D3748"/>
          <w:sz w:val="21"/>
          <w:szCs w:val="21"/>
        </w:rPr>
        <w:t>real</w:t>
      </w:r>
      <w:proofErr w:type="gramEnd"/>
      <w:r>
        <w:rPr>
          <w:color w:val="2D3748"/>
          <w:sz w:val="21"/>
          <w:szCs w:val="21"/>
        </w:rPr>
        <w:t xml:space="preserve"> signal. If AVE &lt; 0.50, there is more noise than signal — the construct is poorly defined.</w:t>
      </w:r>
    </w:p>
    <w:p w14:paraId="3147C8F5" w14:textId="77777777" w:rsidR="00F63AF3" w:rsidRDefault="00F63AF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000"/>
        <w:gridCol w:w="4526"/>
      </w:tblGrid>
      <w:tr w:rsidR="00F63AF3" w14:paraId="364408FB" w14:textId="77777777">
        <w:tblPrEx>
          <w:tblCellMar>
            <w:top w:w="0" w:type="dxa"/>
            <w:bottom w:w="0" w:type="dxa"/>
          </w:tblCellMar>
        </w:tblPrEx>
        <w:trPr>
          <w:tblHeader/>
        </w:trPr>
        <w:tc>
          <w:tcPr>
            <w:tcW w:w="25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29F53E50" w14:textId="77777777" w:rsidR="00F63AF3" w:rsidRDefault="00500100">
            <w:pPr>
              <w:jc w:val="center"/>
            </w:pPr>
            <w:r>
              <w:rPr>
                <w:b/>
                <w:bCs/>
                <w:color w:val="FFFFFF"/>
                <w:sz w:val="19"/>
                <w:szCs w:val="19"/>
              </w:rPr>
              <w:t>Construct</w:t>
            </w:r>
          </w:p>
        </w:tc>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0645EB3" w14:textId="77777777" w:rsidR="00F63AF3" w:rsidRDefault="00500100">
            <w:pPr>
              <w:jc w:val="center"/>
            </w:pPr>
            <w:r>
              <w:rPr>
                <w:b/>
                <w:bCs/>
                <w:color w:val="FFFFFF"/>
                <w:sz w:val="19"/>
                <w:szCs w:val="19"/>
              </w:rPr>
              <w:t>AVE</w:t>
            </w:r>
          </w:p>
        </w:tc>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6591D87C" w14:textId="77777777" w:rsidR="00F63AF3" w:rsidRDefault="00500100">
            <w:pPr>
              <w:jc w:val="center"/>
            </w:pPr>
            <w:r>
              <w:rPr>
                <w:b/>
                <w:bCs/>
                <w:color w:val="FFFFFF"/>
                <w:sz w:val="19"/>
                <w:szCs w:val="19"/>
              </w:rPr>
              <w:t>√AVE</w:t>
            </w:r>
          </w:p>
        </w:tc>
        <w:tc>
          <w:tcPr>
            <w:tcW w:w="45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272AF69F" w14:textId="77777777" w:rsidR="00F63AF3" w:rsidRDefault="00500100">
            <w:pPr>
              <w:jc w:val="center"/>
            </w:pPr>
            <w:r>
              <w:rPr>
                <w:b/>
                <w:bCs/>
                <w:color w:val="FFFFFF"/>
                <w:sz w:val="19"/>
                <w:szCs w:val="19"/>
              </w:rPr>
              <w:t>Status</w:t>
            </w:r>
          </w:p>
        </w:tc>
      </w:tr>
      <w:tr w:rsidR="00F63AF3" w14:paraId="061D78A2"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B194924" w14:textId="77777777" w:rsidR="00F63AF3" w:rsidRDefault="00500100">
            <w:r>
              <w:rPr>
                <w:color w:val="1A2335"/>
                <w:sz w:val="19"/>
                <w:szCs w:val="19"/>
              </w:rPr>
              <w:t>ξ₁ AI Readiness</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417E09D" w14:textId="77777777" w:rsidR="00F63AF3" w:rsidRDefault="00500100">
            <w:pPr>
              <w:jc w:val="center"/>
            </w:pPr>
            <w:r>
              <w:rPr>
                <w:color w:val="1A2335"/>
                <w:sz w:val="19"/>
                <w:szCs w:val="19"/>
              </w:rPr>
              <w:t>0.763</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310CEA9" w14:textId="77777777" w:rsidR="00F63AF3" w:rsidRDefault="00500100">
            <w:pPr>
              <w:jc w:val="center"/>
            </w:pPr>
            <w:r>
              <w:rPr>
                <w:color w:val="1A2335"/>
                <w:sz w:val="19"/>
                <w:szCs w:val="19"/>
              </w:rPr>
              <w:t>0.874</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16D50B41" w14:textId="77777777" w:rsidR="00F63AF3" w:rsidRDefault="00500100">
            <w:pPr>
              <w:jc w:val="center"/>
            </w:pPr>
            <w:r>
              <w:rPr>
                <w:color w:val="1A5C39"/>
                <w:sz w:val="19"/>
                <w:szCs w:val="19"/>
              </w:rPr>
              <w:t>✓</w:t>
            </w:r>
            <w:r>
              <w:rPr>
                <w:color w:val="1A5C39"/>
                <w:sz w:val="19"/>
                <w:szCs w:val="19"/>
              </w:rPr>
              <w:t xml:space="preserve"> Established</w:t>
            </w:r>
          </w:p>
        </w:tc>
      </w:tr>
      <w:tr w:rsidR="00F63AF3" w14:paraId="691969A1"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3A9A549" w14:textId="77777777" w:rsidR="00F63AF3" w:rsidRDefault="00500100">
            <w:r>
              <w:rPr>
                <w:color w:val="1A2335"/>
                <w:sz w:val="19"/>
                <w:szCs w:val="19"/>
              </w:rPr>
              <w:t>η₁ SC Performance</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E36B179" w14:textId="77777777" w:rsidR="00F63AF3" w:rsidRDefault="00500100">
            <w:pPr>
              <w:jc w:val="center"/>
            </w:pPr>
            <w:r>
              <w:rPr>
                <w:color w:val="1A2335"/>
                <w:sz w:val="19"/>
                <w:szCs w:val="19"/>
              </w:rPr>
              <w:t>0.815</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3431B2A" w14:textId="77777777" w:rsidR="00F63AF3" w:rsidRDefault="00500100">
            <w:pPr>
              <w:jc w:val="center"/>
            </w:pPr>
            <w:r>
              <w:rPr>
                <w:color w:val="1A2335"/>
                <w:sz w:val="19"/>
                <w:szCs w:val="19"/>
              </w:rPr>
              <w:t>0.903</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2075FA8B" w14:textId="77777777" w:rsidR="00F63AF3" w:rsidRDefault="00500100">
            <w:pPr>
              <w:jc w:val="center"/>
            </w:pPr>
            <w:r>
              <w:rPr>
                <w:color w:val="1A5C39"/>
                <w:sz w:val="19"/>
                <w:szCs w:val="19"/>
              </w:rPr>
              <w:t>✓</w:t>
            </w:r>
            <w:r>
              <w:rPr>
                <w:color w:val="1A5C39"/>
                <w:sz w:val="19"/>
                <w:szCs w:val="19"/>
              </w:rPr>
              <w:t xml:space="preserve"> Established</w:t>
            </w:r>
          </w:p>
        </w:tc>
      </w:tr>
      <w:tr w:rsidR="00F63AF3" w14:paraId="43A1BBF8"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EF63C1A" w14:textId="77777777" w:rsidR="00F63AF3" w:rsidRDefault="00500100">
            <w:r>
              <w:rPr>
                <w:color w:val="1A2335"/>
                <w:sz w:val="19"/>
                <w:szCs w:val="19"/>
              </w:rPr>
              <w:t>η₂ Economic Performance</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76C7987" w14:textId="77777777" w:rsidR="00F63AF3" w:rsidRDefault="00500100">
            <w:pPr>
              <w:jc w:val="center"/>
            </w:pPr>
            <w:r>
              <w:rPr>
                <w:color w:val="1A2335"/>
                <w:sz w:val="19"/>
                <w:szCs w:val="19"/>
              </w:rPr>
              <w:t>0.501</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77EFFD8" w14:textId="77777777" w:rsidR="00F63AF3" w:rsidRDefault="00500100">
            <w:pPr>
              <w:jc w:val="center"/>
            </w:pPr>
            <w:r>
              <w:rPr>
                <w:color w:val="1A2335"/>
                <w:sz w:val="19"/>
                <w:szCs w:val="19"/>
              </w:rPr>
              <w:t>0.708</w:t>
            </w:r>
          </w:p>
        </w:tc>
        <w:tc>
          <w:tcPr>
            <w:tcW w:w="4526" w:type="dxa"/>
            <w:tcBorders>
              <w:top w:val="single" w:sz="4" w:space="0" w:color="C5D0DC"/>
              <w:left w:val="single" w:sz="4" w:space="0" w:color="C5D0DC"/>
              <w:bottom w:val="single" w:sz="4" w:space="0" w:color="C5D0DC"/>
              <w:right w:val="single" w:sz="4" w:space="0" w:color="C5D0DC"/>
            </w:tcBorders>
            <w:shd w:val="clear" w:color="auto" w:fill="FEF9EC"/>
            <w:tcMar>
              <w:top w:w="80" w:type="dxa"/>
              <w:left w:w="120" w:type="dxa"/>
              <w:bottom w:w="80" w:type="dxa"/>
              <w:right w:w="120" w:type="dxa"/>
            </w:tcMar>
            <w:vAlign w:val="center"/>
          </w:tcPr>
          <w:p w14:paraId="1E29C61B" w14:textId="77777777" w:rsidR="00F63AF3" w:rsidRDefault="00500100">
            <w:pPr>
              <w:jc w:val="center"/>
            </w:pPr>
            <w:r>
              <w:rPr>
                <w:color w:val="B8860B"/>
                <w:sz w:val="19"/>
                <w:szCs w:val="19"/>
              </w:rPr>
              <w:t>⚠</w:t>
            </w:r>
            <w:r>
              <w:rPr>
                <w:color w:val="B8860B"/>
                <w:sz w:val="19"/>
                <w:szCs w:val="19"/>
              </w:rPr>
              <w:t xml:space="preserve"> Borderline — passes at 0.50 threshold</w:t>
            </w:r>
          </w:p>
        </w:tc>
      </w:tr>
      <w:tr w:rsidR="00F63AF3" w14:paraId="7434373F" w14:textId="77777777">
        <w:tblPrEx>
          <w:tblCellMar>
            <w:top w:w="0" w:type="dxa"/>
            <w:bottom w:w="0" w:type="dxa"/>
          </w:tblCellMar>
        </w:tblPrEx>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EB501D8" w14:textId="77777777" w:rsidR="00F63AF3" w:rsidRDefault="00500100">
            <w:r>
              <w:rPr>
                <w:color w:val="1A2335"/>
                <w:sz w:val="19"/>
                <w:szCs w:val="19"/>
              </w:rPr>
              <w:t>ξ₂ Institutional Quality</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11492C2" w14:textId="77777777" w:rsidR="00F63AF3" w:rsidRDefault="00500100">
            <w:pPr>
              <w:jc w:val="center"/>
            </w:pPr>
            <w:r>
              <w:rPr>
                <w:color w:val="1A2335"/>
                <w:sz w:val="19"/>
                <w:szCs w:val="19"/>
              </w:rPr>
              <w:t>0.879</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D4F0DC5" w14:textId="77777777" w:rsidR="00F63AF3" w:rsidRDefault="00500100">
            <w:pPr>
              <w:jc w:val="center"/>
            </w:pPr>
            <w:r>
              <w:rPr>
                <w:color w:val="1A2335"/>
                <w:sz w:val="19"/>
                <w:szCs w:val="19"/>
              </w:rPr>
              <w:t>0.938</w:t>
            </w:r>
          </w:p>
        </w:tc>
        <w:tc>
          <w:tcPr>
            <w:tcW w:w="45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1CD00A9F" w14:textId="77777777" w:rsidR="00F63AF3" w:rsidRDefault="00500100">
            <w:pPr>
              <w:jc w:val="center"/>
            </w:pPr>
            <w:r>
              <w:rPr>
                <w:color w:val="1A5C39"/>
                <w:sz w:val="19"/>
                <w:szCs w:val="19"/>
              </w:rPr>
              <w:t>✓</w:t>
            </w:r>
            <w:r>
              <w:rPr>
                <w:color w:val="1A5C39"/>
                <w:sz w:val="19"/>
                <w:szCs w:val="19"/>
              </w:rPr>
              <w:t xml:space="preserve"> Established (excellent)</w:t>
            </w:r>
          </w:p>
        </w:tc>
      </w:tr>
    </w:tbl>
    <w:p w14:paraId="123862A7" w14:textId="77777777" w:rsidR="00F63AF3" w:rsidRDefault="00F63AF3">
      <w:pPr>
        <w:spacing w:before="60" w:after="60"/>
      </w:pPr>
    </w:p>
    <w:p w14:paraId="182D5066" w14:textId="77777777" w:rsidR="00F63AF3" w:rsidRDefault="00500100">
      <w:pPr>
        <w:pBdr>
          <w:bottom w:val="single" w:sz="4" w:space="0" w:color="4A235A"/>
        </w:pBdr>
        <w:spacing w:before="220" w:after="100"/>
      </w:pPr>
      <w:r>
        <w:rPr>
          <w:b/>
          <w:bCs/>
          <w:color w:val="4A235A"/>
          <w:sz w:val="24"/>
          <w:szCs w:val="24"/>
        </w:rPr>
        <w:t>8.4  Discriminant Validity — Fornell-Larcker Criterion</w:t>
      </w:r>
    </w:p>
    <w:p w14:paraId="1D722795" w14:textId="77777777" w:rsidR="00F63AF3" w:rsidRDefault="00500100">
      <w:pPr>
        <w:spacing w:before="120" w:after="80" w:line="340" w:lineRule="auto"/>
      </w:pPr>
      <w:r>
        <w:rPr>
          <w:color w:val="1A2335"/>
        </w:rPr>
        <w:t>Discriminant validity confirms that each construct is distinct from the others — they are not measuring the same thing. The Fornell-Larcker criterion: the square root of AVE for each construct (√AVE) must exceed all pairwise correlations involving that construct.</w:t>
      </w:r>
    </w:p>
    <w:p w14:paraId="3F654064"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CHECKING THE CRITERION:  </w:t>
      </w:r>
      <w:r>
        <w:rPr>
          <w:color w:val="2D3748"/>
          <w:sz w:val="21"/>
          <w:szCs w:val="21"/>
        </w:rPr>
        <w:t>√AVE for ξ₂ = 0.938. Highest correlation involving ξ₂ is with η₁ (r = 0.844). Since 0.938 &gt; 0.844 ✓. Similarly for all other constructs. Discriminant validity is ESTABLISHED for all four — each construct measures something distinct from the others.</w:t>
      </w:r>
    </w:p>
    <w:p w14:paraId="2A641E30" w14:textId="77777777" w:rsidR="00F63AF3" w:rsidRDefault="00F63AF3">
      <w:pPr>
        <w:spacing w:before="100" w:after="60"/>
      </w:pPr>
    </w:p>
    <w:p w14:paraId="5DE6D374" w14:textId="77777777" w:rsidR="00F63AF3" w:rsidRDefault="00500100">
      <w:r>
        <w:br w:type="page"/>
      </w:r>
    </w:p>
    <w:p w14:paraId="7B4AF5EF" w14:textId="77777777" w:rsidR="00F63AF3" w:rsidRDefault="00500100">
      <w:pPr>
        <w:shd w:val="clear" w:color="auto" w:fill="0D1B3E"/>
        <w:spacing w:before="320" w:after="160"/>
        <w:ind w:left="160" w:right="160"/>
      </w:pPr>
      <w:r>
        <w:rPr>
          <w:b/>
          <w:bCs/>
          <w:color w:val="FFFFFF"/>
          <w:sz w:val="26"/>
          <w:szCs w:val="26"/>
        </w:rPr>
        <w:lastRenderedPageBreak/>
        <w:t>PART 9  STRUCTURAL PATH RESULTS — THE MAIN FINDINGS</w:t>
      </w:r>
    </w:p>
    <w:p w14:paraId="05C9C824" w14:textId="77777777" w:rsidR="00F63AF3" w:rsidRDefault="00F63AF3">
      <w:pPr>
        <w:spacing w:before="80" w:after="60"/>
      </w:pPr>
    </w:p>
    <w:p w14:paraId="290FB95D" w14:textId="77777777" w:rsidR="00F63AF3" w:rsidRDefault="00500100">
      <w:pPr>
        <w:pBdr>
          <w:bottom w:val="single" w:sz="4" w:space="0" w:color="0D1B3E"/>
        </w:pBdr>
        <w:spacing w:before="220" w:after="100"/>
      </w:pPr>
      <w:r>
        <w:rPr>
          <w:b/>
          <w:bCs/>
          <w:color w:val="0D1B3E"/>
          <w:sz w:val="24"/>
          <w:szCs w:val="24"/>
        </w:rPr>
        <w:t>9.1  Reading a Regression Table</w:t>
      </w:r>
    </w:p>
    <w:p w14:paraId="5B46E5AC" w14:textId="77777777" w:rsidR="00F63AF3" w:rsidRDefault="00500100">
      <w:pPr>
        <w:pBdr>
          <w:left w:val="single" w:sz="18" w:space="0" w:color="0D1B3E"/>
        </w:pBdr>
        <w:shd w:val="clear" w:color="auto" w:fill="EBF4FA"/>
        <w:spacing w:before="120" w:after="120" w:line="320" w:lineRule="auto"/>
        <w:ind w:left="360" w:right="200"/>
      </w:pPr>
      <w:r>
        <w:rPr>
          <w:b/>
          <w:bCs/>
          <w:color w:val="0D1B3E"/>
          <w:sz w:val="21"/>
          <w:szCs w:val="21"/>
        </w:rPr>
        <w:t xml:space="preserve">IN PLAIN ENGLISH:  </w:t>
      </w:r>
      <w:r>
        <w:rPr>
          <w:color w:val="2D3748"/>
          <w:sz w:val="21"/>
          <w:szCs w:val="21"/>
        </w:rPr>
        <w:t>A regression table shows you: (B) how much the outcome changes for each 1-unit increase in a predictor; (SE) how uncertain that estimate is; (β) the standardised version allowing comparison across predictors; (t) a test statistic — the larger its absolute value, the more significant; (p) the probability that this result happened by chance. If p &lt; .05, we say the result is statistically significant.</w:t>
      </w:r>
    </w:p>
    <w:p w14:paraId="49E5DCDD" w14:textId="77777777" w:rsidR="00F63AF3" w:rsidRDefault="00F63AF3">
      <w:pPr>
        <w:spacing w:before="60" w:after="60"/>
      </w:pPr>
    </w:p>
    <w:p w14:paraId="1256DAE9" w14:textId="77777777" w:rsidR="00F63AF3" w:rsidRDefault="00500100">
      <w:pPr>
        <w:spacing w:before="120" w:after="80" w:line="340" w:lineRule="auto"/>
      </w:pPr>
      <w:r>
        <w:rPr>
          <w:b/>
          <w:bCs/>
          <w:color w:val="1A2335"/>
        </w:rPr>
        <w:t>Key threshold: p &lt; .05 means there is less than a 5% probability the observed relationship is due to random chance. In this study, p &lt; .001 (used for most significant paths) means less than 0.1% probability — an extremely strong result.</w:t>
      </w:r>
    </w:p>
    <w:p w14:paraId="2918E135" w14:textId="77777777" w:rsidR="00F63AF3" w:rsidRDefault="00500100">
      <w:pPr>
        <w:spacing w:before="120" w:after="80" w:line="340" w:lineRule="auto"/>
      </w:pPr>
      <w:r>
        <w:rPr>
          <w:color w:val="1A2335"/>
        </w:rPr>
        <w:t>β (standardised beta) allows comparison: which predictor matters more? A β of 0.462 is larger than 0.408, so AI readiness (H1a) has a slightly larger standardised effect than institutional quality (H1b) on supply chain performance.</w:t>
      </w:r>
    </w:p>
    <w:p w14:paraId="3A846973" w14:textId="77777777" w:rsidR="00F63AF3" w:rsidRDefault="00F63AF3">
      <w:pPr>
        <w:spacing w:before="60" w:after="60"/>
      </w:pPr>
    </w:p>
    <w:p w14:paraId="04CE274A" w14:textId="77777777" w:rsidR="00F63AF3" w:rsidRDefault="00500100">
      <w:pPr>
        <w:pBdr>
          <w:bottom w:val="single" w:sz="4" w:space="0" w:color="0D1B3E"/>
        </w:pBdr>
        <w:spacing w:before="220" w:after="100"/>
      </w:pPr>
      <w:r>
        <w:rPr>
          <w:b/>
          <w:bCs/>
          <w:color w:val="0D1B3E"/>
          <w:sz w:val="24"/>
          <w:szCs w:val="24"/>
        </w:rPr>
        <w:t>9.2  Full Results Table</w:t>
      </w:r>
    </w:p>
    <w:p w14:paraId="73C5F26F"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500"/>
        <w:gridCol w:w="800"/>
        <w:gridCol w:w="700"/>
        <w:gridCol w:w="800"/>
        <w:gridCol w:w="800"/>
        <w:gridCol w:w="800"/>
        <w:gridCol w:w="1927"/>
      </w:tblGrid>
      <w:tr w:rsidR="00F63AF3" w14:paraId="30C9CECB" w14:textId="77777777">
        <w:tblPrEx>
          <w:tblCellMar>
            <w:top w:w="0" w:type="dxa"/>
            <w:bottom w:w="0" w:type="dxa"/>
          </w:tblCellMar>
        </w:tblPrEx>
        <w:trPr>
          <w:tblHeader/>
        </w:trPr>
        <w:tc>
          <w:tcPr>
            <w:tcW w:w="7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BF28124" w14:textId="77777777" w:rsidR="00F63AF3" w:rsidRDefault="00500100">
            <w:pPr>
              <w:jc w:val="center"/>
            </w:pPr>
            <w:r>
              <w:rPr>
                <w:b/>
                <w:bCs/>
                <w:color w:val="FFFFFF"/>
                <w:sz w:val="19"/>
                <w:szCs w:val="19"/>
              </w:rPr>
              <w:t>Hyp.</w:t>
            </w:r>
          </w:p>
        </w:tc>
        <w:tc>
          <w:tcPr>
            <w:tcW w:w="25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7150FC72" w14:textId="77777777" w:rsidR="00F63AF3" w:rsidRDefault="00500100">
            <w:pPr>
              <w:jc w:val="center"/>
            </w:pPr>
            <w:r>
              <w:rPr>
                <w:b/>
                <w:bCs/>
                <w:color w:val="FFFFFF"/>
                <w:sz w:val="19"/>
                <w:szCs w:val="19"/>
              </w:rPr>
              <w:t>Path</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AF18E5C" w14:textId="77777777" w:rsidR="00F63AF3" w:rsidRDefault="00500100">
            <w:pPr>
              <w:jc w:val="center"/>
            </w:pPr>
            <w:r>
              <w:rPr>
                <w:b/>
                <w:bCs/>
                <w:color w:val="FFFFFF"/>
                <w:sz w:val="19"/>
                <w:szCs w:val="19"/>
              </w:rPr>
              <w:t>B</w:t>
            </w:r>
          </w:p>
        </w:tc>
        <w:tc>
          <w:tcPr>
            <w:tcW w:w="7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2FEF3D75" w14:textId="77777777" w:rsidR="00F63AF3" w:rsidRDefault="00500100">
            <w:pPr>
              <w:jc w:val="center"/>
            </w:pPr>
            <w:r>
              <w:rPr>
                <w:b/>
                <w:bCs/>
                <w:color w:val="FFFFFF"/>
                <w:sz w:val="19"/>
                <w:szCs w:val="19"/>
              </w:rPr>
              <w:t>SE</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81589C6" w14:textId="77777777" w:rsidR="00F63AF3" w:rsidRDefault="00500100">
            <w:pPr>
              <w:jc w:val="center"/>
            </w:pPr>
            <w:r>
              <w:rPr>
                <w:b/>
                <w:bCs/>
                <w:color w:val="FFFFFF"/>
                <w:sz w:val="19"/>
                <w:szCs w:val="19"/>
              </w:rPr>
              <w:t>β</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D53235B" w14:textId="77777777" w:rsidR="00F63AF3" w:rsidRDefault="00500100">
            <w:pPr>
              <w:jc w:val="center"/>
            </w:pPr>
            <w:r>
              <w:rPr>
                <w:b/>
                <w:bCs/>
                <w:color w:val="FFFFFF"/>
                <w:sz w:val="19"/>
                <w:szCs w:val="19"/>
              </w:rPr>
              <w:t>t</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9803D44" w14:textId="77777777" w:rsidR="00F63AF3" w:rsidRDefault="00500100">
            <w:pPr>
              <w:jc w:val="center"/>
            </w:pPr>
            <w:r>
              <w:rPr>
                <w:b/>
                <w:bCs/>
                <w:color w:val="FFFFFF"/>
                <w:sz w:val="19"/>
                <w:szCs w:val="19"/>
              </w:rPr>
              <w:t>p</w:t>
            </w:r>
          </w:p>
        </w:tc>
        <w:tc>
          <w:tcPr>
            <w:tcW w:w="1927"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7BB2011" w14:textId="77777777" w:rsidR="00F63AF3" w:rsidRDefault="00500100">
            <w:pPr>
              <w:jc w:val="center"/>
            </w:pPr>
            <w:r>
              <w:rPr>
                <w:b/>
                <w:bCs/>
                <w:color w:val="FFFFFF"/>
                <w:sz w:val="19"/>
                <w:szCs w:val="19"/>
              </w:rPr>
              <w:t>Decision</w:t>
            </w:r>
          </w:p>
        </w:tc>
      </w:tr>
      <w:tr w:rsidR="00F63AF3" w14:paraId="61B9FA40" w14:textId="77777777">
        <w:tblPrEx>
          <w:tblCellMar>
            <w:top w:w="0" w:type="dxa"/>
            <w:bottom w:w="0" w:type="dxa"/>
          </w:tblCellMar>
        </w:tblPrEx>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90F1870" w14:textId="77777777" w:rsidR="00F63AF3" w:rsidRDefault="00500100">
            <w:r>
              <w:rPr>
                <w:b/>
                <w:bCs/>
                <w:color w:val="1A2335"/>
                <w:sz w:val="19"/>
                <w:szCs w:val="19"/>
              </w:rPr>
              <w:t>H1a</w:t>
            </w:r>
          </w:p>
        </w:tc>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3296098" w14:textId="77777777" w:rsidR="00F63AF3" w:rsidRDefault="00500100">
            <w:pPr>
              <w:jc w:val="center"/>
            </w:pPr>
            <w:r>
              <w:rPr>
                <w:color w:val="1A2335"/>
                <w:sz w:val="19"/>
                <w:szCs w:val="19"/>
              </w:rPr>
              <w:t>ξ₁ → η₁  AI → SC</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56B943D" w14:textId="77777777" w:rsidR="00F63AF3" w:rsidRDefault="00500100">
            <w:pPr>
              <w:jc w:val="center"/>
            </w:pPr>
            <w:r>
              <w:rPr>
                <w:color w:val="1A2335"/>
                <w:sz w:val="19"/>
                <w:szCs w:val="19"/>
              </w:rPr>
              <w:t>0.437</w:t>
            </w:r>
          </w:p>
        </w:tc>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B22CD03" w14:textId="77777777" w:rsidR="00F63AF3" w:rsidRDefault="00500100">
            <w:pPr>
              <w:jc w:val="center"/>
            </w:pPr>
            <w:r>
              <w:rPr>
                <w:color w:val="1A2335"/>
                <w:sz w:val="19"/>
                <w:szCs w:val="19"/>
              </w:rPr>
              <w:t>0.078</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11FD8AA" w14:textId="77777777" w:rsidR="00F63AF3" w:rsidRDefault="00500100">
            <w:pPr>
              <w:jc w:val="center"/>
            </w:pPr>
            <w:r>
              <w:rPr>
                <w:b/>
                <w:bCs/>
                <w:color w:val="1A5C39"/>
                <w:sz w:val="19"/>
                <w:szCs w:val="19"/>
              </w:rPr>
              <w:t>0.462</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DC7ACCE" w14:textId="77777777" w:rsidR="00F63AF3" w:rsidRDefault="00500100">
            <w:pPr>
              <w:jc w:val="center"/>
            </w:pPr>
            <w:r>
              <w:rPr>
                <w:color w:val="1A2335"/>
                <w:sz w:val="19"/>
                <w:szCs w:val="19"/>
              </w:rPr>
              <w:t>5.60</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03D1368" w14:textId="77777777" w:rsidR="00F63AF3" w:rsidRDefault="00500100">
            <w:pPr>
              <w:jc w:val="center"/>
            </w:pPr>
            <w:r>
              <w:rPr>
                <w:color w:val="1A2335"/>
                <w:sz w:val="19"/>
                <w:szCs w:val="19"/>
              </w:rPr>
              <w:t>&lt; .001</w:t>
            </w:r>
          </w:p>
        </w:tc>
        <w:tc>
          <w:tcPr>
            <w:tcW w:w="1927"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021E5BF2" w14:textId="77777777" w:rsidR="00F63AF3" w:rsidRDefault="00500100">
            <w:pPr>
              <w:jc w:val="center"/>
            </w:pPr>
            <w:r>
              <w:rPr>
                <w:color w:val="1A5C39"/>
                <w:sz w:val="19"/>
                <w:szCs w:val="19"/>
              </w:rPr>
              <w:t>✓</w:t>
            </w:r>
            <w:r>
              <w:rPr>
                <w:color w:val="1A5C39"/>
                <w:sz w:val="19"/>
                <w:szCs w:val="19"/>
              </w:rPr>
              <w:t xml:space="preserve"> Supported</w:t>
            </w:r>
          </w:p>
        </w:tc>
      </w:tr>
      <w:tr w:rsidR="00F63AF3" w14:paraId="01C2ADC1" w14:textId="77777777">
        <w:tblPrEx>
          <w:tblCellMar>
            <w:top w:w="0" w:type="dxa"/>
            <w:bottom w:w="0" w:type="dxa"/>
          </w:tblCellMar>
        </w:tblPrEx>
        <w:tc>
          <w:tcPr>
            <w:tcW w:w="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6C250F4" w14:textId="77777777" w:rsidR="00F63AF3" w:rsidRDefault="00500100">
            <w:r>
              <w:rPr>
                <w:b/>
                <w:bCs/>
                <w:color w:val="1A2335"/>
                <w:sz w:val="19"/>
                <w:szCs w:val="19"/>
              </w:rPr>
              <w:t>H1b</w:t>
            </w:r>
          </w:p>
        </w:tc>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7A87A1B" w14:textId="77777777" w:rsidR="00F63AF3" w:rsidRDefault="00500100">
            <w:pPr>
              <w:jc w:val="center"/>
            </w:pPr>
            <w:r>
              <w:rPr>
                <w:color w:val="1A2335"/>
                <w:sz w:val="19"/>
                <w:szCs w:val="19"/>
              </w:rPr>
              <w:t>ξ₂ → η₁  Inst → SC</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5613300" w14:textId="77777777" w:rsidR="00F63AF3" w:rsidRDefault="00500100">
            <w:pPr>
              <w:jc w:val="center"/>
            </w:pPr>
            <w:r>
              <w:rPr>
                <w:color w:val="1A2335"/>
                <w:sz w:val="19"/>
                <w:szCs w:val="19"/>
              </w:rPr>
              <w:t>0.248</w:t>
            </w:r>
          </w:p>
        </w:tc>
        <w:tc>
          <w:tcPr>
            <w:tcW w:w="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CEE74FF" w14:textId="77777777" w:rsidR="00F63AF3" w:rsidRDefault="00500100">
            <w:pPr>
              <w:jc w:val="center"/>
            </w:pPr>
            <w:r>
              <w:rPr>
                <w:color w:val="1A2335"/>
                <w:sz w:val="19"/>
                <w:szCs w:val="19"/>
              </w:rPr>
              <w:t>0.051</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30B26FD" w14:textId="77777777" w:rsidR="00F63AF3" w:rsidRDefault="00500100">
            <w:pPr>
              <w:jc w:val="center"/>
            </w:pPr>
            <w:r>
              <w:rPr>
                <w:b/>
                <w:bCs/>
                <w:color w:val="1A5C39"/>
                <w:sz w:val="19"/>
                <w:szCs w:val="19"/>
              </w:rPr>
              <w:t>0.408</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6DE39545" w14:textId="77777777" w:rsidR="00F63AF3" w:rsidRDefault="00500100">
            <w:pPr>
              <w:jc w:val="center"/>
            </w:pPr>
            <w:r>
              <w:rPr>
                <w:color w:val="1A2335"/>
                <w:sz w:val="19"/>
                <w:szCs w:val="19"/>
              </w:rPr>
              <w:t>4.90</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4EE25E58" w14:textId="77777777" w:rsidR="00F63AF3" w:rsidRDefault="00500100">
            <w:pPr>
              <w:jc w:val="center"/>
            </w:pPr>
            <w:r>
              <w:rPr>
                <w:color w:val="1A2335"/>
                <w:sz w:val="19"/>
                <w:szCs w:val="19"/>
              </w:rPr>
              <w:t>&lt; .001</w:t>
            </w:r>
          </w:p>
        </w:tc>
        <w:tc>
          <w:tcPr>
            <w:tcW w:w="1927"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5D4A2D8F" w14:textId="77777777" w:rsidR="00F63AF3" w:rsidRDefault="00500100">
            <w:pPr>
              <w:jc w:val="center"/>
            </w:pPr>
            <w:r>
              <w:rPr>
                <w:color w:val="1A5C39"/>
                <w:sz w:val="19"/>
                <w:szCs w:val="19"/>
              </w:rPr>
              <w:t>✓</w:t>
            </w:r>
            <w:r>
              <w:rPr>
                <w:color w:val="1A5C39"/>
                <w:sz w:val="19"/>
                <w:szCs w:val="19"/>
              </w:rPr>
              <w:t xml:space="preserve"> Supported</w:t>
            </w:r>
          </w:p>
        </w:tc>
      </w:tr>
      <w:tr w:rsidR="00F63AF3" w14:paraId="6938650C" w14:textId="77777777">
        <w:tblPrEx>
          <w:tblCellMar>
            <w:top w:w="0" w:type="dxa"/>
            <w:bottom w:w="0" w:type="dxa"/>
          </w:tblCellMar>
        </w:tblPrEx>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49080AF" w14:textId="77777777" w:rsidR="00F63AF3" w:rsidRDefault="00500100">
            <w:r>
              <w:rPr>
                <w:b/>
                <w:bCs/>
                <w:color w:val="1A2335"/>
                <w:sz w:val="19"/>
                <w:szCs w:val="19"/>
              </w:rPr>
              <w:t>H1c</w:t>
            </w:r>
          </w:p>
        </w:tc>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56A57C90" w14:textId="77777777" w:rsidR="00F63AF3" w:rsidRDefault="00500100">
            <w:pPr>
              <w:jc w:val="center"/>
            </w:pPr>
            <w:r>
              <w:rPr>
                <w:color w:val="1A2335"/>
                <w:sz w:val="19"/>
                <w:szCs w:val="19"/>
              </w:rPr>
              <w:t>ξ₁×ξ₂ → η₁  Interaction</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5A879A1" w14:textId="77777777" w:rsidR="00F63AF3" w:rsidRDefault="00500100">
            <w:pPr>
              <w:jc w:val="center"/>
            </w:pPr>
            <w:r>
              <w:rPr>
                <w:color w:val="1A2335"/>
                <w:sz w:val="19"/>
                <w:szCs w:val="19"/>
              </w:rPr>
              <w:t>−</w:t>
            </w:r>
            <w:r>
              <w:rPr>
                <w:color w:val="1A2335"/>
                <w:sz w:val="19"/>
                <w:szCs w:val="19"/>
              </w:rPr>
              <w:t>0.121</w:t>
            </w:r>
          </w:p>
        </w:tc>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B4EDCBF" w14:textId="77777777" w:rsidR="00F63AF3" w:rsidRDefault="00500100">
            <w:pPr>
              <w:jc w:val="center"/>
            </w:pPr>
            <w:r>
              <w:rPr>
                <w:color w:val="1A2335"/>
                <w:sz w:val="19"/>
                <w:szCs w:val="19"/>
              </w:rPr>
              <w:t>0.055</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B775B43" w14:textId="77777777" w:rsidR="00F63AF3" w:rsidRDefault="00500100">
            <w:pPr>
              <w:jc w:val="center"/>
            </w:pPr>
            <w:r>
              <w:rPr>
                <w:b/>
                <w:bCs/>
                <w:color w:val="4A235A"/>
                <w:sz w:val="19"/>
                <w:szCs w:val="19"/>
              </w:rPr>
              <w:t>−</w:t>
            </w:r>
            <w:r>
              <w:rPr>
                <w:b/>
                <w:bCs/>
                <w:color w:val="4A235A"/>
                <w:sz w:val="19"/>
                <w:szCs w:val="19"/>
              </w:rPr>
              <w:t>0.102</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CF4E4F2" w14:textId="77777777" w:rsidR="00F63AF3" w:rsidRDefault="00500100">
            <w:pPr>
              <w:jc w:val="center"/>
            </w:pPr>
            <w:r>
              <w:rPr>
                <w:color w:val="1A2335"/>
                <w:sz w:val="19"/>
                <w:szCs w:val="19"/>
              </w:rPr>
              <w:t>−</w:t>
            </w:r>
            <w:r>
              <w:rPr>
                <w:color w:val="1A2335"/>
                <w:sz w:val="19"/>
                <w:szCs w:val="19"/>
              </w:rPr>
              <w:t>2.20</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9FFD5F4" w14:textId="77777777" w:rsidR="00F63AF3" w:rsidRDefault="00500100">
            <w:pPr>
              <w:jc w:val="center"/>
            </w:pPr>
            <w:r>
              <w:rPr>
                <w:color w:val="1A2335"/>
                <w:sz w:val="19"/>
                <w:szCs w:val="19"/>
              </w:rPr>
              <w:t>.029</w:t>
            </w:r>
          </w:p>
        </w:tc>
        <w:tc>
          <w:tcPr>
            <w:tcW w:w="1927" w:type="dxa"/>
            <w:tcBorders>
              <w:top w:val="single" w:sz="4" w:space="0" w:color="C5D0DC"/>
              <w:left w:val="single" w:sz="4" w:space="0" w:color="C5D0DC"/>
              <w:bottom w:val="single" w:sz="4" w:space="0" w:color="C5D0DC"/>
              <w:right w:val="single" w:sz="4" w:space="0" w:color="C5D0DC"/>
            </w:tcBorders>
            <w:shd w:val="clear" w:color="auto" w:fill="F0EBF8"/>
            <w:tcMar>
              <w:top w:w="80" w:type="dxa"/>
              <w:left w:w="120" w:type="dxa"/>
              <w:bottom w:w="80" w:type="dxa"/>
              <w:right w:w="120" w:type="dxa"/>
            </w:tcMar>
            <w:vAlign w:val="center"/>
          </w:tcPr>
          <w:p w14:paraId="66BFDAC3" w14:textId="77777777" w:rsidR="00F63AF3" w:rsidRDefault="00500100">
            <w:pPr>
              <w:jc w:val="center"/>
            </w:pPr>
            <w:r>
              <w:rPr>
                <w:color w:val="4A235A"/>
                <w:sz w:val="19"/>
                <w:szCs w:val="19"/>
              </w:rPr>
              <w:t>✓</w:t>
            </w:r>
            <w:r>
              <w:rPr>
                <w:color w:val="4A235A"/>
                <w:sz w:val="19"/>
                <w:szCs w:val="19"/>
              </w:rPr>
              <w:t xml:space="preserve"> Supported (−)</w:t>
            </w:r>
          </w:p>
        </w:tc>
      </w:tr>
      <w:tr w:rsidR="00F63AF3" w14:paraId="2E423B04" w14:textId="77777777">
        <w:tblPrEx>
          <w:tblCellMar>
            <w:top w:w="0" w:type="dxa"/>
            <w:bottom w:w="0" w:type="dxa"/>
          </w:tblCellMar>
        </w:tblPrEx>
        <w:tc>
          <w:tcPr>
            <w:tcW w:w="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3896104" w14:textId="77777777" w:rsidR="00F63AF3" w:rsidRDefault="00500100">
            <w:r>
              <w:rPr>
                <w:b/>
                <w:bCs/>
                <w:color w:val="1A2335"/>
                <w:sz w:val="19"/>
                <w:szCs w:val="19"/>
              </w:rPr>
              <w:t>H2a</w:t>
            </w:r>
          </w:p>
        </w:tc>
        <w:tc>
          <w:tcPr>
            <w:tcW w:w="25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85BA042" w14:textId="77777777" w:rsidR="00F63AF3" w:rsidRDefault="00500100">
            <w:pPr>
              <w:jc w:val="center"/>
            </w:pPr>
            <w:r>
              <w:rPr>
                <w:color w:val="1A2335"/>
                <w:sz w:val="19"/>
                <w:szCs w:val="19"/>
              </w:rPr>
              <w:t>η₁ → η₂  SC → Econ</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E1FDA98" w14:textId="77777777" w:rsidR="00F63AF3" w:rsidRDefault="00500100">
            <w:pPr>
              <w:jc w:val="center"/>
            </w:pPr>
            <w:r>
              <w:rPr>
                <w:color w:val="1A2335"/>
                <w:sz w:val="19"/>
                <w:szCs w:val="19"/>
              </w:rPr>
              <w:t>−</w:t>
            </w:r>
            <w:r>
              <w:rPr>
                <w:color w:val="1A2335"/>
                <w:sz w:val="19"/>
                <w:szCs w:val="19"/>
              </w:rPr>
              <w:t>0.018</w:t>
            </w:r>
          </w:p>
        </w:tc>
        <w:tc>
          <w:tcPr>
            <w:tcW w:w="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711D229" w14:textId="77777777" w:rsidR="00F63AF3" w:rsidRDefault="00500100">
            <w:pPr>
              <w:jc w:val="center"/>
            </w:pPr>
            <w:r>
              <w:rPr>
                <w:color w:val="1A2335"/>
                <w:sz w:val="19"/>
                <w:szCs w:val="19"/>
              </w:rPr>
              <w:t>0.055</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1B839AD" w14:textId="77777777" w:rsidR="00F63AF3" w:rsidRDefault="00500100">
            <w:pPr>
              <w:jc w:val="center"/>
            </w:pPr>
            <w:r>
              <w:rPr>
                <w:b/>
                <w:bCs/>
                <w:color w:val="7B1010"/>
                <w:sz w:val="19"/>
                <w:szCs w:val="19"/>
              </w:rPr>
              <w:t>≈0.00</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3895FF7" w14:textId="77777777" w:rsidR="00F63AF3" w:rsidRDefault="00500100">
            <w:pPr>
              <w:jc w:val="center"/>
            </w:pPr>
            <w:r>
              <w:rPr>
                <w:color w:val="1A2335"/>
                <w:sz w:val="19"/>
                <w:szCs w:val="19"/>
              </w:rPr>
              <w:t>−</w:t>
            </w:r>
            <w:r>
              <w:rPr>
                <w:color w:val="1A2335"/>
                <w:sz w:val="19"/>
                <w:szCs w:val="19"/>
              </w:rPr>
              <w:t>0.33</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8335076" w14:textId="77777777" w:rsidR="00F63AF3" w:rsidRDefault="00500100">
            <w:pPr>
              <w:jc w:val="center"/>
            </w:pPr>
            <w:r>
              <w:rPr>
                <w:color w:val="1A2335"/>
                <w:sz w:val="19"/>
                <w:szCs w:val="19"/>
              </w:rPr>
              <w:t>.743</w:t>
            </w:r>
          </w:p>
        </w:tc>
        <w:tc>
          <w:tcPr>
            <w:tcW w:w="1927" w:type="dxa"/>
            <w:tcBorders>
              <w:top w:val="single" w:sz="4" w:space="0" w:color="C5D0DC"/>
              <w:left w:val="single" w:sz="4" w:space="0" w:color="C5D0DC"/>
              <w:bottom w:val="single" w:sz="4" w:space="0" w:color="C5D0DC"/>
              <w:right w:val="single" w:sz="4" w:space="0" w:color="C5D0DC"/>
            </w:tcBorders>
            <w:shd w:val="clear" w:color="auto" w:fill="FDECEA"/>
            <w:tcMar>
              <w:top w:w="80" w:type="dxa"/>
              <w:left w:w="120" w:type="dxa"/>
              <w:bottom w:w="80" w:type="dxa"/>
              <w:right w:w="120" w:type="dxa"/>
            </w:tcMar>
            <w:vAlign w:val="center"/>
          </w:tcPr>
          <w:p w14:paraId="23A28E85" w14:textId="77777777" w:rsidR="00F63AF3" w:rsidRDefault="00500100">
            <w:pPr>
              <w:jc w:val="center"/>
            </w:pPr>
            <w:r>
              <w:rPr>
                <w:color w:val="7B1010"/>
                <w:sz w:val="19"/>
                <w:szCs w:val="19"/>
              </w:rPr>
              <w:t>✗</w:t>
            </w:r>
            <w:r>
              <w:rPr>
                <w:color w:val="7B1010"/>
                <w:sz w:val="19"/>
                <w:szCs w:val="19"/>
              </w:rPr>
              <w:t xml:space="preserve"> Not Supported</w:t>
            </w:r>
          </w:p>
        </w:tc>
      </w:tr>
      <w:tr w:rsidR="00F63AF3" w14:paraId="0C78733E" w14:textId="77777777">
        <w:tblPrEx>
          <w:tblCellMar>
            <w:top w:w="0" w:type="dxa"/>
            <w:bottom w:w="0" w:type="dxa"/>
          </w:tblCellMar>
        </w:tblPrEx>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DDED2DB" w14:textId="77777777" w:rsidR="00F63AF3" w:rsidRDefault="00500100">
            <w:r>
              <w:rPr>
                <w:color w:val="1A2335"/>
                <w:sz w:val="19"/>
                <w:szCs w:val="19"/>
              </w:rPr>
              <w:t>—</w:t>
            </w:r>
          </w:p>
        </w:tc>
        <w:tc>
          <w:tcPr>
            <w:tcW w:w="25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84C0390" w14:textId="77777777" w:rsidR="00F63AF3" w:rsidRDefault="00500100">
            <w:pPr>
              <w:jc w:val="center"/>
            </w:pPr>
            <w:r>
              <w:rPr>
                <w:color w:val="1A2335"/>
                <w:sz w:val="19"/>
                <w:szCs w:val="19"/>
              </w:rPr>
              <w:t>ξ₁ → η₂  AI → Econ (direct)</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731634A" w14:textId="77777777" w:rsidR="00F63AF3" w:rsidRDefault="00500100">
            <w:pPr>
              <w:jc w:val="center"/>
            </w:pPr>
            <w:r>
              <w:rPr>
                <w:color w:val="1A2335"/>
                <w:sz w:val="19"/>
                <w:szCs w:val="19"/>
              </w:rPr>
              <w:t>0.289</w:t>
            </w:r>
          </w:p>
        </w:tc>
        <w:tc>
          <w:tcPr>
            <w:tcW w:w="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CBAB54C" w14:textId="77777777" w:rsidR="00F63AF3" w:rsidRDefault="00500100">
            <w:pPr>
              <w:jc w:val="center"/>
            </w:pPr>
            <w:r>
              <w:rPr>
                <w:color w:val="1A2335"/>
                <w:sz w:val="19"/>
                <w:szCs w:val="19"/>
              </w:rPr>
              <w:t>0.088</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1C9ECEA" w14:textId="77777777" w:rsidR="00F63AF3" w:rsidRDefault="00500100">
            <w:pPr>
              <w:jc w:val="center"/>
            </w:pPr>
            <w:r>
              <w:rPr>
                <w:b/>
                <w:bCs/>
                <w:color w:val="0E6B7A"/>
                <w:sz w:val="19"/>
                <w:szCs w:val="19"/>
              </w:rPr>
              <w:t>0.340</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A92B1B6" w14:textId="77777777" w:rsidR="00F63AF3" w:rsidRDefault="00500100">
            <w:pPr>
              <w:jc w:val="center"/>
            </w:pPr>
            <w:r>
              <w:rPr>
                <w:color w:val="1A2335"/>
                <w:sz w:val="19"/>
                <w:szCs w:val="19"/>
              </w:rPr>
              <w:t>3.30</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8B871C1" w14:textId="77777777" w:rsidR="00F63AF3" w:rsidRDefault="00500100">
            <w:pPr>
              <w:jc w:val="center"/>
            </w:pPr>
            <w:r>
              <w:rPr>
                <w:color w:val="1A2335"/>
                <w:sz w:val="19"/>
                <w:szCs w:val="19"/>
              </w:rPr>
              <w:t>.001</w:t>
            </w:r>
          </w:p>
        </w:tc>
        <w:tc>
          <w:tcPr>
            <w:tcW w:w="1927" w:type="dxa"/>
            <w:tcBorders>
              <w:top w:val="single" w:sz="4" w:space="0" w:color="C5D0DC"/>
              <w:left w:val="single" w:sz="4" w:space="0" w:color="C5D0DC"/>
              <w:bottom w:val="single" w:sz="4" w:space="0" w:color="C5D0DC"/>
              <w:right w:val="single" w:sz="4" w:space="0" w:color="C5D0DC"/>
            </w:tcBorders>
            <w:shd w:val="clear" w:color="auto" w:fill="EBF4FA"/>
            <w:tcMar>
              <w:top w:w="80" w:type="dxa"/>
              <w:left w:w="120" w:type="dxa"/>
              <w:bottom w:w="80" w:type="dxa"/>
              <w:right w:w="120" w:type="dxa"/>
            </w:tcMar>
            <w:vAlign w:val="center"/>
          </w:tcPr>
          <w:p w14:paraId="76F0BC65" w14:textId="77777777" w:rsidR="00F63AF3" w:rsidRDefault="00500100">
            <w:pPr>
              <w:jc w:val="center"/>
            </w:pPr>
            <w:r>
              <w:rPr>
                <w:color w:val="0E6B7A"/>
                <w:sz w:val="19"/>
                <w:szCs w:val="19"/>
              </w:rPr>
              <w:t>→ Significant Direct</w:t>
            </w:r>
          </w:p>
        </w:tc>
      </w:tr>
    </w:tbl>
    <w:p w14:paraId="03E9D171" w14:textId="77777777" w:rsidR="00F63AF3" w:rsidRDefault="00F63AF3">
      <w:pPr>
        <w:spacing w:before="80" w:after="60"/>
      </w:pPr>
    </w:p>
    <w:p w14:paraId="3C148D34" w14:textId="77777777" w:rsidR="00F63AF3" w:rsidRDefault="00500100">
      <w:pPr>
        <w:pBdr>
          <w:bottom w:val="single" w:sz="4" w:space="0" w:color="0D1B3E"/>
        </w:pBdr>
        <w:spacing w:before="220" w:after="100"/>
      </w:pPr>
      <w:r>
        <w:rPr>
          <w:b/>
          <w:bCs/>
          <w:color w:val="0D1B3E"/>
          <w:sz w:val="24"/>
          <w:szCs w:val="24"/>
        </w:rPr>
        <w:t>9.3  Equation 1 in Depth: H1a, H1b, H1c</w:t>
      </w:r>
    </w:p>
    <w:p w14:paraId="7B79E3B8" w14:textId="77777777" w:rsidR="00F63AF3" w:rsidRDefault="00500100">
      <w:pPr>
        <w:spacing w:before="160" w:after="60"/>
      </w:pPr>
      <w:r>
        <w:rPr>
          <w:b/>
          <w:bCs/>
          <w:color w:val="0E6B7A"/>
        </w:rPr>
        <w:t>H1a — AI Readiness → SC Performance (β = 0.462, p &lt; .001) ✓ SUPPORTED</w:t>
      </w:r>
    </w:p>
    <w:p w14:paraId="0E221643" w14:textId="77777777" w:rsidR="00F63AF3" w:rsidRDefault="00500100">
      <w:pPr>
        <w:spacing w:before="120" w:after="80" w:line="340" w:lineRule="auto"/>
      </w:pPr>
      <w:r>
        <w:rPr>
          <w:color w:val="1A2335"/>
        </w:rPr>
        <w:t>For every 1 standard deviation increase in AI readiness, supply chain performance increases by 0.462 standard deviations, holding institutional quality constant. This is the largest individual effect in the equation and the most theoretically central finding.</w:t>
      </w:r>
    </w:p>
    <w:p w14:paraId="4CBCCB1A" w14:textId="77777777" w:rsidR="00F63AF3" w:rsidRDefault="00500100">
      <w:pPr>
        <w:spacing w:before="120" w:after="80" w:line="340" w:lineRule="auto"/>
      </w:pPr>
      <w:r>
        <w:rPr>
          <w:color w:val="1A2335"/>
        </w:rPr>
        <w:t>What this means in practice: a country moving from average AI readiness to 1 SD above average (roughly the gap between Morocco and Spain) would be predicted to improve its LPI score by about 0.46 standard deviations — a meaningful logistics upgrade. This supports the TOE framework at the national level.</w:t>
      </w:r>
    </w:p>
    <w:p w14:paraId="01C87838" w14:textId="77777777" w:rsidR="00F63AF3" w:rsidRDefault="00F63AF3">
      <w:pPr>
        <w:spacing w:before="40" w:after="60"/>
      </w:pPr>
    </w:p>
    <w:p w14:paraId="02B8B2AC" w14:textId="77777777" w:rsidR="00F63AF3" w:rsidRDefault="00500100">
      <w:pPr>
        <w:spacing w:before="160" w:after="60"/>
      </w:pPr>
      <w:r>
        <w:rPr>
          <w:b/>
          <w:bCs/>
          <w:color w:val="0E6B7A"/>
        </w:rPr>
        <w:t>H1b — Institutional Quality → SC Performance (β = 0.408, p &lt; .001) ✓ SUPPORTED</w:t>
      </w:r>
    </w:p>
    <w:p w14:paraId="02AB180E" w14:textId="77777777" w:rsidR="00F63AF3" w:rsidRDefault="00500100">
      <w:pPr>
        <w:spacing w:before="120" w:after="80" w:line="340" w:lineRule="auto"/>
      </w:pPr>
      <w:r>
        <w:rPr>
          <w:color w:val="1A2335"/>
        </w:rPr>
        <w:lastRenderedPageBreak/>
        <w:t>Institutional quality is almost as powerful as AI readiness in predicting supply chain performance. For every 1 SD improvement in governance quality, SC performance rises by 0.408 SDs. This confirms institutional theory — governance architecture matters enormously for logistics efficiency.</w:t>
      </w:r>
    </w:p>
    <w:p w14:paraId="78C67199" w14:textId="77777777" w:rsidR="00F63AF3" w:rsidRDefault="00500100">
      <w:pPr>
        <w:spacing w:before="120" w:after="80" w:line="340" w:lineRule="auto"/>
      </w:pPr>
      <w:r>
        <w:rPr>
          <w:color w:val="1A2335"/>
        </w:rPr>
        <w:t>The near-equal magnitude of H1a (0.462) and H1b (0.408) is theoretically important: it suggests technology and governance are roughly co-equal drivers of national logistics performance. Neither dominates clearly.</w:t>
      </w:r>
    </w:p>
    <w:p w14:paraId="7000ECB6" w14:textId="77777777" w:rsidR="00F63AF3" w:rsidRDefault="00F63AF3">
      <w:pPr>
        <w:spacing w:before="40" w:after="60"/>
      </w:pPr>
    </w:p>
    <w:p w14:paraId="6E85FC06" w14:textId="77777777" w:rsidR="00F63AF3" w:rsidRDefault="00500100">
      <w:pPr>
        <w:spacing w:before="160" w:after="60"/>
      </w:pPr>
      <w:r>
        <w:rPr>
          <w:b/>
          <w:bCs/>
          <w:color w:val="0E6B7A"/>
        </w:rPr>
        <w:t>H1c — Interaction Term → SC Performance (β = −0.102, p = .029) ✓ SUPPORTED (negative)</w:t>
      </w:r>
    </w:p>
    <w:p w14:paraId="25226067"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THIS IS THE MOST SURPRISING FINDING:  </w:t>
      </w:r>
      <w:r>
        <w:rPr>
          <w:color w:val="2D3748"/>
          <w:sz w:val="21"/>
          <w:szCs w:val="21"/>
        </w:rPr>
        <w:t xml:space="preserve">The interaction coefficient is negative (β = −0.102). This </w:t>
      </w:r>
      <w:proofErr w:type="gramStart"/>
      <w:r>
        <w:rPr>
          <w:color w:val="2D3748"/>
          <w:sz w:val="21"/>
          <w:szCs w:val="21"/>
        </w:rPr>
        <w:t>means:</w:t>
      </w:r>
      <w:proofErr w:type="gramEnd"/>
      <w:r>
        <w:rPr>
          <w:color w:val="2D3748"/>
          <w:sz w:val="21"/>
          <w:szCs w:val="21"/>
        </w:rPr>
        <w:t xml:space="preserve"> at higher levels of BOTH AI readiness and institutional quality combined, the joint effect on SC performance is LESS than you would expect from adding them separately. They substitute for </w:t>
      </w:r>
      <w:proofErr w:type="gramStart"/>
      <w:r>
        <w:rPr>
          <w:color w:val="2D3748"/>
          <w:sz w:val="21"/>
          <w:szCs w:val="21"/>
        </w:rPr>
        <w:t>each other,</w:t>
      </w:r>
      <w:proofErr w:type="gramEnd"/>
      <w:r>
        <w:rPr>
          <w:color w:val="2D3748"/>
          <w:sz w:val="21"/>
          <w:szCs w:val="21"/>
        </w:rPr>
        <w:t xml:space="preserve"> they do not amplify each other. This directly contradicts complementarity assumptions dominant in the literature.</w:t>
      </w:r>
    </w:p>
    <w:p w14:paraId="32D90A63" w14:textId="77777777" w:rsidR="00F63AF3" w:rsidRDefault="00F63AF3">
      <w:pPr>
        <w:spacing w:before="40" w:after="60"/>
      </w:pPr>
    </w:p>
    <w:p w14:paraId="4B704FEE" w14:textId="77777777" w:rsidR="00F63AF3" w:rsidRDefault="00500100">
      <w:pPr>
        <w:spacing w:before="120" w:after="80" w:line="340" w:lineRule="auto"/>
      </w:pPr>
      <w:r>
        <w:rPr>
          <w:color w:val="1A2335"/>
        </w:rPr>
        <w:t>To understand substitution: imagine a country with excellent governance (say, Denmark). Its customs are already automated, its infrastructure is world-class, its logistics operators are highly trained. The incremental value of improving AI readiness further is smaller than in a country with weak governance (say, Paraguay) where AI could compensate for institutional gaps. The marginal return to AI is higher where institutions are weaker.</w:t>
      </w:r>
    </w:p>
    <w:p w14:paraId="2EB740BE" w14:textId="77777777" w:rsidR="00F63AF3" w:rsidRDefault="00500100">
      <w:pPr>
        <w:spacing w:before="120" w:after="80" w:line="340" w:lineRule="auto"/>
      </w:pPr>
      <w:r>
        <w:rPr>
          <w:b/>
          <w:bCs/>
          <w:color w:val="1A2335"/>
        </w:rPr>
        <w:t>Model fit: R² = 0.780. AI readiness, institutional quality, and their interaction together explain 78% of the cross-national variation in supply chain performance. This is an exceptionally high explanatory power for a macro-level cross-national study. The adjusted R² = 0.776 (only marginally lower than R²) confirms the model is not overfitting.</w:t>
      </w:r>
    </w:p>
    <w:p w14:paraId="473B8659" w14:textId="77777777" w:rsidR="00F63AF3" w:rsidRDefault="00F63AF3">
      <w:pPr>
        <w:spacing w:before="60" w:after="60"/>
      </w:pPr>
    </w:p>
    <w:p w14:paraId="519DEF8E" w14:textId="77777777" w:rsidR="00F63AF3" w:rsidRDefault="00500100">
      <w:pPr>
        <w:pBdr>
          <w:bottom w:val="single" w:sz="4" w:space="0" w:color="0D1B3E"/>
        </w:pBdr>
        <w:spacing w:before="220" w:after="100"/>
      </w:pPr>
      <w:r>
        <w:rPr>
          <w:b/>
          <w:bCs/>
          <w:color w:val="0D1B3E"/>
          <w:sz w:val="24"/>
          <w:szCs w:val="24"/>
        </w:rPr>
        <w:t>9.4  Equation 2: The Direct Path vs. the Failed Mediation</w:t>
      </w:r>
    </w:p>
    <w:p w14:paraId="32FBF1A7" w14:textId="77777777" w:rsidR="00F63AF3" w:rsidRDefault="00500100">
      <w:pPr>
        <w:spacing w:before="120" w:after="80" w:line="340" w:lineRule="auto"/>
      </w:pPr>
      <w:r>
        <w:rPr>
          <w:color w:val="1A2335"/>
        </w:rPr>
        <w:t>Direct path: ξ₁ → η₂ (β = 0.340, p = .001). AI readiness directly predicts economic performance independently of supply chain performance. This effect is robust and significant.</w:t>
      </w:r>
    </w:p>
    <w:p w14:paraId="0672700F" w14:textId="77777777" w:rsidR="00F63AF3" w:rsidRDefault="00500100">
      <w:pPr>
        <w:spacing w:before="120" w:after="80" w:line="340" w:lineRule="auto"/>
      </w:pPr>
      <w:r>
        <w:rPr>
          <w:color w:val="1A2335"/>
        </w:rPr>
        <w:t>B-path: η₁ → η₂ (β ≈ 0.00, p = .743). When AI readiness is included in the model, supply chain performance has essentially zero relationship with economic performance. The coefficient is −0.018 — effectively indistinguishable from zero.</w:t>
      </w:r>
    </w:p>
    <w:p w14:paraId="6F41A180"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MODEL FIT FOR EQ. 2:  </w:t>
      </w:r>
      <w:r>
        <w:rPr>
          <w:color w:val="2D3748"/>
          <w:sz w:val="21"/>
          <w:szCs w:val="21"/>
        </w:rPr>
        <w:t>R² = 0.347, Adj R² = 0.339, F(2,161) = 42.74, p &lt; .001. The two-predictor model explains 34.7% of economic performance variance — decent for a cross-national model but much lower than Eq.1. The remaining 65.3% is driven by other factors not modelled here (natural resources, trade agreements, exchange rates, human capital, etc.).</w:t>
      </w:r>
    </w:p>
    <w:p w14:paraId="43DD923A" w14:textId="77777777" w:rsidR="00F63AF3" w:rsidRDefault="00F63AF3">
      <w:pPr>
        <w:spacing w:before="100" w:after="60"/>
      </w:pPr>
    </w:p>
    <w:p w14:paraId="263F961C" w14:textId="77777777" w:rsidR="00F63AF3" w:rsidRDefault="00500100">
      <w:r>
        <w:br w:type="page"/>
      </w:r>
    </w:p>
    <w:p w14:paraId="706E7E3F" w14:textId="77777777" w:rsidR="00F63AF3" w:rsidRDefault="00500100">
      <w:pPr>
        <w:shd w:val="clear" w:color="auto" w:fill="1A5C39"/>
        <w:spacing w:before="320" w:after="160"/>
        <w:ind w:left="160" w:right="160"/>
      </w:pPr>
      <w:r>
        <w:rPr>
          <w:b/>
          <w:bCs/>
          <w:color w:val="FFFFFF"/>
          <w:sz w:val="26"/>
          <w:szCs w:val="26"/>
        </w:rPr>
        <w:lastRenderedPageBreak/>
        <w:t>PART 10  MEDIATION ANALYSIS (H2a) — FULLY EXPLAINED</w:t>
      </w:r>
    </w:p>
    <w:p w14:paraId="59EE1B11" w14:textId="77777777" w:rsidR="00F63AF3" w:rsidRDefault="00F63AF3">
      <w:pPr>
        <w:spacing w:before="80" w:after="60"/>
      </w:pPr>
    </w:p>
    <w:p w14:paraId="1E912F79"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IN PLAIN ENGLISH:  </w:t>
      </w:r>
      <w:r>
        <w:rPr>
          <w:color w:val="2D3748"/>
          <w:sz w:val="21"/>
          <w:szCs w:val="21"/>
        </w:rPr>
        <w:t>Mediation answers: does variable A affect variable C through variable B, or directly? Example: does stress (A) cause heart disease (C) through unhealthy eating (B — the mediator)? Or does stress directly cause heart disease? In this study: Does AI readiness (A) affect economic performance (C) through supply chain performance (B)? The Baron &amp; Kenny test says: NO.</w:t>
      </w:r>
    </w:p>
    <w:p w14:paraId="42D6F5B2" w14:textId="77777777" w:rsidR="00F63AF3" w:rsidRDefault="00F63AF3">
      <w:pPr>
        <w:spacing w:before="60" w:after="60"/>
      </w:pPr>
    </w:p>
    <w:p w14:paraId="4B9C851B" w14:textId="77777777" w:rsidR="00F63AF3" w:rsidRDefault="00500100">
      <w:pPr>
        <w:pBdr>
          <w:bottom w:val="single" w:sz="4" w:space="0" w:color="1A5C39"/>
        </w:pBdr>
        <w:spacing w:before="220" w:after="100"/>
      </w:pPr>
      <w:r>
        <w:rPr>
          <w:b/>
          <w:bCs/>
          <w:color w:val="1A5C39"/>
          <w:sz w:val="24"/>
          <w:szCs w:val="24"/>
        </w:rPr>
        <w:t>10.1  The Baron &amp; Kenny (1986) Four-Step Method</w:t>
      </w:r>
    </w:p>
    <w:p w14:paraId="4EAB35AC" w14:textId="77777777" w:rsidR="00F63AF3" w:rsidRDefault="00500100">
      <w:pPr>
        <w:spacing w:before="120" w:after="80" w:line="340" w:lineRule="auto"/>
      </w:pPr>
      <w:r>
        <w:rPr>
          <w:color w:val="1A2335"/>
        </w:rPr>
        <w:t>Baron and Kenny proposed a sequence of conditions that must ALL be satisfied for mediation to be confirmed:</w:t>
      </w:r>
    </w:p>
    <w:p w14:paraId="1936F1A9"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1955"/>
        <w:gridCol w:w="2453"/>
        <w:gridCol w:w="879"/>
        <w:gridCol w:w="849"/>
        <w:gridCol w:w="2037"/>
      </w:tblGrid>
      <w:tr w:rsidR="00F63AF3" w14:paraId="41735ED2" w14:textId="77777777">
        <w:tblPrEx>
          <w:tblCellMar>
            <w:top w:w="0" w:type="dxa"/>
            <w:bottom w:w="0" w:type="dxa"/>
          </w:tblCellMar>
        </w:tblPrEx>
        <w:trPr>
          <w:tblHeader/>
        </w:trPr>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6BE1A2A1" w14:textId="77777777" w:rsidR="00F63AF3" w:rsidRDefault="00500100">
            <w:pPr>
              <w:jc w:val="center"/>
            </w:pPr>
            <w:r>
              <w:rPr>
                <w:b/>
                <w:bCs/>
                <w:color w:val="FFFFFF"/>
                <w:sz w:val="19"/>
                <w:szCs w:val="19"/>
              </w:rPr>
              <w:t>Step</w:t>
            </w:r>
          </w:p>
        </w:tc>
        <w:tc>
          <w:tcPr>
            <w:tcW w:w="2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A28EA35" w14:textId="77777777" w:rsidR="00F63AF3" w:rsidRDefault="00500100">
            <w:pPr>
              <w:jc w:val="center"/>
            </w:pPr>
            <w:r>
              <w:rPr>
                <w:b/>
                <w:bCs/>
                <w:color w:val="FFFFFF"/>
                <w:sz w:val="19"/>
                <w:szCs w:val="19"/>
              </w:rPr>
              <w:t>Path</w:t>
            </w:r>
          </w:p>
        </w:tc>
        <w:tc>
          <w:tcPr>
            <w:tcW w:w="27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EADC680" w14:textId="77777777" w:rsidR="00F63AF3" w:rsidRDefault="00500100">
            <w:pPr>
              <w:jc w:val="center"/>
            </w:pPr>
            <w:r>
              <w:rPr>
                <w:b/>
                <w:bCs/>
                <w:color w:val="FFFFFF"/>
                <w:sz w:val="19"/>
                <w:szCs w:val="19"/>
              </w:rPr>
              <w:t>Condition Required</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BA4EEC6" w14:textId="77777777" w:rsidR="00F63AF3" w:rsidRDefault="00500100">
            <w:pPr>
              <w:jc w:val="center"/>
            </w:pPr>
            <w:r>
              <w:rPr>
                <w:b/>
                <w:bCs/>
                <w:color w:val="FFFFFF"/>
                <w:sz w:val="19"/>
                <w:szCs w:val="19"/>
              </w:rPr>
              <w:t>B</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5168E657" w14:textId="77777777" w:rsidR="00F63AF3" w:rsidRDefault="00500100">
            <w:pPr>
              <w:jc w:val="center"/>
            </w:pPr>
            <w:r>
              <w:rPr>
                <w:b/>
                <w:bCs/>
                <w:color w:val="FFFFFF"/>
                <w:sz w:val="19"/>
                <w:szCs w:val="19"/>
              </w:rPr>
              <w:t>p</w:t>
            </w:r>
          </w:p>
        </w:tc>
        <w:tc>
          <w:tcPr>
            <w:tcW w:w="22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40596B3A" w14:textId="77777777" w:rsidR="00F63AF3" w:rsidRDefault="00500100">
            <w:pPr>
              <w:jc w:val="center"/>
            </w:pPr>
            <w:r>
              <w:rPr>
                <w:b/>
                <w:bCs/>
                <w:color w:val="FFFFFF"/>
                <w:sz w:val="19"/>
                <w:szCs w:val="19"/>
              </w:rPr>
              <w:t>Result</w:t>
            </w:r>
          </w:p>
        </w:tc>
      </w:tr>
      <w:tr w:rsidR="00F63AF3" w14:paraId="2B0AFA27" w14:textId="77777777">
        <w:tblPrEx>
          <w:tblCellMar>
            <w:top w:w="0" w:type="dxa"/>
            <w:bottom w:w="0" w:type="dxa"/>
          </w:tblCellMar>
        </w:tblPrEx>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2097476" w14:textId="77777777" w:rsidR="00F63AF3" w:rsidRDefault="00500100">
            <w:r>
              <w:rPr>
                <w:color w:val="1A2335"/>
                <w:sz w:val="19"/>
                <w:szCs w:val="19"/>
              </w:rPr>
              <w:t>Step 1</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FC581FF" w14:textId="77777777" w:rsidR="00F63AF3" w:rsidRDefault="00500100">
            <w:pPr>
              <w:jc w:val="center"/>
            </w:pPr>
            <w:r>
              <w:rPr>
                <w:color w:val="1A2335"/>
                <w:sz w:val="19"/>
                <w:szCs w:val="19"/>
              </w:rPr>
              <w:t>c path: ξ₁ → η₂</w:t>
            </w:r>
          </w:p>
        </w:tc>
        <w:tc>
          <w:tcPr>
            <w:tcW w:w="2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718F726" w14:textId="77777777" w:rsidR="00F63AF3" w:rsidRDefault="00500100">
            <w:pPr>
              <w:jc w:val="center"/>
            </w:pPr>
            <w:r>
              <w:rPr>
                <w:color w:val="1A2335"/>
                <w:sz w:val="19"/>
                <w:szCs w:val="19"/>
              </w:rPr>
              <w:t>Total effect must be significant</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3CE1950" w14:textId="77777777" w:rsidR="00F63AF3" w:rsidRDefault="00500100">
            <w:pPr>
              <w:jc w:val="center"/>
            </w:pPr>
            <w:r>
              <w:rPr>
                <w:color w:val="1A2335"/>
                <w:sz w:val="19"/>
                <w:szCs w:val="19"/>
              </w:rPr>
              <w:t>0.489</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4ADE7DC" w14:textId="77777777" w:rsidR="00F63AF3" w:rsidRDefault="00500100">
            <w:pPr>
              <w:jc w:val="center"/>
            </w:pPr>
            <w:r>
              <w:rPr>
                <w:color w:val="1A2335"/>
                <w:sz w:val="19"/>
                <w:szCs w:val="19"/>
              </w:rPr>
              <w:t>&lt; .001</w:t>
            </w:r>
          </w:p>
        </w:tc>
        <w:tc>
          <w:tcPr>
            <w:tcW w:w="22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1EA49593" w14:textId="77777777" w:rsidR="00F63AF3" w:rsidRDefault="00500100">
            <w:pPr>
              <w:jc w:val="center"/>
            </w:pPr>
            <w:r>
              <w:rPr>
                <w:color w:val="1A5C39"/>
                <w:sz w:val="19"/>
                <w:szCs w:val="19"/>
              </w:rPr>
              <w:t>✓</w:t>
            </w:r>
            <w:r>
              <w:rPr>
                <w:color w:val="1A5C39"/>
                <w:sz w:val="19"/>
                <w:szCs w:val="19"/>
              </w:rPr>
              <w:t xml:space="preserve"> PASS</w:t>
            </w:r>
          </w:p>
        </w:tc>
      </w:tr>
      <w:tr w:rsidR="00F63AF3" w14:paraId="29EB8ACC" w14:textId="77777777">
        <w:tblPrEx>
          <w:tblCellMar>
            <w:top w:w="0" w:type="dxa"/>
            <w:bottom w:w="0" w:type="dxa"/>
          </w:tblCellMar>
        </w:tblPrEx>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F2B6429" w14:textId="77777777" w:rsidR="00F63AF3" w:rsidRDefault="00500100">
            <w:r>
              <w:rPr>
                <w:color w:val="1A2335"/>
                <w:sz w:val="19"/>
                <w:szCs w:val="19"/>
              </w:rPr>
              <w:t>Step 2</w:t>
            </w:r>
          </w:p>
        </w:tc>
        <w:tc>
          <w:tcPr>
            <w:tcW w:w="2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EAE695D" w14:textId="77777777" w:rsidR="00F63AF3" w:rsidRDefault="00500100">
            <w:pPr>
              <w:jc w:val="center"/>
            </w:pPr>
            <w:r>
              <w:rPr>
                <w:color w:val="1A2335"/>
                <w:sz w:val="19"/>
                <w:szCs w:val="19"/>
              </w:rPr>
              <w:t>a path: ξ₁ → η₁</w:t>
            </w:r>
          </w:p>
        </w:tc>
        <w:tc>
          <w:tcPr>
            <w:tcW w:w="2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40CE0EA" w14:textId="77777777" w:rsidR="00F63AF3" w:rsidRDefault="00500100">
            <w:pPr>
              <w:jc w:val="center"/>
            </w:pPr>
            <w:r>
              <w:rPr>
                <w:color w:val="1A2335"/>
                <w:sz w:val="19"/>
                <w:szCs w:val="19"/>
              </w:rPr>
              <w:t>Predictor must predict mediator</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D1D3977" w14:textId="77777777" w:rsidR="00F63AF3" w:rsidRDefault="00500100">
            <w:pPr>
              <w:jc w:val="center"/>
            </w:pPr>
            <w:r>
              <w:rPr>
                <w:color w:val="1A2335"/>
                <w:sz w:val="19"/>
                <w:szCs w:val="19"/>
              </w:rPr>
              <w:t>0.437</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5325683" w14:textId="77777777" w:rsidR="00F63AF3" w:rsidRDefault="00500100">
            <w:pPr>
              <w:jc w:val="center"/>
            </w:pPr>
            <w:r>
              <w:rPr>
                <w:color w:val="1A2335"/>
                <w:sz w:val="19"/>
                <w:szCs w:val="19"/>
              </w:rPr>
              <w:t>&lt; .001</w:t>
            </w:r>
          </w:p>
        </w:tc>
        <w:tc>
          <w:tcPr>
            <w:tcW w:w="2226"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772D8F9E" w14:textId="77777777" w:rsidR="00F63AF3" w:rsidRDefault="00500100">
            <w:pPr>
              <w:jc w:val="center"/>
            </w:pPr>
            <w:r>
              <w:rPr>
                <w:color w:val="1A5C39"/>
                <w:sz w:val="19"/>
                <w:szCs w:val="19"/>
              </w:rPr>
              <w:t>✓</w:t>
            </w:r>
            <w:r>
              <w:rPr>
                <w:color w:val="1A5C39"/>
                <w:sz w:val="19"/>
                <w:szCs w:val="19"/>
              </w:rPr>
              <w:t xml:space="preserve"> PASS</w:t>
            </w:r>
          </w:p>
        </w:tc>
      </w:tr>
      <w:tr w:rsidR="00F63AF3" w14:paraId="25052F4A" w14:textId="77777777">
        <w:tblPrEx>
          <w:tblCellMar>
            <w:top w:w="0" w:type="dxa"/>
            <w:bottom w:w="0" w:type="dxa"/>
          </w:tblCellMar>
        </w:tblPrEx>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C388B40" w14:textId="77777777" w:rsidR="00F63AF3" w:rsidRDefault="00500100">
            <w:r>
              <w:rPr>
                <w:color w:val="1A2335"/>
                <w:sz w:val="19"/>
                <w:szCs w:val="19"/>
              </w:rPr>
              <w:t>Step 3a</w:t>
            </w:r>
          </w:p>
        </w:tc>
        <w:tc>
          <w:tcPr>
            <w:tcW w:w="2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042F99B" w14:textId="77777777" w:rsidR="00F63AF3" w:rsidRDefault="00500100">
            <w:pPr>
              <w:jc w:val="center"/>
            </w:pPr>
            <w:r>
              <w:rPr>
                <w:color w:val="1A2335"/>
                <w:sz w:val="19"/>
                <w:szCs w:val="19"/>
              </w:rPr>
              <w:t>b path: η₁ → η₂|ξ₁</w:t>
            </w:r>
          </w:p>
        </w:tc>
        <w:tc>
          <w:tcPr>
            <w:tcW w:w="27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46E839B" w14:textId="77777777" w:rsidR="00F63AF3" w:rsidRDefault="00500100">
            <w:pPr>
              <w:jc w:val="center"/>
            </w:pPr>
            <w:r>
              <w:rPr>
                <w:color w:val="1A2335"/>
                <w:sz w:val="19"/>
                <w:szCs w:val="19"/>
              </w:rPr>
              <w:t>Mediator must predict outcome (controlling predictor)</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EBB920B" w14:textId="77777777" w:rsidR="00F63AF3" w:rsidRDefault="00500100">
            <w:pPr>
              <w:jc w:val="center"/>
            </w:pPr>
            <w:r>
              <w:rPr>
                <w:color w:val="1A2335"/>
                <w:sz w:val="19"/>
                <w:szCs w:val="19"/>
              </w:rPr>
              <w:t>−</w:t>
            </w:r>
            <w:r>
              <w:rPr>
                <w:color w:val="1A2335"/>
                <w:sz w:val="19"/>
                <w:szCs w:val="19"/>
              </w:rPr>
              <w:t>0.018</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CDEADCD" w14:textId="77777777" w:rsidR="00F63AF3" w:rsidRDefault="00500100">
            <w:pPr>
              <w:jc w:val="center"/>
            </w:pPr>
            <w:r>
              <w:rPr>
                <w:color w:val="1A2335"/>
                <w:sz w:val="19"/>
                <w:szCs w:val="19"/>
              </w:rPr>
              <w:t>.743</w:t>
            </w:r>
          </w:p>
        </w:tc>
        <w:tc>
          <w:tcPr>
            <w:tcW w:w="2226" w:type="dxa"/>
            <w:tcBorders>
              <w:top w:val="single" w:sz="4" w:space="0" w:color="C5D0DC"/>
              <w:left w:val="single" w:sz="4" w:space="0" w:color="C5D0DC"/>
              <w:bottom w:val="single" w:sz="4" w:space="0" w:color="C5D0DC"/>
              <w:right w:val="single" w:sz="4" w:space="0" w:color="C5D0DC"/>
            </w:tcBorders>
            <w:shd w:val="clear" w:color="auto" w:fill="FDECEA"/>
            <w:tcMar>
              <w:top w:w="80" w:type="dxa"/>
              <w:left w:w="120" w:type="dxa"/>
              <w:bottom w:w="80" w:type="dxa"/>
              <w:right w:w="120" w:type="dxa"/>
            </w:tcMar>
            <w:vAlign w:val="center"/>
          </w:tcPr>
          <w:p w14:paraId="75BE6A69" w14:textId="77777777" w:rsidR="00F63AF3" w:rsidRDefault="00500100">
            <w:pPr>
              <w:jc w:val="center"/>
            </w:pPr>
            <w:r>
              <w:rPr>
                <w:color w:val="7B1010"/>
                <w:sz w:val="19"/>
                <w:szCs w:val="19"/>
              </w:rPr>
              <w:t>✗</w:t>
            </w:r>
            <w:r>
              <w:rPr>
                <w:color w:val="7B1010"/>
                <w:sz w:val="19"/>
                <w:szCs w:val="19"/>
              </w:rPr>
              <w:t xml:space="preserve"> FAIL — not significant</w:t>
            </w:r>
          </w:p>
        </w:tc>
      </w:tr>
      <w:tr w:rsidR="00F63AF3" w14:paraId="67893690" w14:textId="77777777">
        <w:tblPrEx>
          <w:tblCellMar>
            <w:top w:w="0" w:type="dxa"/>
            <w:bottom w:w="0" w:type="dxa"/>
          </w:tblCellMar>
        </w:tblPrEx>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2F3E826" w14:textId="77777777" w:rsidR="00F63AF3" w:rsidRDefault="00500100">
            <w:r>
              <w:rPr>
                <w:color w:val="1A2335"/>
                <w:sz w:val="19"/>
                <w:szCs w:val="19"/>
              </w:rPr>
              <w:t>Step 3b</w:t>
            </w:r>
          </w:p>
        </w:tc>
        <w:tc>
          <w:tcPr>
            <w:tcW w:w="2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21DD178" w14:textId="77777777" w:rsidR="00F63AF3" w:rsidRDefault="00500100">
            <w:pPr>
              <w:jc w:val="center"/>
            </w:pPr>
            <w:r>
              <w:rPr>
                <w:color w:val="1A2335"/>
                <w:sz w:val="19"/>
                <w:szCs w:val="19"/>
              </w:rPr>
              <w:t>c' path: ξ₁ → η₂|η₁</w:t>
            </w:r>
          </w:p>
        </w:tc>
        <w:tc>
          <w:tcPr>
            <w:tcW w:w="27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CF9D65C" w14:textId="77777777" w:rsidR="00F63AF3" w:rsidRDefault="00500100">
            <w:pPr>
              <w:jc w:val="center"/>
            </w:pPr>
            <w:r>
              <w:rPr>
                <w:color w:val="1A2335"/>
                <w:sz w:val="19"/>
                <w:szCs w:val="19"/>
              </w:rPr>
              <w:t>If full mediation: c-prime should drop to zero</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7A18BAC" w14:textId="77777777" w:rsidR="00F63AF3" w:rsidRDefault="00500100">
            <w:pPr>
              <w:jc w:val="center"/>
            </w:pPr>
            <w:r>
              <w:rPr>
                <w:color w:val="1A2335"/>
                <w:sz w:val="19"/>
                <w:szCs w:val="19"/>
              </w:rPr>
              <w:t>0.289</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B780FE4" w14:textId="77777777" w:rsidR="00F63AF3" w:rsidRDefault="00500100">
            <w:pPr>
              <w:jc w:val="center"/>
            </w:pPr>
            <w:r>
              <w:rPr>
                <w:color w:val="1A2335"/>
                <w:sz w:val="19"/>
                <w:szCs w:val="19"/>
              </w:rPr>
              <w:t>.001</w:t>
            </w:r>
          </w:p>
        </w:tc>
        <w:tc>
          <w:tcPr>
            <w:tcW w:w="2226" w:type="dxa"/>
            <w:tcBorders>
              <w:top w:val="single" w:sz="4" w:space="0" w:color="C5D0DC"/>
              <w:left w:val="single" w:sz="4" w:space="0" w:color="C5D0DC"/>
              <w:bottom w:val="single" w:sz="4" w:space="0" w:color="C5D0DC"/>
              <w:right w:val="single" w:sz="4" w:space="0" w:color="C5D0DC"/>
            </w:tcBorders>
            <w:shd w:val="clear" w:color="auto" w:fill="EBF4FA"/>
            <w:tcMar>
              <w:top w:w="80" w:type="dxa"/>
              <w:left w:w="120" w:type="dxa"/>
              <w:bottom w:w="80" w:type="dxa"/>
              <w:right w:w="120" w:type="dxa"/>
            </w:tcMar>
            <w:vAlign w:val="center"/>
          </w:tcPr>
          <w:p w14:paraId="38065F77" w14:textId="77777777" w:rsidR="00F63AF3" w:rsidRDefault="00500100">
            <w:pPr>
              <w:jc w:val="center"/>
            </w:pPr>
            <w:r>
              <w:rPr>
                <w:color w:val="0E6B7A"/>
                <w:sz w:val="19"/>
                <w:szCs w:val="19"/>
              </w:rPr>
              <w:t>Remains significant</w:t>
            </w:r>
          </w:p>
        </w:tc>
      </w:tr>
    </w:tbl>
    <w:p w14:paraId="15FF2674" w14:textId="77777777" w:rsidR="00F63AF3" w:rsidRDefault="00F63AF3">
      <w:pPr>
        <w:spacing w:before="60" w:after="60"/>
      </w:pPr>
    </w:p>
    <w:p w14:paraId="7872F871"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t xml:space="preserve">WHY H2a FAILS:  </w:t>
      </w:r>
      <w:r>
        <w:rPr>
          <w:color w:val="2D3748"/>
          <w:sz w:val="21"/>
          <w:szCs w:val="21"/>
        </w:rPr>
        <w:t xml:space="preserve">The b-path (Step 3) requires that supply chain performance predicts economic performance WHILE controlling for AI readiness. When AI readiness is in the model, the </w:t>
      </w:r>
      <w:proofErr w:type="spellStart"/>
      <w:r>
        <w:rPr>
          <w:color w:val="2D3748"/>
          <w:sz w:val="21"/>
          <w:szCs w:val="21"/>
        </w:rPr>
        <w:t>SC→Economy</w:t>
      </w:r>
      <w:proofErr w:type="spellEnd"/>
      <w:r>
        <w:rPr>
          <w:color w:val="2D3748"/>
          <w:sz w:val="21"/>
          <w:szCs w:val="21"/>
        </w:rPr>
        <w:t xml:space="preserve"> effect disappears (p = .743). This means SC performance has no unique predictive power over economic performance beyond what AI readiness already explains. The indirect route (AI → SC → Economy) collapses.</w:t>
      </w:r>
    </w:p>
    <w:p w14:paraId="6DB2121D" w14:textId="77777777" w:rsidR="00F63AF3" w:rsidRDefault="00F63AF3">
      <w:pPr>
        <w:spacing w:before="60" w:after="60"/>
      </w:pPr>
    </w:p>
    <w:p w14:paraId="636DE788" w14:textId="77777777" w:rsidR="00F63AF3" w:rsidRDefault="00500100">
      <w:pPr>
        <w:pBdr>
          <w:bottom w:val="single" w:sz="4" w:space="0" w:color="1A5C39"/>
        </w:pBdr>
        <w:spacing w:before="220" w:after="100"/>
      </w:pPr>
      <w:r>
        <w:rPr>
          <w:b/>
          <w:bCs/>
          <w:color w:val="1A5C39"/>
          <w:sz w:val="24"/>
          <w:szCs w:val="24"/>
        </w:rPr>
        <w:t>10.2  The Sobel Test and Why It Seems to Contradict B&amp;K</w:t>
      </w:r>
    </w:p>
    <w:p w14:paraId="0A583622" w14:textId="77777777" w:rsidR="00F63AF3" w:rsidRDefault="00500100">
      <w:pPr>
        <w:spacing w:before="120" w:after="80" w:line="340" w:lineRule="auto"/>
      </w:pPr>
      <w:r>
        <w:rPr>
          <w:color w:val="1A2335"/>
        </w:rPr>
        <w:t xml:space="preserve">The Sobel test statistic </w:t>
      </w:r>
      <w:proofErr w:type="gramStart"/>
      <w:r>
        <w:rPr>
          <w:color w:val="1A2335"/>
        </w:rPr>
        <w:t>is:</w:t>
      </w:r>
      <w:proofErr w:type="gramEnd"/>
      <w:r>
        <w:rPr>
          <w:color w:val="1A2335"/>
        </w:rPr>
        <w:t xml:space="preserve"> Z = a × b / √(b²×SE_a² + a²×SE_b²). The study reports Sobel Z = 3.621, p &lt; .001 — which appears to show significant mediation.</w:t>
      </w:r>
    </w:p>
    <w:p w14:paraId="75217523"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THE CRITICAL DISTINCTION:  </w:t>
      </w:r>
      <w:r>
        <w:rPr>
          <w:color w:val="2D3748"/>
          <w:sz w:val="21"/>
          <w:szCs w:val="21"/>
        </w:rPr>
        <w:t>The Sobel test in this study used the BIVARIATE b-path (the correlation between η₁ and η₂ without controlling for ξ₁) — which is significant. But Baron &amp; Kenny requires the CONDITIONAL b-path (η₁ → η₂ with ξ₁ in the model) — which is not significant. The Sobel Z is therefore not applicable to the B&amp;K mediation framework here. Using the conditional b-path, the indirect effect collapses. B&amp;K verdict: NO MEDIATION. The Sobel result is presented with this caveat clearly noted.</w:t>
      </w:r>
    </w:p>
    <w:p w14:paraId="1F97C829" w14:textId="77777777" w:rsidR="00F63AF3" w:rsidRDefault="00F63AF3">
      <w:pPr>
        <w:spacing w:before="60" w:after="60"/>
      </w:pPr>
    </w:p>
    <w:p w14:paraId="1CE69DE5" w14:textId="77777777" w:rsidR="00F63AF3" w:rsidRDefault="00500100">
      <w:pPr>
        <w:spacing w:before="120" w:after="80" w:line="340" w:lineRule="auto"/>
      </w:pPr>
      <w:r>
        <w:rPr>
          <w:color w:val="1A2335"/>
        </w:rPr>
        <w:t xml:space="preserve">What does this mean substantively? It means AI readiness and supply chain performance are both independently related to economic performance, but they are not in a relay chain. AI does not flow through </w:t>
      </w:r>
      <w:r>
        <w:rPr>
          <w:color w:val="1A2335"/>
        </w:rPr>
        <w:lastRenderedPageBreak/>
        <w:t>supply chains to reach the economy. Instead, AI readiness seems to affect the economy through multiple parallel channels — productivity, innovation, FDI attractiveness, digital services export — that bypass the traditional logistics chain.</w:t>
      </w:r>
    </w:p>
    <w:p w14:paraId="56441B3A" w14:textId="77777777" w:rsidR="00F63AF3" w:rsidRDefault="00F63AF3">
      <w:pPr>
        <w:spacing w:before="100" w:after="60"/>
      </w:pPr>
    </w:p>
    <w:p w14:paraId="0DD57363" w14:textId="77777777" w:rsidR="00F63AF3" w:rsidRDefault="00500100">
      <w:r>
        <w:br w:type="page"/>
      </w:r>
    </w:p>
    <w:p w14:paraId="50B86558" w14:textId="77777777" w:rsidR="00F63AF3" w:rsidRDefault="00500100">
      <w:pPr>
        <w:shd w:val="clear" w:color="auto" w:fill="4A235A"/>
        <w:spacing w:before="320" w:after="160"/>
        <w:ind w:left="160" w:right="160"/>
      </w:pPr>
      <w:r>
        <w:rPr>
          <w:b/>
          <w:bCs/>
          <w:color w:val="FFFFFF"/>
          <w:sz w:val="26"/>
          <w:szCs w:val="26"/>
        </w:rPr>
        <w:lastRenderedPageBreak/>
        <w:t>PART 11  MODERATION ANALYSIS (H1c) — FULLY EXPLAINED</w:t>
      </w:r>
    </w:p>
    <w:p w14:paraId="4D14CCA4" w14:textId="77777777" w:rsidR="00F63AF3" w:rsidRDefault="00F63AF3">
      <w:pPr>
        <w:spacing w:before="80" w:after="60"/>
      </w:pPr>
    </w:p>
    <w:p w14:paraId="31FB8A18"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IN PLAIN ENGLISH:  </w:t>
      </w:r>
      <w:r>
        <w:rPr>
          <w:color w:val="2D3748"/>
          <w:sz w:val="21"/>
          <w:szCs w:val="21"/>
        </w:rPr>
        <w:t>Moderation answers: does the relationship between X and Y change depending on the level of Z? Example: does exercise reduce stress, and does the effect of exercise depend on whether you are an introvert or extrovert? Z (personality) is the moderator. In this study: does the effect of AI readiness on supply chain performance depend on institutional quality? Answer: YES — but in a surprising direction.</w:t>
      </w:r>
    </w:p>
    <w:p w14:paraId="19ED7E62" w14:textId="77777777" w:rsidR="00F63AF3" w:rsidRDefault="00F63AF3">
      <w:pPr>
        <w:spacing w:before="60" w:after="60"/>
      </w:pPr>
    </w:p>
    <w:p w14:paraId="471629E7" w14:textId="77777777" w:rsidR="00F63AF3" w:rsidRDefault="00500100">
      <w:pPr>
        <w:pBdr>
          <w:bottom w:val="single" w:sz="4" w:space="0" w:color="4A235A"/>
        </w:pBdr>
        <w:spacing w:before="220" w:after="100"/>
      </w:pPr>
      <w:r>
        <w:rPr>
          <w:b/>
          <w:bCs/>
          <w:color w:val="4A235A"/>
          <w:sz w:val="24"/>
          <w:szCs w:val="24"/>
        </w:rPr>
        <w:t>11.1  Hierarchical Regression for Moderation Testing</w:t>
      </w:r>
    </w:p>
    <w:p w14:paraId="38525484" w14:textId="77777777" w:rsidR="00F63AF3" w:rsidRDefault="00500100">
      <w:pPr>
        <w:spacing w:before="120" w:after="80" w:line="340" w:lineRule="auto"/>
      </w:pPr>
      <w:r>
        <w:rPr>
          <w:color w:val="1A2335"/>
        </w:rPr>
        <w:t>Hierarchical regression adds predictors in blocks and checks whether each block improves prediction significantly. This is the standard method for testing moderation (Baron &amp; Kenny, 1986; Aiken &amp; West, 1991).</w:t>
      </w:r>
    </w:p>
    <w:p w14:paraId="49811E60"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22"/>
        <w:gridCol w:w="881"/>
        <w:gridCol w:w="991"/>
        <w:gridCol w:w="1431"/>
        <w:gridCol w:w="1101"/>
      </w:tblGrid>
      <w:tr w:rsidR="00F63AF3" w14:paraId="2AE3BB69" w14:textId="77777777">
        <w:tblPrEx>
          <w:tblCellMar>
            <w:top w:w="0" w:type="dxa"/>
            <w:bottom w:w="0" w:type="dxa"/>
          </w:tblCellMar>
        </w:tblPrEx>
        <w:trPr>
          <w:tblHeader/>
        </w:trPr>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79771B38" w14:textId="77777777" w:rsidR="00F63AF3" w:rsidRDefault="00500100">
            <w:pPr>
              <w:jc w:val="center"/>
            </w:pPr>
            <w:r>
              <w:rPr>
                <w:b/>
                <w:bCs/>
                <w:color w:val="FFFFFF"/>
                <w:sz w:val="19"/>
                <w:szCs w:val="19"/>
              </w:rPr>
              <w:t>Block</w:t>
            </w:r>
          </w:p>
        </w:tc>
        <w:tc>
          <w:tcPr>
            <w:tcW w:w="32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695C2515" w14:textId="77777777" w:rsidR="00F63AF3" w:rsidRDefault="00500100">
            <w:pPr>
              <w:jc w:val="center"/>
            </w:pPr>
            <w:r>
              <w:rPr>
                <w:b/>
                <w:bCs/>
                <w:color w:val="FFFFFF"/>
                <w:sz w:val="19"/>
                <w:szCs w:val="19"/>
              </w:rPr>
              <w:t>Predictors Entered</w:t>
            </w:r>
          </w:p>
        </w:tc>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0F078CA5" w14:textId="77777777" w:rsidR="00F63AF3" w:rsidRDefault="00500100">
            <w:pPr>
              <w:jc w:val="center"/>
            </w:pPr>
            <w:r>
              <w:rPr>
                <w:b/>
                <w:bCs/>
                <w:color w:val="FFFFFF"/>
                <w:sz w:val="19"/>
                <w:szCs w:val="19"/>
              </w:rPr>
              <w:t>R²</w:t>
            </w:r>
          </w:p>
        </w:tc>
        <w:tc>
          <w:tcPr>
            <w:tcW w:w="9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2FAB4CA4" w14:textId="77777777" w:rsidR="00F63AF3" w:rsidRDefault="00500100">
            <w:pPr>
              <w:jc w:val="center"/>
            </w:pPr>
            <w:r>
              <w:rPr>
                <w:b/>
                <w:bCs/>
                <w:color w:val="FFFFFF"/>
                <w:sz w:val="19"/>
                <w:szCs w:val="19"/>
              </w:rPr>
              <w:t>ΔR²</w:t>
            </w:r>
          </w:p>
        </w:tc>
        <w:tc>
          <w:tcPr>
            <w:tcW w:w="13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59A7F9FB" w14:textId="77777777" w:rsidR="00F63AF3" w:rsidRDefault="00500100">
            <w:pPr>
              <w:jc w:val="center"/>
            </w:pPr>
            <w:r>
              <w:rPr>
                <w:b/>
                <w:bCs/>
                <w:color w:val="FFFFFF"/>
                <w:sz w:val="19"/>
                <w:szCs w:val="19"/>
              </w:rPr>
              <w:t>F-change</w:t>
            </w:r>
          </w:p>
        </w:tc>
        <w:tc>
          <w:tcPr>
            <w:tcW w:w="10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C2DFA30" w14:textId="77777777" w:rsidR="00F63AF3" w:rsidRDefault="00500100">
            <w:pPr>
              <w:jc w:val="center"/>
            </w:pPr>
            <w:r>
              <w:rPr>
                <w:b/>
                <w:bCs/>
                <w:color w:val="FFFFFF"/>
                <w:sz w:val="19"/>
                <w:szCs w:val="19"/>
              </w:rPr>
              <w:t>p</w:t>
            </w:r>
          </w:p>
        </w:tc>
      </w:tr>
      <w:tr w:rsidR="00F63AF3" w14:paraId="315DC382"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7D9978EB" w14:textId="77777777" w:rsidR="00F63AF3" w:rsidRDefault="00500100">
            <w:r>
              <w:rPr>
                <w:color w:val="1A2335"/>
                <w:sz w:val="19"/>
                <w:szCs w:val="19"/>
              </w:rPr>
              <w:t>Block 1</w:t>
            </w:r>
          </w:p>
        </w:tc>
        <w:tc>
          <w:tcPr>
            <w:tcW w:w="32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3C0BE0B" w14:textId="77777777" w:rsidR="00F63AF3" w:rsidRDefault="00500100">
            <w:pPr>
              <w:jc w:val="center"/>
            </w:pPr>
            <w:r>
              <w:rPr>
                <w:color w:val="1A2335"/>
                <w:sz w:val="19"/>
                <w:szCs w:val="19"/>
              </w:rPr>
              <w:t>ξ₁_c (AI Readiness, centred) + ξ₂_c (Institutions, centred)</w:t>
            </w:r>
          </w:p>
        </w:tc>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4476A6A" w14:textId="77777777" w:rsidR="00F63AF3" w:rsidRDefault="00500100">
            <w:pPr>
              <w:jc w:val="center"/>
            </w:pPr>
            <w:r>
              <w:rPr>
                <w:color w:val="1A2335"/>
                <w:sz w:val="19"/>
                <w:szCs w:val="19"/>
              </w:rPr>
              <w:t>0.780</w:t>
            </w:r>
          </w:p>
        </w:tc>
        <w:tc>
          <w:tcPr>
            <w:tcW w:w="9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2CA23C0" w14:textId="77777777" w:rsidR="00F63AF3" w:rsidRDefault="00500100">
            <w:pPr>
              <w:jc w:val="center"/>
            </w:pPr>
            <w:r>
              <w:rPr>
                <w:color w:val="1A2335"/>
                <w:sz w:val="19"/>
                <w:szCs w:val="19"/>
              </w:rPr>
              <w:t>—</w:t>
            </w:r>
          </w:p>
        </w:tc>
        <w:tc>
          <w:tcPr>
            <w:tcW w:w="13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6FCA3BE9" w14:textId="77777777" w:rsidR="00F63AF3" w:rsidRDefault="00500100">
            <w:pPr>
              <w:jc w:val="center"/>
            </w:pPr>
            <w:r>
              <w:rPr>
                <w:color w:val="1A2335"/>
                <w:sz w:val="19"/>
                <w:szCs w:val="19"/>
              </w:rPr>
              <w:t>189.16</w:t>
            </w:r>
          </w:p>
        </w:tc>
        <w:tc>
          <w:tcPr>
            <w:tcW w:w="10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C695E91" w14:textId="77777777" w:rsidR="00F63AF3" w:rsidRDefault="00500100">
            <w:pPr>
              <w:jc w:val="center"/>
            </w:pPr>
            <w:r>
              <w:rPr>
                <w:color w:val="1A2335"/>
                <w:sz w:val="19"/>
                <w:szCs w:val="19"/>
              </w:rPr>
              <w:t>&lt; .001</w:t>
            </w:r>
          </w:p>
        </w:tc>
      </w:tr>
      <w:tr w:rsidR="00F63AF3" w14:paraId="6F291C5F" w14:textId="77777777">
        <w:tblPrEx>
          <w:tblCellMar>
            <w:top w:w="0" w:type="dxa"/>
            <w:bottom w:w="0" w:type="dxa"/>
          </w:tblCellMar>
        </w:tblPrEx>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5221C1A" w14:textId="77777777" w:rsidR="00F63AF3" w:rsidRDefault="00500100">
            <w:r>
              <w:rPr>
                <w:color w:val="1A2335"/>
                <w:sz w:val="19"/>
                <w:szCs w:val="19"/>
              </w:rPr>
              <w:t>Block 2</w:t>
            </w:r>
          </w:p>
        </w:tc>
        <w:tc>
          <w:tcPr>
            <w:tcW w:w="32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89D1565" w14:textId="77777777" w:rsidR="00F63AF3" w:rsidRDefault="00500100">
            <w:pPr>
              <w:jc w:val="center"/>
            </w:pPr>
            <w:r>
              <w:rPr>
                <w:color w:val="1A2335"/>
                <w:sz w:val="19"/>
                <w:szCs w:val="19"/>
              </w:rPr>
              <w:t>ξ₁_c + ξ₂_c + ξ₁_c × ξ₂_c (interaction product term)</w:t>
            </w:r>
          </w:p>
        </w:tc>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D4A9895" w14:textId="77777777" w:rsidR="00F63AF3" w:rsidRDefault="00500100">
            <w:pPr>
              <w:jc w:val="center"/>
            </w:pPr>
            <w:r>
              <w:rPr>
                <w:color w:val="1A2335"/>
                <w:sz w:val="19"/>
                <w:szCs w:val="19"/>
              </w:rPr>
              <w:t>0.813</w:t>
            </w:r>
          </w:p>
        </w:tc>
        <w:tc>
          <w:tcPr>
            <w:tcW w:w="9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1CC849D" w14:textId="77777777" w:rsidR="00F63AF3" w:rsidRDefault="00500100">
            <w:pPr>
              <w:jc w:val="center"/>
            </w:pPr>
            <w:r>
              <w:rPr>
                <w:color w:val="1A2335"/>
                <w:sz w:val="19"/>
                <w:szCs w:val="19"/>
              </w:rPr>
              <w:t>0.033</w:t>
            </w:r>
          </w:p>
        </w:tc>
        <w:tc>
          <w:tcPr>
            <w:tcW w:w="13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E0857E0" w14:textId="77777777" w:rsidR="00F63AF3" w:rsidRDefault="00500100">
            <w:pPr>
              <w:jc w:val="center"/>
            </w:pPr>
            <w:r>
              <w:rPr>
                <w:color w:val="1A2335"/>
                <w:sz w:val="19"/>
                <w:szCs w:val="19"/>
              </w:rPr>
              <w:t>23.98</w:t>
            </w:r>
          </w:p>
        </w:tc>
        <w:tc>
          <w:tcPr>
            <w:tcW w:w="10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711FE1DF" w14:textId="77777777" w:rsidR="00F63AF3" w:rsidRDefault="00500100">
            <w:pPr>
              <w:jc w:val="center"/>
            </w:pPr>
            <w:r>
              <w:rPr>
                <w:color w:val="1A2335"/>
                <w:sz w:val="19"/>
                <w:szCs w:val="19"/>
              </w:rPr>
              <w:t>&lt; .001</w:t>
            </w:r>
          </w:p>
        </w:tc>
      </w:tr>
    </w:tbl>
    <w:p w14:paraId="17326C2A" w14:textId="77777777" w:rsidR="00F63AF3" w:rsidRDefault="00F63AF3">
      <w:pPr>
        <w:spacing w:before="60" w:after="60"/>
      </w:pPr>
    </w:p>
    <w:p w14:paraId="046C4048" w14:textId="77777777" w:rsidR="00F63AF3" w:rsidRDefault="00500100">
      <w:pPr>
        <w:pBdr>
          <w:bottom w:val="single" w:sz="4" w:space="0" w:color="4A235A"/>
        </w:pBdr>
        <w:spacing w:before="220" w:after="100"/>
      </w:pPr>
      <w:r>
        <w:rPr>
          <w:b/>
          <w:bCs/>
          <w:color w:val="4A235A"/>
          <w:sz w:val="24"/>
          <w:szCs w:val="24"/>
        </w:rPr>
        <w:t>11.2  Why Mean-Centring Matters</w:t>
      </w:r>
    </w:p>
    <w:p w14:paraId="47EAC666" w14:textId="77777777" w:rsidR="00F63AF3" w:rsidRDefault="00500100">
      <w:pPr>
        <w:pBdr>
          <w:left w:val="single" w:sz="18" w:space="0" w:color="4A235A"/>
        </w:pBdr>
        <w:shd w:val="clear" w:color="auto" w:fill="F0EBF8"/>
        <w:spacing w:before="120" w:after="120" w:line="320" w:lineRule="auto"/>
        <w:ind w:left="360" w:right="200"/>
      </w:pPr>
      <w:r>
        <w:rPr>
          <w:b/>
          <w:bCs/>
          <w:color w:val="4A235A"/>
          <w:sz w:val="21"/>
          <w:szCs w:val="21"/>
        </w:rPr>
        <w:t xml:space="preserve">IN PLAIN ENGLISH:  </w:t>
      </w:r>
      <w:r>
        <w:rPr>
          <w:color w:val="2D3748"/>
          <w:sz w:val="21"/>
          <w:szCs w:val="21"/>
        </w:rPr>
        <w:t>Before creating the interaction term (ξ₁ × ξ₂), you must subtract the mean from each variable (mean-centring). Without this, ξ₁ and ξ₂ and ξ₁×ξ₂ become extremely correlated with each other — a problem called multicollinearity that makes the regression unstable and uninterpretable.</w:t>
      </w:r>
    </w:p>
    <w:p w14:paraId="14CA1265" w14:textId="77777777" w:rsidR="00F63AF3" w:rsidRDefault="00F63AF3">
      <w:pPr>
        <w:spacing w:before="60" w:after="60"/>
      </w:pPr>
    </w:p>
    <w:p w14:paraId="27307047" w14:textId="77777777" w:rsidR="00F63AF3" w:rsidRDefault="00500100">
      <w:pPr>
        <w:spacing w:before="120" w:after="80" w:line="340" w:lineRule="auto"/>
      </w:pPr>
      <w:r>
        <w:rPr>
          <w:color w:val="1A2335"/>
        </w:rPr>
        <w:t>Mean-centring transforms: ξ₁_c = ξ₁ − mean(ξ₁) and ξ₂_c = ξ₂ − mean(ξ₂). The product term ξ₁_c × ξ₂_c then captures the unique interaction effect, orthogonal (statistically separated) from the main effects. The interaction coefficient (B = −0.111, β = −0.211, t = −2.09, p = .038) is the pure moderation effect after accounting for the main effects.</w:t>
      </w:r>
    </w:p>
    <w:p w14:paraId="0850277E" w14:textId="77777777" w:rsidR="00F63AF3" w:rsidRDefault="00F63AF3">
      <w:pPr>
        <w:spacing w:before="60" w:after="60"/>
      </w:pPr>
    </w:p>
    <w:p w14:paraId="0607BC22" w14:textId="77777777" w:rsidR="00F63AF3" w:rsidRDefault="00500100">
      <w:pPr>
        <w:pBdr>
          <w:bottom w:val="single" w:sz="4" w:space="0" w:color="4A235A"/>
        </w:pBdr>
        <w:spacing w:before="220" w:after="100"/>
      </w:pPr>
      <w:r>
        <w:rPr>
          <w:b/>
          <w:bCs/>
          <w:color w:val="4A235A"/>
          <w:sz w:val="24"/>
          <w:szCs w:val="24"/>
        </w:rPr>
        <w:t>11.3  Interpreting the Negative Interaction — Substitution</w:t>
      </w:r>
    </w:p>
    <w:p w14:paraId="71C91008" w14:textId="77777777" w:rsidR="00F63AF3" w:rsidRDefault="00500100">
      <w:pPr>
        <w:spacing w:before="120" w:after="80" w:line="340" w:lineRule="auto"/>
      </w:pPr>
      <w:r>
        <w:rPr>
          <w:color w:val="1A2335"/>
        </w:rPr>
        <w:t xml:space="preserve">The negative interaction </w:t>
      </w:r>
      <w:proofErr w:type="gramStart"/>
      <w:r>
        <w:rPr>
          <w:color w:val="1A2335"/>
        </w:rPr>
        <w:t>means:</w:t>
      </w:r>
      <w:proofErr w:type="gramEnd"/>
      <w:r>
        <w:rPr>
          <w:color w:val="1A2335"/>
        </w:rPr>
        <w:t xml:space="preserve"> as ξ₂ (institutional quality) increases, the slope of ξ₁ (AI readiness) on η₁ (SC performance) decreases. At high institutional quality, AI readiness contributes less to SC performance. The interaction plot (three lines: low, mean, and high institutions) shows the slopes converging at high levels of AI readiness.</w:t>
      </w:r>
    </w:p>
    <w:p w14:paraId="4978FF23" w14:textId="77777777" w:rsidR="00F63AF3" w:rsidRDefault="00500100">
      <w:pPr>
        <w:spacing w:before="60" w:after="60" w:line="310" w:lineRule="auto"/>
        <w:ind w:left="360" w:hanging="260"/>
      </w:pPr>
      <w:r>
        <w:rPr>
          <w:color w:val="2D3748"/>
          <w:sz w:val="21"/>
          <w:szCs w:val="21"/>
        </w:rPr>
        <w:t>●  Low institutions (−1 SD): AI readiness has a steep positive slope — AI can compensate for weak governance</w:t>
      </w:r>
    </w:p>
    <w:p w14:paraId="41E0C1D9" w14:textId="77777777" w:rsidR="00F63AF3" w:rsidRDefault="00500100">
      <w:pPr>
        <w:spacing w:before="60" w:after="60" w:line="310" w:lineRule="auto"/>
        <w:ind w:left="360" w:hanging="260"/>
      </w:pPr>
      <w:r>
        <w:rPr>
          <w:color w:val="2D3748"/>
          <w:sz w:val="21"/>
          <w:szCs w:val="21"/>
        </w:rPr>
        <w:t>●  Mean institutions: AI readiness has a moderate positive slope — the average relationship</w:t>
      </w:r>
    </w:p>
    <w:p w14:paraId="66797D64" w14:textId="77777777" w:rsidR="00F63AF3" w:rsidRDefault="00500100">
      <w:pPr>
        <w:spacing w:before="60" w:after="60" w:line="310" w:lineRule="auto"/>
        <w:ind w:left="360" w:hanging="260"/>
      </w:pPr>
      <w:r>
        <w:rPr>
          <w:color w:val="2D3748"/>
          <w:sz w:val="21"/>
          <w:szCs w:val="21"/>
        </w:rPr>
        <w:t>●  High institutions (+1 SD): AI readiness has a shallow positive slope — little additional gain from AI when governance is already excellent</w:t>
      </w:r>
    </w:p>
    <w:p w14:paraId="5DCC642E" w14:textId="77777777" w:rsidR="00F63AF3" w:rsidRDefault="00F63AF3">
      <w:pPr>
        <w:spacing w:before="40" w:after="60"/>
      </w:pPr>
    </w:p>
    <w:p w14:paraId="052C2669"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lastRenderedPageBreak/>
        <w:t xml:space="preserve">THE POLICY IMPLICATION:  </w:t>
      </w:r>
      <w:r>
        <w:rPr>
          <w:color w:val="2D3748"/>
          <w:sz w:val="21"/>
          <w:szCs w:val="21"/>
        </w:rPr>
        <w:t>For countries with weak governance (much of Sub-Saharan Africa, parts of South Asia), AI readiness investment has higher marginal returns to supply chain performance. For highly governed countries (Scandinavian nations, Singapore), further AI investment in logistics has diminishing returns — governance has already done the heavy lifting. Policy should target AI investment strategically based on institutional context.</w:t>
      </w:r>
    </w:p>
    <w:p w14:paraId="09CA3AA0" w14:textId="77777777" w:rsidR="00F63AF3" w:rsidRDefault="00F63AF3">
      <w:pPr>
        <w:spacing w:before="100" w:after="60"/>
      </w:pPr>
    </w:p>
    <w:p w14:paraId="2E37D39C" w14:textId="77777777" w:rsidR="00F63AF3" w:rsidRDefault="00500100">
      <w:r>
        <w:br w:type="page"/>
      </w:r>
    </w:p>
    <w:p w14:paraId="2EBDC617" w14:textId="77777777" w:rsidR="00F63AF3" w:rsidRDefault="00500100">
      <w:pPr>
        <w:shd w:val="clear" w:color="auto" w:fill="B8860B"/>
        <w:spacing w:before="320" w:after="160"/>
        <w:ind w:left="160" w:right="160"/>
      </w:pPr>
      <w:r>
        <w:rPr>
          <w:b/>
          <w:bCs/>
          <w:color w:val="FFFFFF"/>
          <w:sz w:val="26"/>
          <w:szCs w:val="26"/>
        </w:rPr>
        <w:lastRenderedPageBreak/>
        <w:t>PART 12  COMPLETE HYPOTHESIS SUMMARY &amp; DISCUSSION</w:t>
      </w:r>
    </w:p>
    <w:p w14:paraId="41651F98" w14:textId="77777777" w:rsidR="00F63AF3" w:rsidRDefault="00F63AF3">
      <w:pPr>
        <w:spacing w:before="80" w:after="60"/>
      </w:pPr>
    </w:p>
    <w:p w14:paraId="5F79EFBF" w14:textId="77777777" w:rsidR="00F63AF3" w:rsidRDefault="00500100">
      <w:pPr>
        <w:pBdr>
          <w:bottom w:val="single" w:sz="4" w:space="0" w:color="B8860B"/>
        </w:pBdr>
        <w:spacing w:before="220" w:after="100"/>
      </w:pPr>
      <w:r>
        <w:rPr>
          <w:b/>
          <w:bCs/>
          <w:color w:val="B8860B"/>
          <w:sz w:val="24"/>
          <w:szCs w:val="24"/>
        </w:rPr>
        <w:t>12.1  All Hypotheses at a Glance</w:t>
      </w:r>
    </w:p>
    <w:p w14:paraId="63EF50F2" w14:textId="77777777" w:rsidR="00F63AF3" w:rsidRDefault="00F63AF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1743"/>
        <w:gridCol w:w="1719"/>
        <w:gridCol w:w="1661"/>
        <w:gridCol w:w="2787"/>
      </w:tblGrid>
      <w:tr w:rsidR="00F63AF3" w14:paraId="785DE3A3" w14:textId="77777777">
        <w:tblPrEx>
          <w:tblCellMar>
            <w:top w:w="0" w:type="dxa"/>
            <w:bottom w:w="0" w:type="dxa"/>
          </w:tblCellMar>
        </w:tblPrEx>
        <w:trPr>
          <w:tblHeader/>
        </w:trPr>
        <w:tc>
          <w:tcPr>
            <w:tcW w:w="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6F013698" w14:textId="77777777" w:rsidR="00F63AF3" w:rsidRDefault="00500100">
            <w:pPr>
              <w:jc w:val="center"/>
            </w:pPr>
            <w:r>
              <w:rPr>
                <w:b/>
                <w:bCs/>
                <w:color w:val="FFFFFF"/>
                <w:sz w:val="19"/>
                <w:szCs w:val="19"/>
              </w:rPr>
              <w:t>Hypothesis</w:t>
            </w:r>
          </w:p>
        </w:tc>
        <w:tc>
          <w:tcPr>
            <w:tcW w:w="1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C984787" w14:textId="77777777" w:rsidR="00F63AF3" w:rsidRDefault="00500100">
            <w:pPr>
              <w:jc w:val="center"/>
            </w:pPr>
            <w:r>
              <w:rPr>
                <w:b/>
                <w:bCs/>
                <w:color w:val="FFFFFF"/>
                <w:sz w:val="19"/>
                <w:szCs w:val="19"/>
              </w:rPr>
              <w:t>Prediction</w:t>
            </w:r>
          </w:p>
        </w:tc>
        <w:tc>
          <w:tcPr>
            <w:tcW w:w="18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18FCC583" w14:textId="77777777" w:rsidR="00F63AF3" w:rsidRDefault="00500100">
            <w:pPr>
              <w:jc w:val="center"/>
            </w:pPr>
            <w:r>
              <w:rPr>
                <w:b/>
                <w:bCs/>
                <w:color w:val="FFFFFF"/>
                <w:sz w:val="19"/>
                <w:szCs w:val="19"/>
              </w:rPr>
              <w:t>Key Result</w:t>
            </w:r>
          </w:p>
        </w:tc>
        <w:tc>
          <w:tcPr>
            <w:tcW w:w="1700"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3431E04C" w14:textId="77777777" w:rsidR="00F63AF3" w:rsidRDefault="00500100">
            <w:pPr>
              <w:jc w:val="center"/>
            </w:pPr>
            <w:r>
              <w:rPr>
                <w:b/>
                <w:bCs/>
                <w:color w:val="FFFFFF"/>
                <w:sz w:val="19"/>
                <w:szCs w:val="19"/>
              </w:rPr>
              <w:t>Decision</w:t>
            </w:r>
          </w:p>
        </w:tc>
        <w:tc>
          <w:tcPr>
            <w:tcW w:w="2926" w:type="dxa"/>
            <w:tcBorders>
              <w:top w:val="single" w:sz="10" w:space="0" w:color="0D1B3E"/>
              <w:left w:val="single" w:sz="4" w:space="0" w:color="C5D0DC"/>
              <w:bottom w:val="single" w:sz="10" w:space="0" w:color="0D1B3E"/>
              <w:right w:val="single" w:sz="4" w:space="0" w:color="C5D0DC"/>
            </w:tcBorders>
            <w:shd w:val="clear" w:color="auto" w:fill="0D1B3E"/>
            <w:tcMar>
              <w:top w:w="80" w:type="dxa"/>
              <w:left w:w="120" w:type="dxa"/>
              <w:bottom w:w="80" w:type="dxa"/>
              <w:right w:w="120" w:type="dxa"/>
            </w:tcMar>
            <w:vAlign w:val="center"/>
          </w:tcPr>
          <w:p w14:paraId="787695CD" w14:textId="77777777" w:rsidR="00F63AF3" w:rsidRDefault="00500100">
            <w:pPr>
              <w:jc w:val="center"/>
            </w:pPr>
            <w:r>
              <w:rPr>
                <w:b/>
                <w:bCs/>
                <w:color w:val="FFFFFF"/>
                <w:sz w:val="19"/>
                <w:szCs w:val="19"/>
              </w:rPr>
              <w:t>What It Means</w:t>
            </w:r>
          </w:p>
        </w:tc>
      </w:tr>
      <w:tr w:rsidR="00F63AF3" w14:paraId="1923860E" w14:textId="77777777">
        <w:tblPrEx>
          <w:tblCellMar>
            <w:top w:w="0" w:type="dxa"/>
            <w:bottom w:w="0" w:type="dxa"/>
          </w:tblCellMar>
        </w:tblPrEx>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44F2E252" w14:textId="77777777" w:rsidR="00F63AF3" w:rsidRDefault="00500100">
            <w:r>
              <w:rPr>
                <w:b/>
                <w:bCs/>
                <w:color w:val="1A2335"/>
                <w:sz w:val="19"/>
                <w:szCs w:val="19"/>
              </w:rPr>
              <w:t>H1a</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4E1323D" w14:textId="77777777" w:rsidR="00F63AF3" w:rsidRDefault="00500100">
            <w:pPr>
              <w:jc w:val="center"/>
            </w:pPr>
            <w:r>
              <w:rPr>
                <w:color w:val="1A2335"/>
                <w:sz w:val="19"/>
                <w:szCs w:val="19"/>
              </w:rPr>
              <w:t>ξ₁ → η₁ (+)</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E512ED1" w14:textId="77777777" w:rsidR="00F63AF3" w:rsidRDefault="00500100">
            <w:pPr>
              <w:jc w:val="center"/>
            </w:pPr>
            <w:r>
              <w:rPr>
                <w:color w:val="1A2335"/>
                <w:sz w:val="19"/>
                <w:szCs w:val="19"/>
              </w:rPr>
              <w:t>β = 0.462, p &lt; .001</w:t>
            </w:r>
          </w:p>
        </w:tc>
        <w:tc>
          <w:tcPr>
            <w:tcW w:w="1700"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4B7DEDE7" w14:textId="77777777" w:rsidR="00F63AF3" w:rsidRDefault="00500100">
            <w:pPr>
              <w:jc w:val="center"/>
            </w:pPr>
            <w:r>
              <w:rPr>
                <w:color w:val="1A5C39"/>
                <w:sz w:val="19"/>
                <w:szCs w:val="19"/>
              </w:rPr>
              <w:t>✓</w:t>
            </w:r>
            <w:r>
              <w:rPr>
                <w:color w:val="1A5C39"/>
                <w:sz w:val="19"/>
                <w:szCs w:val="19"/>
              </w:rPr>
              <w:t xml:space="preserve"> SUPPORTED</w:t>
            </w:r>
          </w:p>
        </w:tc>
        <w:tc>
          <w:tcPr>
            <w:tcW w:w="2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91C98ED" w14:textId="77777777" w:rsidR="00F63AF3" w:rsidRDefault="00500100">
            <w:pPr>
              <w:jc w:val="center"/>
            </w:pPr>
            <w:r>
              <w:rPr>
                <w:color w:val="1A2335"/>
                <w:sz w:val="19"/>
                <w:szCs w:val="19"/>
              </w:rPr>
              <w:t>AI readiness is a significant macro-level driver of supply chain performance</w:t>
            </w:r>
          </w:p>
        </w:tc>
      </w:tr>
      <w:tr w:rsidR="00F63AF3" w14:paraId="01118860" w14:textId="77777777">
        <w:tblPrEx>
          <w:tblCellMar>
            <w:top w:w="0" w:type="dxa"/>
            <w:bottom w:w="0" w:type="dxa"/>
          </w:tblCellMar>
        </w:tblPrEx>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02DA8548" w14:textId="77777777" w:rsidR="00F63AF3" w:rsidRDefault="00500100">
            <w:r>
              <w:rPr>
                <w:b/>
                <w:bCs/>
                <w:color w:val="1A2335"/>
                <w:sz w:val="19"/>
                <w:szCs w:val="19"/>
              </w:rPr>
              <w:t>H1b</w:t>
            </w:r>
          </w:p>
        </w:tc>
        <w:tc>
          <w:tcPr>
            <w:tcW w:w="1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437C57E" w14:textId="77777777" w:rsidR="00F63AF3" w:rsidRDefault="00500100">
            <w:pPr>
              <w:jc w:val="center"/>
            </w:pPr>
            <w:r>
              <w:rPr>
                <w:color w:val="1A2335"/>
                <w:sz w:val="19"/>
                <w:szCs w:val="19"/>
              </w:rPr>
              <w:t>ξ₂ → η₁ (+)</w:t>
            </w:r>
          </w:p>
        </w:tc>
        <w:tc>
          <w:tcPr>
            <w:tcW w:w="1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AA03E4E" w14:textId="77777777" w:rsidR="00F63AF3" w:rsidRDefault="00500100">
            <w:pPr>
              <w:jc w:val="center"/>
            </w:pPr>
            <w:r>
              <w:rPr>
                <w:color w:val="1A2335"/>
                <w:sz w:val="19"/>
                <w:szCs w:val="19"/>
              </w:rPr>
              <w:t>β = 0.408, p &lt; .001</w:t>
            </w:r>
          </w:p>
        </w:tc>
        <w:tc>
          <w:tcPr>
            <w:tcW w:w="1700" w:type="dxa"/>
            <w:tcBorders>
              <w:top w:val="single" w:sz="4" w:space="0" w:color="C5D0DC"/>
              <w:left w:val="single" w:sz="4" w:space="0" w:color="C5D0DC"/>
              <w:bottom w:val="single" w:sz="4" w:space="0" w:color="C5D0DC"/>
              <w:right w:val="single" w:sz="4" w:space="0" w:color="C5D0DC"/>
            </w:tcBorders>
            <w:shd w:val="clear" w:color="auto" w:fill="EAF4EE"/>
            <w:tcMar>
              <w:top w:w="80" w:type="dxa"/>
              <w:left w:w="120" w:type="dxa"/>
              <w:bottom w:w="80" w:type="dxa"/>
              <w:right w:w="120" w:type="dxa"/>
            </w:tcMar>
            <w:vAlign w:val="center"/>
          </w:tcPr>
          <w:p w14:paraId="3083046A" w14:textId="77777777" w:rsidR="00F63AF3" w:rsidRDefault="00500100">
            <w:pPr>
              <w:jc w:val="center"/>
            </w:pPr>
            <w:r>
              <w:rPr>
                <w:color w:val="1A5C39"/>
                <w:sz w:val="19"/>
                <w:szCs w:val="19"/>
              </w:rPr>
              <w:t>✓</w:t>
            </w:r>
            <w:r>
              <w:rPr>
                <w:color w:val="1A5C39"/>
                <w:sz w:val="19"/>
                <w:szCs w:val="19"/>
              </w:rPr>
              <w:t xml:space="preserve"> SUPPORTED</w:t>
            </w:r>
          </w:p>
        </w:tc>
        <w:tc>
          <w:tcPr>
            <w:tcW w:w="29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2D4D1453" w14:textId="77777777" w:rsidR="00F63AF3" w:rsidRDefault="00500100">
            <w:pPr>
              <w:jc w:val="center"/>
            </w:pPr>
            <w:r>
              <w:rPr>
                <w:color w:val="1A2335"/>
                <w:sz w:val="19"/>
                <w:szCs w:val="19"/>
              </w:rPr>
              <w:t>Institutional quality is equally powerful — as important as AI itself</w:t>
            </w:r>
          </w:p>
        </w:tc>
      </w:tr>
      <w:tr w:rsidR="00F63AF3" w14:paraId="192F468A" w14:textId="77777777">
        <w:tblPrEx>
          <w:tblCellMar>
            <w:top w:w="0" w:type="dxa"/>
            <w:bottom w:w="0" w:type="dxa"/>
          </w:tblCellMar>
        </w:tblPrEx>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8A984A6" w14:textId="77777777" w:rsidR="00F63AF3" w:rsidRDefault="00500100">
            <w:r>
              <w:rPr>
                <w:b/>
                <w:bCs/>
                <w:color w:val="1A2335"/>
                <w:sz w:val="19"/>
                <w:szCs w:val="19"/>
              </w:rPr>
              <w:t>H1c</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3A528981" w14:textId="77777777" w:rsidR="00F63AF3" w:rsidRDefault="00500100">
            <w:pPr>
              <w:jc w:val="center"/>
            </w:pPr>
            <w:r>
              <w:rPr>
                <w:color w:val="1A2335"/>
                <w:sz w:val="19"/>
                <w:szCs w:val="19"/>
              </w:rPr>
              <w:t>ξ₁×ξ₂ → η₁ (moderate)</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0B71FDDC" w14:textId="77777777" w:rsidR="00F63AF3" w:rsidRDefault="00500100">
            <w:pPr>
              <w:jc w:val="center"/>
            </w:pPr>
            <w:r>
              <w:rPr>
                <w:color w:val="1A2335"/>
                <w:sz w:val="19"/>
                <w:szCs w:val="19"/>
              </w:rPr>
              <w:t>β = −0.102, p = .029</w:t>
            </w:r>
          </w:p>
        </w:tc>
        <w:tc>
          <w:tcPr>
            <w:tcW w:w="1700" w:type="dxa"/>
            <w:tcBorders>
              <w:top w:val="single" w:sz="4" w:space="0" w:color="C5D0DC"/>
              <w:left w:val="single" w:sz="4" w:space="0" w:color="C5D0DC"/>
              <w:bottom w:val="single" w:sz="4" w:space="0" w:color="C5D0DC"/>
              <w:right w:val="single" w:sz="4" w:space="0" w:color="C5D0DC"/>
            </w:tcBorders>
            <w:shd w:val="clear" w:color="auto" w:fill="F0EBF8"/>
            <w:tcMar>
              <w:top w:w="80" w:type="dxa"/>
              <w:left w:w="120" w:type="dxa"/>
              <w:bottom w:w="80" w:type="dxa"/>
              <w:right w:w="120" w:type="dxa"/>
            </w:tcMar>
            <w:vAlign w:val="center"/>
          </w:tcPr>
          <w:p w14:paraId="2F249094" w14:textId="77777777" w:rsidR="00F63AF3" w:rsidRDefault="00500100">
            <w:pPr>
              <w:jc w:val="center"/>
            </w:pPr>
            <w:r>
              <w:rPr>
                <w:color w:val="4A235A"/>
                <w:sz w:val="19"/>
                <w:szCs w:val="19"/>
              </w:rPr>
              <w:t>✓</w:t>
            </w:r>
            <w:r>
              <w:rPr>
                <w:color w:val="4A235A"/>
                <w:sz w:val="19"/>
                <w:szCs w:val="19"/>
              </w:rPr>
              <w:t xml:space="preserve"> SUPPORTED (−)</w:t>
            </w:r>
          </w:p>
        </w:tc>
        <w:tc>
          <w:tcPr>
            <w:tcW w:w="2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8CB4553" w14:textId="77777777" w:rsidR="00F63AF3" w:rsidRDefault="00500100">
            <w:pPr>
              <w:jc w:val="center"/>
            </w:pPr>
            <w:r>
              <w:rPr>
                <w:color w:val="1A2335"/>
                <w:sz w:val="19"/>
                <w:szCs w:val="19"/>
              </w:rPr>
              <w:t>Institutions and AI SUBSTITUTE, not amplify — a novel and counter-intuitive finding</w:t>
            </w:r>
          </w:p>
        </w:tc>
      </w:tr>
      <w:tr w:rsidR="00F63AF3" w14:paraId="083660E3" w14:textId="77777777">
        <w:tblPrEx>
          <w:tblCellMar>
            <w:top w:w="0" w:type="dxa"/>
            <w:bottom w:w="0" w:type="dxa"/>
          </w:tblCellMar>
        </w:tblPrEx>
        <w:tc>
          <w:tcPr>
            <w:tcW w:w="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45B1D740" w14:textId="77777777" w:rsidR="00F63AF3" w:rsidRDefault="00500100">
            <w:r>
              <w:rPr>
                <w:b/>
                <w:bCs/>
                <w:color w:val="1A2335"/>
                <w:sz w:val="19"/>
                <w:szCs w:val="19"/>
              </w:rPr>
              <w:t>H2a</w:t>
            </w:r>
          </w:p>
        </w:tc>
        <w:tc>
          <w:tcPr>
            <w:tcW w:w="1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529B9827" w14:textId="77777777" w:rsidR="00F63AF3" w:rsidRDefault="00500100">
            <w:pPr>
              <w:jc w:val="center"/>
            </w:pPr>
            <w:r>
              <w:rPr>
                <w:color w:val="1A2335"/>
                <w:sz w:val="19"/>
                <w:szCs w:val="19"/>
              </w:rPr>
              <w:t>η₁ mediates ξ₁→η₂</w:t>
            </w:r>
          </w:p>
        </w:tc>
        <w:tc>
          <w:tcPr>
            <w:tcW w:w="1800"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3628EB35" w14:textId="77777777" w:rsidR="00F63AF3" w:rsidRDefault="00500100">
            <w:pPr>
              <w:jc w:val="center"/>
            </w:pPr>
            <w:r>
              <w:rPr>
                <w:color w:val="1A2335"/>
                <w:sz w:val="19"/>
                <w:szCs w:val="19"/>
              </w:rPr>
              <w:t>b = −0.018, p = .743</w:t>
            </w:r>
          </w:p>
        </w:tc>
        <w:tc>
          <w:tcPr>
            <w:tcW w:w="1700" w:type="dxa"/>
            <w:tcBorders>
              <w:top w:val="single" w:sz="4" w:space="0" w:color="C5D0DC"/>
              <w:left w:val="single" w:sz="4" w:space="0" w:color="C5D0DC"/>
              <w:bottom w:val="single" w:sz="4" w:space="0" w:color="C5D0DC"/>
              <w:right w:val="single" w:sz="4" w:space="0" w:color="C5D0DC"/>
            </w:tcBorders>
            <w:shd w:val="clear" w:color="auto" w:fill="FDECEA"/>
            <w:tcMar>
              <w:top w:w="80" w:type="dxa"/>
              <w:left w:w="120" w:type="dxa"/>
              <w:bottom w:w="80" w:type="dxa"/>
              <w:right w:w="120" w:type="dxa"/>
            </w:tcMar>
            <w:vAlign w:val="center"/>
          </w:tcPr>
          <w:p w14:paraId="5AD41E54" w14:textId="77777777" w:rsidR="00F63AF3" w:rsidRDefault="00500100">
            <w:pPr>
              <w:jc w:val="center"/>
            </w:pPr>
            <w:r>
              <w:rPr>
                <w:color w:val="7B1010"/>
                <w:sz w:val="19"/>
                <w:szCs w:val="19"/>
              </w:rPr>
              <w:t>✗</w:t>
            </w:r>
            <w:r>
              <w:rPr>
                <w:color w:val="7B1010"/>
                <w:sz w:val="19"/>
                <w:szCs w:val="19"/>
              </w:rPr>
              <w:t xml:space="preserve"> NOT SUPPORTED</w:t>
            </w:r>
          </w:p>
        </w:tc>
        <w:tc>
          <w:tcPr>
            <w:tcW w:w="2926" w:type="dxa"/>
            <w:tcBorders>
              <w:top w:val="single" w:sz="4" w:space="0" w:color="C5D0DC"/>
              <w:left w:val="single" w:sz="4" w:space="0" w:color="C5D0DC"/>
              <w:bottom w:val="single" w:sz="4" w:space="0" w:color="C5D0DC"/>
              <w:right w:val="single" w:sz="4" w:space="0" w:color="C5D0DC"/>
            </w:tcBorders>
            <w:shd w:val="clear" w:color="auto" w:fill="FFFFFF"/>
            <w:tcMar>
              <w:top w:w="80" w:type="dxa"/>
              <w:left w:w="120" w:type="dxa"/>
              <w:bottom w:w="80" w:type="dxa"/>
              <w:right w:w="120" w:type="dxa"/>
            </w:tcMar>
            <w:vAlign w:val="center"/>
          </w:tcPr>
          <w:p w14:paraId="169C60B3" w14:textId="77777777" w:rsidR="00F63AF3" w:rsidRDefault="00500100">
            <w:pPr>
              <w:jc w:val="center"/>
            </w:pPr>
            <w:r>
              <w:rPr>
                <w:color w:val="1A2335"/>
                <w:sz w:val="19"/>
                <w:szCs w:val="19"/>
              </w:rPr>
              <w:t>Mediation fails — SC performance does not carry AI's economic effect</w:t>
            </w:r>
          </w:p>
        </w:tc>
      </w:tr>
      <w:tr w:rsidR="00F63AF3" w14:paraId="2A5C8F56" w14:textId="77777777">
        <w:tblPrEx>
          <w:tblCellMar>
            <w:top w:w="0" w:type="dxa"/>
            <w:bottom w:w="0" w:type="dxa"/>
          </w:tblCellMar>
        </w:tblPrEx>
        <w:tc>
          <w:tcPr>
            <w:tcW w:w="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92F9E3C" w14:textId="77777777" w:rsidR="00F63AF3" w:rsidRDefault="00500100">
            <w:r>
              <w:rPr>
                <w:color w:val="1A2335"/>
                <w:sz w:val="19"/>
                <w:szCs w:val="19"/>
              </w:rPr>
              <w:t>Direct</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2D63F5D" w14:textId="77777777" w:rsidR="00F63AF3" w:rsidRDefault="00500100">
            <w:pPr>
              <w:jc w:val="center"/>
            </w:pPr>
            <w:r>
              <w:rPr>
                <w:color w:val="1A2335"/>
                <w:sz w:val="19"/>
                <w:szCs w:val="19"/>
              </w:rPr>
              <w:t>ξ₁ → η₂ (direct)</w:t>
            </w:r>
          </w:p>
        </w:tc>
        <w:tc>
          <w:tcPr>
            <w:tcW w:w="1800"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104984EA" w14:textId="77777777" w:rsidR="00F63AF3" w:rsidRDefault="00500100">
            <w:pPr>
              <w:jc w:val="center"/>
            </w:pPr>
            <w:r>
              <w:rPr>
                <w:color w:val="1A2335"/>
                <w:sz w:val="19"/>
                <w:szCs w:val="19"/>
              </w:rPr>
              <w:t>β = 0.340, p = .001</w:t>
            </w:r>
          </w:p>
        </w:tc>
        <w:tc>
          <w:tcPr>
            <w:tcW w:w="1700" w:type="dxa"/>
            <w:tcBorders>
              <w:top w:val="single" w:sz="4" w:space="0" w:color="C5D0DC"/>
              <w:left w:val="single" w:sz="4" w:space="0" w:color="C5D0DC"/>
              <w:bottom w:val="single" w:sz="4" w:space="0" w:color="C5D0DC"/>
              <w:right w:val="single" w:sz="4" w:space="0" w:color="C5D0DC"/>
            </w:tcBorders>
            <w:shd w:val="clear" w:color="auto" w:fill="EBF4FA"/>
            <w:tcMar>
              <w:top w:w="80" w:type="dxa"/>
              <w:left w:w="120" w:type="dxa"/>
              <w:bottom w:w="80" w:type="dxa"/>
              <w:right w:w="120" w:type="dxa"/>
            </w:tcMar>
            <w:vAlign w:val="center"/>
          </w:tcPr>
          <w:p w14:paraId="6F7CCC56" w14:textId="77777777" w:rsidR="00F63AF3" w:rsidRDefault="00500100">
            <w:pPr>
              <w:jc w:val="center"/>
            </w:pPr>
            <w:r>
              <w:rPr>
                <w:color w:val="0E6B7A"/>
                <w:sz w:val="19"/>
                <w:szCs w:val="19"/>
              </w:rPr>
              <w:t>→ SIGNIFICANT</w:t>
            </w:r>
          </w:p>
        </w:tc>
        <w:tc>
          <w:tcPr>
            <w:tcW w:w="2926" w:type="dxa"/>
            <w:tcBorders>
              <w:top w:val="single" w:sz="4" w:space="0" w:color="C5D0DC"/>
              <w:left w:val="single" w:sz="4" w:space="0" w:color="C5D0DC"/>
              <w:bottom w:val="single" w:sz="4" w:space="0" w:color="C5D0DC"/>
              <w:right w:val="single" w:sz="4" w:space="0" w:color="C5D0DC"/>
            </w:tcBorders>
            <w:shd w:val="clear" w:color="auto" w:fill="F4F6F8"/>
            <w:tcMar>
              <w:top w:w="80" w:type="dxa"/>
              <w:left w:w="120" w:type="dxa"/>
              <w:bottom w:w="80" w:type="dxa"/>
              <w:right w:w="120" w:type="dxa"/>
            </w:tcMar>
            <w:vAlign w:val="center"/>
          </w:tcPr>
          <w:p w14:paraId="21B7FC73" w14:textId="77777777" w:rsidR="00F63AF3" w:rsidRDefault="00500100">
            <w:pPr>
              <w:jc w:val="center"/>
            </w:pPr>
            <w:r>
              <w:rPr>
                <w:color w:val="1A2335"/>
                <w:sz w:val="19"/>
                <w:szCs w:val="19"/>
              </w:rPr>
              <w:t>AI directly drives economic performance — independent of supply chains</w:t>
            </w:r>
          </w:p>
        </w:tc>
      </w:tr>
    </w:tbl>
    <w:p w14:paraId="3BF39BA0" w14:textId="77777777" w:rsidR="00F63AF3" w:rsidRDefault="00F63AF3">
      <w:pPr>
        <w:spacing w:before="80" w:after="60"/>
      </w:pPr>
    </w:p>
    <w:p w14:paraId="0BA62A9C" w14:textId="77777777" w:rsidR="00F63AF3" w:rsidRDefault="00500100">
      <w:pPr>
        <w:pBdr>
          <w:bottom w:val="single" w:sz="4" w:space="0" w:color="B8860B"/>
        </w:pBdr>
        <w:spacing w:before="220" w:after="100"/>
      </w:pPr>
      <w:r>
        <w:rPr>
          <w:b/>
          <w:bCs/>
          <w:color w:val="B8860B"/>
          <w:sz w:val="24"/>
          <w:szCs w:val="24"/>
        </w:rPr>
        <w:t>12.2  The Three Research Questions Answered</w:t>
      </w:r>
    </w:p>
    <w:p w14:paraId="00BD6237" w14:textId="77777777" w:rsidR="00F63AF3" w:rsidRDefault="00F63AF3">
      <w:pPr>
        <w:spacing w:before="40" w:after="60"/>
      </w:pPr>
    </w:p>
    <w:p w14:paraId="7C6D8CA7" w14:textId="77777777" w:rsidR="00F63AF3" w:rsidRDefault="00500100">
      <w:pPr>
        <w:pBdr>
          <w:left w:val="single" w:sz="18" w:space="0" w:color="1A5C39"/>
        </w:pBdr>
        <w:shd w:val="clear" w:color="auto" w:fill="EAF4EE"/>
        <w:spacing w:before="120" w:after="120" w:line="320" w:lineRule="auto"/>
        <w:ind w:left="360" w:right="200"/>
      </w:pPr>
      <w:r>
        <w:rPr>
          <w:b/>
          <w:bCs/>
          <w:color w:val="1A5C39"/>
          <w:sz w:val="21"/>
          <w:szCs w:val="21"/>
        </w:rPr>
        <w:t xml:space="preserve">RQ1: Does AI readiness influence national SC logistics performance?  </w:t>
      </w:r>
      <w:r>
        <w:rPr>
          <w:color w:val="2D3748"/>
          <w:sz w:val="21"/>
          <w:szCs w:val="21"/>
        </w:rPr>
        <w:t>YES — strongly (β = 0.462, p &lt; .001). H1a confirmed. The TOE framework holds at the national macro-level. Countries with higher government AI readiness scores have significantly better logistics performance indices.</w:t>
      </w:r>
    </w:p>
    <w:p w14:paraId="11B9D71C" w14:textId="77777777" w:rsidR="00F63AF3" w:rsidRDefault="00F63AF3">
      <w:pPr>
        <w:spacing w:before="40" w:after="60"/>
      </w:pPr>
    </w:p>
    <w:p w14:paraId="217E1687" w14:textId="77777777" w:rsidR="00F63AF3" w:rsidRDefault="00500100">
      <w:pPr>
        <w:pBdr>
          <w:left w:val="single" w:sz="18" w:space="0" w:color="7B1010"/>
        </w:pBdr>
        <w:shd w:val="clear" w:color="auto" w:fill="FDECEA"/>
        <w:spacing w:before="120" w:after="120" w:line="320" w:lineRule="auto"/>
        <w:ind w:left="360" w:right="200"/>
      </w:pPr>
      <w:r>
        <w:rPr>
          <w:b/>
          <w:bCs/>
          <w:color w:val="7B1010"/>
          <w:sz w:val="21"/>
          <w:szCs w:val="21"/>
        </w:rPr>
        <w:t xml:space="preserve">RQ2: Does SC performance mediate the AI–Economic performance relationship?  </w:t>
      </w:r>
      <w:r>
        <w:rPr>
          <w:color w:val="2D3748"/>
          <w:sz w:val="21"/>
          <w:szCs w:val="21"/>
        </w:rPr>
        <w:t>NO — H2a not supported. The mediation chain breaks at the b-path (η₁ → η₂, p = .743). AI readiness affects economic performance directly (β = 0.340) through routes other than supply chain efficiency.</w:t>
      </w:r>
    </w:p>
    <w:p w14:paraId="7D330C36" w14:textId="77777777" w:rsidR="00F63AF3" w:rsidRDefault="00F63AF3">
      <w:pPr>
        <w:spacing w:before="40" w:after="60"/>
      </w:pPr>
    </w:p>
    <w:p w14:paraId="2A686549" w14:textId="77777777" w:rsidR="00F63AF3" w:rsidRDefault="00500100">
      <w:pPr>
        <w:pBdr>
          <w:left w:val="single" w:sz="18" w:space="0" w:color="B8860B"/>
        </w:pBdr>
        <w:shd w:val="clear" w:color="auto" w:fill="FEF9EC"/>
        <w:spacing w:before="120" w:after="120" w:line="320" w:lineRule="auto"/>
        <w:ind w:left="360" w:right="200"/>
      </w:pPr>
      <w:r>
        <w:rPr>
          <w:b/>
          <w:bCs/>
          <w:color w:val="B8860B"/>
          <w:sz w:val="21"/>
          <w:szCs w:val="21"/>
        </w:rPr>
        <w:t xml:space="preserve">RQ3: What role does institutional quality play in SC performance with AI readiness?  </w:t>
      </w:r>
      <w:r>
        <w:rPr>
          <w:color w:val="2D3748"/>
          <w:sz w:val="21"/>
          <w:szCs w:val="21"/>
        </w:rPr>
        <w:t>Dual role: (1) Direct positive effect — institutions are a strong direct driver of SC performance (H1b, β = 0.408). (2) Substitutive moderator — strong institutions reduce the marginal AI readiness → SC performance effect (H1c, β = −0.102). Governance and AI substitute rather than complement.</w:t>
      </w:r>
    </w:p>
    <w:p w14:paraId="02026A21" w14:textId="77777777" w:rsidR="00F63AF3" w:rsidRDefault="00F63AF3">
      <w:pPr>
        <w:spacing w:before="100" w:after="60"/>
      </w:pPr>
    </w:p>
    <w:p w14:paraId="31AE27D7" w14:textId="77777777" w:rsidR="00F63AF3" w:rsidRDefault="00500100">
      <w:r>
        <w:br w:type="page"/>
      </w:r>
    </w:p>
    <w:p w14:paraId="013B3143" w14:textId="77777777" w:rsidR="00F63AF3" w:rsidRDefault="00500100">
      <w:pPr>
        <w:shd w:val="clear" w:color="auto" w:fill="7B1010"/>
        <w:spacing w:before="320" w:after="160"/>
        <w:ind w:left="160" w:right="160"/>
      </w:pPr>
      <w:r>
        <w:rPr>
          <w:b/>
          <w:bCs/>
          <w:color w:val="FFFFFF"/>
          <w:sz w:val="26"/>
          <w:szCs w:val="26"/>
        </w:rPr>
        <w:lastRenderedPageBreak/>
        <w:t>PART 13  LIMITATIONS, IMPLICATIONS &amp; FUTURE RESEARCH</w:t>
      </w:r>
    </w:p>
    <w:p w14:paraId="56DD8CC3" w14:textId="77777777" w:rsidR="00F63AF3" w:rsidRDefault="00F63AF3">
      <w:pPr>
        <w:spacing w:before="80" w:after="60"/>
      </w:pPr>
    </w:p>
    <w:p w14:paraId="0C6E023D" w14:textId="77777777" w:rsidR="00F63AF3" w:rsidRDefault="00500100">
      <w:pPr>
        <w:pBdr>
          <w:bottom w:val="single" w:sz="4" w:space="0" w:color="7B1010"/>
        </w:pBdr>
        <w:spacing w:before="220" w:after="100"/>
      </w:pPr>
      <w:r>
        <w:rPr>
          <w:b/>
          <w:bCs/>
          <w:color w:val="7B1010"/>
          <w:sz w:val="24"/>
          <w:szCs w:val="24"/>
        </w:rPr>
        <w:t>13.1  Study Limitations</w:t>
      </w:r>
    </w:p>
    <w:p w14:paraId="7358A497" w14:textId="77777777" w:rsidR="00F63AF3" w:rsidRDefault="00500100">
      <w:pPr>
        <w:spacing w:before="120" w:after="80" w:line="340" w:lineRule="auto"/>
      </w:pPr>
      <w:r>
        <w:rPr>
          <w:color w:val="1A2335"/>
        </w:rPr>
        <w:t>Every research study has limitations — honest acknowledgement of them strengthens rather than weakens the work. This study has five main limitations:</w:t>
      </w:r>
    </w:p>
    <w:p w14:paraId="2AAF2B2B" w14:textId="77777777" w:rsidR="00F63AF3" w:rsidRDefault="00F63AF3">
      <w:pPr>
        <w:spacing w:before="40" w:after="60"/>
      </w:pPr>
    </w:p>
    <w:p w14:paraId="1D17E345" w14:textId="77777777" w:rsidR="00F63AF3" w:rsidRDefault="00500100">
      <w:pPr>
        <w:spacing w:before="60" w:after="60" w:line="310" w:lineRule="auto"/>
        <w:ind w:left="360" w:hanging="260"/>
      </w:pPr>
      <w:r>
        <w:rPr>
          <w:color w:val="2D3748"/>
          <w:sz w:val="21"/>
          <w:szCs w:val="21"/>
        </w:rPr>
        <w:t>●  Cross-sectional design (one time point, 2022–2023): Cannot establish that AI readiness caused SC performance improvement — only that they co-occur. Reverse causality (better SC → more AI investment) is possible.</w:t>
      </w:r>
    </w:p>
    <w:p w14:paraId="38768EF5" w14:textId="77777777" w:rsidR="00F63AF3" w:rsidRDefault="00500100">
      <w:pPr>
        <w:spacing w:before="60" w:after="60" w:line="310" w:lineRule="auto"/>
        <w:ind w:left="360" w:hanging="260"/>
      </w:pPr>
      <w:r>
        <w:rPr>
          <w:color w:val="2D3748"/>
          <w:sz w:val="21"/>
          <w:szCs w:val="21"/>
        </w:rPr>
        <w:t>●  Composite index bias: Aggregating multiple indicators into one score may hide within-indicator variation. For example, a country might have high AI score from internet penetration but low AI government strategy score — the composite masks this nuance.</w:t>
      </w:r>
    </w:p>
    <w:p w14:paraId="37570C05" w14:textId="77777777" w:rsidR="00F63AF3" w:rsidRDefault="00500100">
      <w:pPr>
        <w:spacing w:before="60" w:after="60" w:line="310" w:lineRule="auto"/>
        <w:ind w:left="360" w:hanging="260"/>
      </w:pPr>
      <w:r>
        <w:rPr>
          <w:color w:val="2D3748"/>
          <w:sz w:val="21"/>
          <w:szCs w:val="21"/>
        </w:rPr>
        <w:t>●  Endogeneity risk: AI readiness and economic performance are co-evolving. Wealthier countries can afford more AI investment. This creates a simultaneity bias that OLS regression cannot fully resolve without instrumental variables.</w:t>
      </w:r>
    </w:p>
    <w:p w14:paraId="2174EC71" w14:textId="77777777" w:rsidR="00F63AF3" w:rsidRDefault="00500100">
      <w:pPr>
        <w:spacing w:before="60" w:after="60" w:line="310" w:lineRule="auto"/>
        <w:ind w:left="360" w:hanging="260"/>
      </w:pPr>
      <w:r>
        <w:rPr>
          <w:color w:val="2D3748"/>
          <w:sz w:val="21"/>
          <w:szCs w:val="21"/>
        </w:rPr>
        <w:t>●  η₂ non-normality: Economic Performance has skewness 2.368 and kurtosis 8.157. Despite HC3 robust standard errors, extreme outliers (Singapore, Luxembourg) may still exert disproportionate influence on the coefficients.</w:t>
      </w:r>
    </w:p>
    <w:p w14:paraId="1D9F6F9D" w14:textId="77777777" w:rsidR="00F63AF3" w:rsidRDefault="00500100">
      <w:pPr>
        <w:spacing w:before="60" w:after="60" w:line="310" w:lineRule="auto"/>
        <w:ind w:left="360" w:hanging="260"/>
      </w:pPr>
      <w:r>
        <w:rPr>
          <w:color w:val="2D3748"/>
          <w:sz w:val="21"/>
          <w:szCs w:val="21"/>
        </w:rPr>
        <w:t>●  N = 164 discrepancy: SPSS produced N = 164; Python CSV reconstruction produced N = 149. The 15-country difference suggests SPSS used a slightly different imputation or aggregation rule. SPSS is authoritative but the gap should be documented.</w:t>
      </w:r>
    </w:p>
    <w:p w14:paraId="0889953B" w14:textId="77777777" w:rsidR="00F63AF3" w:rsidRDefault="00F63AF3">
      <w:pPr>
        <w:spacing w:before="60" w:after="60"/>
      </w:pPr>
    </w:p>
    <w:p w14:paraId="212EBEF1" w14:textId="77777777" w:rsidR="00F63AF3" w:rsidRDefault="00500100">
      <w:pPr>
        <w:pBdr>
          <w:bottom w:val="single" w:sz="4" w:space="0" w:color="7B1010"/>
        </w:pBdr>
        <w:spacing w:before="220" w:after="100"/>
      </w:pPr>
      <w:r>
        <w:rPr>
          <w:b/>
          <w:bCs/>
          <w:color w:val="7B1010"/>
          <w:sz w:val="24"/>
          <w:szCs w:val="24"/>
        </w:rPr>
        <w:t>13.2  Theoretical and Practical Implications</w:t>
      </w:r>
    </w:p>
    <w:p w14:paraId="195FFA78" w14:textId="77777777" w:rsidR="00F63AF3" w:rsidRDefault="00500100">
      <w:pPr>
        <w:spacing w:before="120" w:after="80" w:line="340" w:lineRule="auto"/>
      </w:pPr>
      <w:r>
        <w:rPr>
          <w:color w:val="1A2335"/>
        </w:rPr>
        <w:t>Despite limitations, the study carries important implications:</w:t>
      </w:r>
    </w:p>
    <w:p w14:paraId="12189C0C" w14:textId="77777777" w:rsidR="00F63AF3" w:rsidRDefault="00500100">
      <w:pPr>
        <w:spacing w:before="60" w:after="60" w:line="310" w:lineRule="auto"/>
        <w:ind w:left="360" w:hanging="260"/>
      </w:pPr>
      <w:r>
        <w:rPr>
          <w:color w:val="2D3748"/>
          <w:sz w:val="21"/>
          <w:szCs w:val="21"/>
        </w:rPr>
        <w:t>●  Theoretical: The substitutive moderation finding challenges the dominant complementarity assumption in technology-institution literature. Boundary conditions of when institutions amplify vs. substitute AI effects need to be theorised.</w:t>
      </w:r>
    </w:p>
    <w:p w14:paraId="552732A7" w14:textId="77777777" w:rsidR="00F63AF3" w:rsidRDefault="00500100">
      <w:pPr>
        <w:spacing w:before="60" w:after="60" w:line="310" w:lineRule="auto"/>
        <w:ind w:left="360" w:hanging="260"/>
      </w:pPr>
      <w:r>
        <w:rPr>
          <w:color w:val="2D3748"/>
          <w:sz w:val="21"/>
          <w:szCs w:val="21"/>
        </w:rPr>
        <w:t>●  Practical — developing nations: AI investment in logistics has highest marginal return where governance is weakest. Policy makers in low-governance contexts should prioritise AI in customs, border management, and tracking systems.</w:t>
      </w:r>
    </w:p>
    <w:p w14:paraId="5BCF16A5" w14:textId="77777777" w:rsidR="00F63AF3" w:rsidRDefault="00500100">
      <w:pPr>
        <w:spacing w:before="60" w:after="60" w:line="310" w:lineRule="auto"/>
        <w:ind w:left="360" w:hanging="260"/>
      </w:pPr>
      <w:r>
        <w:rPr>
          <w:color w:val="2D3748"/>
          <w:sz w:val="21"/>
          <w:szCs w:val="21"/>
        </w:rPr>
        <w:t>●  Practical — developed nations: For high-governance contexts, further AI readiness investment may yield diminishing SC returns. Effort may be better directed to AI applications outside logistics (health, education, productivity).</w:t>
      </w:r>
    </w:p>
    <w:p w14:paraId="32A499F3" w14:textId="77777777" w:rsidR="00F63AF3" w:rsidRDefault="00500100">
      <w:pPr>
        <w:spacing w:before="60" w:after="60" w:line="310" w:lineRule="auto"/>
        <w:ind w:left="360" w:hanging="260"/>
      </w:pPr>
      <w:r>
        <w:rPr>
          <w:color w:val="2D3748"/>
          <w:sz w:val="21"/>
          <w:szCs w:val="21"/>
        </w:rPr>
        <w:t>●  Data: AI readiness directly driving economic performance (β = 0.340) beyond supply chains implies that AI's economic impact is broader than logistics literature has acknowledged — it penetrates productivity, services, innovation ecosystems.</w:t>
      </w:r>
    </w:p>
    <w:p w14:paraId="6FB2C93B" w14:textId="77777777" w:rsidR="00F63AF3" w:rsidRDefault="00F63AF3">
      <w:pPr>
        <w:spacing w:before="60" w:after="60"/>
      </w:pPr>
    </w:p>
    <w:p w14:paraId="38DEC0FD" w14:textId="77777777" w:rsidR="00F63AF3" w:rsidRDefault="00500100">
      <w:pPr>
        <w:pBdr>
          <w:bottom w:val="single" w:sz="4" w:space="0" w:color="7B1010"/>
        </w:pBdr>
        <w:spacing w:before="220" w:after="100"/>
      </w:pPr>
      <w:r>
        <w:rPr>
          <w:b/>
          <w:bCs/>
          <w:color w:val="7B1010"/>
          <w:sz w:val="24"/>
          <w:szCs w:val="24"/>
        </w:rPr>
        <w:t>13.3  Recommended Future Research</w:t>
      </w:r>
    </w:p>
    <w:p w14:paraId="549E7AC2" w14:textId="77777777" w:rsidR="00F63AF3" w:rsidRDefault="00500100">
      <w:pPr>
        <w:spacing w:before="60" w:after="60" w:line="310" w:lineRule="auto"/>
        <w:ind w:left="360" w:hanging="260"/>
      </w:pPr>
      <w:r>
        <w:rPr>
          <w:color w:val="2D3748"/>
          <w:sz w:val="21"/>
          <w:szCs w:val="21"/>
        </w:rPr>
        <w:lastRenderedPageBreak/>
        <w:t xml:space="preserve">●  Panel SEM (2010–2025): Use the full 15-year panel dataset already collected to estimate fixed-effects or dynamic panel models that control for country-specific </w:t>
      </w:r>
      <w:proofErr w:type="spellStart"/>
      <w:r>
        <w:rPr>
          <w:color w:val="2D3748"/>
          <w:sz w:val="21"/>
          <w:szCs w:val="21"/>
        </w:rPr>
        <w:t>unobservables</w:t>
      </w:r>
      <w:proofErr w:type="spellEnd"/>
      <w:r>
        <w:rPr>
          <w:color w:val="2D3748"/>
          <w:sz w:val="21"/>
          <w:szCs w:val="21"/>
        </w:rPr>
        <w:t xml:space="preserve"> and establish temporal precedence.</w:t>
      </w:r>
    </w:p>
    <w:p w14:paraId="5ED83DF0" w14:textId="77777777" w:rsidR="00F63AF3" w:rsidRDefault="00500100">
      <w:pPr>
        <w:spacing w:before="60" w:after="60" w:line="310" w:lineRule="auto"/>
        <w:ind w:left="360" w:hanging="260"/>
      </w:pPr>
      <w:r>
        <w:rPr>
          <w:color w:val="2D3748"/>
          <w:sz w:val="21"/>
          <w:szCs w:val="21"/>
        </w:rPr>
        <w:t>●  Full Amos CFA-SEM: Replace OLS approximation with proper CFA measurement model and Amos path estimation with fit indices (CFI ≥ 0.95, RMSEA ≤ 0.06, SRMR ≤ 0.08).</w:t>
      </w:r>
    </w:p>
    <w:p w14:paraId="28CD1BBF" w14:textId="77777777" w:rsidR="00F63AF3" w:rsidRDefault="00500100">
      <w:pPr>
        <w:spacing w:before="60" w:after="60" w:line="310" w:lineRule="auto"/>
        <w:ind w:left="360" w:hanging="260"/>
      </w:pPr>
      <w:r>
        <w:rPr>
          <w:color w:val="2D3748"/>
          <w:sz w:val="21"/>
          <w:szCs w:val="21"/>
        </w:rPr>
        <w:t>●  Multi-group SEM: Separate models for high-income vs. low/middle-income country groups. The substitution effect may be driven entirely by high-income observations.</w:t>
      </w:r>
    </w:p>
    <w:p w14:paraId="5FAE3604" w14:textId="77777777" w:rsidR="00F63AF3" w:rsidRDefault="00500100">
      <w:pPr>
        <w:spacing w:before="60" w:after="60" w:line="310" w:lineRule="auto"/>
        <w:ind w:left="360" w:hanging="260"/>
      </w:pPr>
      <w:r>
        <w:rPr>
          <w:color w:val="2D3748"/>
          <w:sz w:val="21"/>
          <w:szCs w:val="21"/>
        </w:rPr>
        <w:t>●  Bayesian SEM: Account for uncertainty in small-N cross-national settings and incorporate prior information from related studies.</w:t>
      </w:r>
    </w:p>
    <w:p w14:paraId="395B2A2B" w14:textId="77777777" w:rsidR="00F63AF3" w:rsidRDefault="00500100">
      <w:pPr>
        <w:spacing w:before="60" w:after="60" w:line="310" w:lineRule="auto"/>
        <w:ind w:left="360" w:hanging="260"/>
      </w:pPr>
      <w:r>
        <w:rPr>
          <w:color w:val="2D3748"/>
          <w:sz w:val="21"/>
          <w:szCs w:val="21"/>
        </w:rPr>
        <w:t>●  Additional mediators: Test whether human capital, digital infrastructure, or innovation capacity mediates the AI → Economic performance path identified here.</w:t>
      </w:r>
    </w:p>
    <w:p w14:paraId="796D90FB" w14:textId="77777777" w:rsidR="00F63AF3" w:rsidRDefault="00F63AF3">
      <w:pPr>
        <w:spacing w:before="100" w:after="60"/>
      </w:pPr>
    </w:p>
    <w:p w14:paraId="7B5FD375" w14:textId="77777777" w:rsidR="00F63AF3" w:rsidRDefault="00500100">
      <w:r>
        <w:br w:type="page"/>
      </w:r>
    </w:p>
    <w:p w14:paraId="26402D76" w14:textId="77777777" w:rsidR="00F63AF3" w:rsidRDefault="00500100">
      <w:pPr>
        <w:shd w:val="clear" w:color="auto" w:fill="0E6B7A"/>
        <w:spacing w:before="320" w:after="160"/>
        <w:ind w:left="160" w:right="160"/>
      </w:pPr>
      <w:r>
        <w:rPr>
          <w:b/>
          <w:bCs/>
          <w:color w:val="FFFFFF"/>
          <w:sz w:val="26"/>
          <w:szCs w:val="26"/>
        </w:rPr>
        <w:lastRenderedPageBreak/>
        <w:t>PART 14  GLOSSARY — EVERY TECHNICAL TERM EXPLAINED</w:t>
      </w:r>
    </w:p>
    <w:p w14:paraId="071CC862" w14:textId="77777777" w:rsidR="00F63AF3" w:rsidRDefault="00F63AF3">
      <w:pPr>
        <w:spacing w:before="80" w:after="60"/>
      </w:pPr>
    </w:p>
    <w:p w14:paraId="76401A23" w14:textId="77777777" w:rsidR="00F63AF3" w:rsidRDefault="00500100">
      <w:pPr>
        <w:pBdr>
          <w:left w:val="single" w:sz="18" w:space="0" w:color="0E6B7A"/>
        </w:pBdr>
        <w:shd w:val="clear" w:color="auto" w:fill="EBF4FA"/>
        <w:spacing w:before="120" w:after="120" w:line="320" w:lineRule="auto"/>
        <w:ind w:left="360" w:right="200"/>
      </w:pPr>
      <w:r>
        <w:rPr>
          <w:b/>
          <w:bCs/>
          <w:color w:val="0E6B7A"/>
          <w:sz w:val="21"/>
          <w:szCs w:val="21"/>
        </w:rPr>
        <w:t xml:space="preserve">HOW TO USE THE GLOSSARY:  </w:t>
      </w:r>
      <w:r>
        <w:rPr>
          <w:color w:val="2D3748"/>
          <w:sz w:val="21"/>
          <w:szCs w:val="21"/>
        </w:rPr>
        <w:t>Terms are grouped by theme: Statistical concepts first, then Research methodology terms, then Theoretical concepts. Every term is explained in plain English first, then formally.</w:t>
      </w:r>
    </w:p>
    <w:p w14:paraId="143795F2" w14:textId="77777777" w:rsidR="00F63AF3" w:rsidRDefault="00F63AF3">
      <w:pPr>
        <w:spacing w:before="60" w:after="60"/>
      </w:pPr>
    </w:p>
    <w:p w14:paraId="338027AD" w14:textId="77777777" w:rsidR="00F63AF3" w:rsidRDefault="00500100">
      <w:pPr>
        <w:pBdr>
          <w:bottom w:val="single" w:sz="4" w:space="0" w:color="0E6B7A"/>
        </w:pBdr>
        <w:spacing w:before="220" w:after="100"/>
      </w:pPr>
      <w:r>
        <w:rPr>
          <w:b/>
          <w:bCs/>
          <w:color w:val="0E6B7A"/>
          <w:sz w:val="24"/>
          <w:szCs w:val="24"/>
        </w:rPr>
        <w:t>Statistical Terms</w:t>
      </w:r>
    </w:p>
    <w:p w14:paraId="567EEB9E" w14:textId="77777777" w:rsidR="00F63AF3" w:rsidRDefault="00500100">
      <w:pPr>
        <w:spacing w:before="100" w:after="20"/>
      </w:pPr>
      <w:r>
        <w:rPr>
          <w:b/>
          <w:bCs/>
          <w:color w:val="0D1B3E"/>
          <w:sz w:val="21"/>
          <w:szCs w:val="21"/>
        </w:rPr>
        <w:t>AVE (Average Variance Extracted)</w:t>
      </w:r>
    </w:p>
    <w:p w14:paraId="5E21E915" w14:textId="77777777" w:rsidR="00F63AF3" w:rsidRDefault="00500100">
      <w:pPr>
        <w:spacing w:after="80"/>
        <w:ind w:left="360"/>
      </w:pPr>
      <w:r>
        <w:rPr>
          <w:color w:val="4A5568"/>
          <w:sz w:val="20"/>
          <w:szCs w:val="20"/>
        </w:rPr>
        <w:t>Measures how much of the variance in the indicators is captured by the latent construct vs. random error. AVE ≥ 0.50 means the construct explains more variance than noise. Formula: AVE = Σ(λ²) / n, where λ are the factor loadings.</w:t>
      </w:r>
    </w:p>
    <w:p w14:paraId="55F7BEEB" w14:textId="77777777" w:rsidR="00F63AF3" w:rsidRDefault="00500100">
      <w:pPr>
        <w:spacing w:before="100" w:after="20"/>
      </w:pPr>
      <w:r>
        <w:rPr>
          <w:b/>
          <w:bCs/>
          <w:color w:val="0D1B3E"/>
          <w:sz w:val="21"/>
          <w:szCs w:val="21"/>
        </w:rPr>
        <w:t>Baron &amp; Kenny Mediation</w:t>
      </w:r>
    </w:p>
    <w:p w14:paraId="1C64139E" w14:textId="77777777" w:rsidR="00F63AF3" w:rsidRDefault="00500100">
      <w:pPr>
        <w:spacing w:after="80"/>
        <w:ind w:left="360"/>
      </w:pPr>
      <w:r>
        <w:rPr>
          <w:color w:val="4A5568"/>
          <w:sz w:val="20"/>
          <w:szCs w:val="20"/>
        </w:rPr>
        <w:t>A four-step procedure (1986) for testing whether variable B (mediator) carries the effect of A on C. All four conditions must hold: A→C significant, A→B significant, B→C significant (with A controlled), and the direct A→C effect should reduce or disappear.</w:t>
      </w:r>
    </w:p>
    <w:p w14:paraId="46514A7F" w14:textId="77777777" w:rsidR="00F63AF3" w:rsidRDefault="00500100">
      <w:pPr>
        <w:spacing w:before="100" w:after="20"/>
      </w:pPr>
      <w:r>
        <w:rPr>
          <w:b/>
          <w:bCs/>
          <w:color w:val="0D1B3E"/>
          <w:sz w:val="21"/>
          <w:szCs w:val="21"/>
        </w:rPr>
        <w:t>Composite Reliability (CR)</w:t>
      </w:r>
    </w:p>
    <w:p w14:paraId="37A3C985" w14:textId="77777777" w:rsidR="00F63AF3" w:rsidRDefault="00500100">
      <w:pPr>
        <w:spacing w:after="80"/>
        <w:ind w:left="360"/>
      </w:pPr>
      <w:r>
        <w:rPr>
          <w:color w:val="4A5568"/>
          <w:sz w:val="20"/>
          <w:szCs w:val="20"/>
        </w:rPr>
        <w:t>An alternative to Cronbach's Alpha that accounts for different factor loadings. More precise than α. Threshold: CR ≥ 0.70. Formula: CR = (</w:t>
      </w:r>
      <w:proofErr w:type="spellStart"/>
      <w:r>
        <w:rPr>
          <w:color w:val="4A5568"/>
          <w:sz w:val="20"/>
          <w:szCs w:val="20"/>
        </w:rPr>
        <w:t>Σλ</w:t>
      </w:r>
      <w:proofErr w:type="spellEnd"/>
      <w:r>
        <w:rPr>
          <w:color w:val="4A5568"/>
          <w:sz w:val="20"/>
          <w:szCs w:val="20"/>
        </w:rPr>
        <w:t>)² / [(</w:t>
      </w:r>
      <w:proofErr w:type="spellStart"/>
      <w:r>
        <w:rPr>
          <w:color w:val="4A5568"/>
          <w:sz w:val="20"/>
          <w:szCs w:val="20"/>
        </w:rPr>
        <w:t>Σλ</w:t>
      </w:r>
      <w:proofErr w:type="spellEnd"/>
      <w:r>
        <w:rPr>
          <w:color w:val="4A5568"/>
          <w:sz w:val="20"/>
          <w:szCs w:val="20"/>
        </w:rPr>
        <w:t>)² + Σ(1−λ²)].</w:t>
      </w:r>
    </w:p>
    <w:p w14:paraId="2176D5ED" w14:textId="77777777" w:rsidR="00F63AF3" w:rsidRDefault="00500100">
      <w:pPr>
        <w:spacing w:before="100" w:after="20"/>
      </w:pPr>
      <w:r>
        <w:rPr>
          <w:b/>
          <w:bCs/>
          <w:color w:val="0D1B3E"/>
          <w:sz w:val="21"/>
          <w:szCs w:val="21"/>
        </w:rPr>
        <w:t>Cronbach's Alpha (α)</w:t>
      </w:r>
    </w:p>
    <w:p w14:paraId="66F99A12" w14:textId="77777777" w:rsidR="00F63AF3" w:rsidRDefault="00500100">
      <w:pPr>
        <w:spacing w:after="80"/>
        <w:ind w:left="360"/>
      </w:pPr>
      <w:r>
        <w:rPr>
          <w:color w:val="4A5568"/>
          <w:sz w:val="20"/>
          <w:szCs w:val="20"/>
        </w:rPr>
        <w:t>Measures internal consistency — how well items in a scale hang together. Ranges 0–1. Thresholds: ≥0.70 acceptable, ≥0.80 good, ≥0.90 excellent. Critical assumption: all items tap the same underlying construct.</w:t>
      </w:r>
    </w:p>
    <w:p w14:paraId="10988E7E" w14:textId="77777777" w:rsidR="00F63AF3" w:rsidRDefault="00500100">
      <w:pPr>
        <w:spacing w:before="100" w:after="20"/>
      </w:pPr>
      <w:r>
        <w:rPr>
          <w:b/>
          <w:bCs/>
          <w:color w:val="0D1B3E"/>
          <w:sz w:val="21"/>
          <w:szCs w:val="21"/>
        </w:rPr>
        <w:t>Discriminant Validity</w:t>
      </w:r>
    </w:p>
    <w:p w14:paraId="479F251B" w14:textId="77777777" w:rsidR="00F63AF3" w:rsidRDefault="00500100">
      <w:pPr>
        <w:spacing w:after="80"/>
        <w:ind w:left="360"/>
      </w:pPr>
      <w:r>
        <w:rPr>
          <w:color w:val="4A5568"/>
          <w:sz w:val="20"/>
          <w:szCs w:val="20"/>
        </w:rPr>
        <w:t>Evidence that each construct measures something distinct from the others. Tested via Fornell-Larcker criterion: √AVE for each construct must exceed all pairwise correlations involving that construct.</w:t>
      </w:r>
    </w:p>
    <w:p w14:paraId="3F5F5287" w14:textId="77777777" w:rsidR="00F63AF3" w:rsidRDefault="00500100">
      <w:pPr>
        <w:spacing w:before="100" w:after="20"/>
      </w:pPr>
      <w:r>
        <w:rPr>
          <w:b/>
          <w:bCs/>
          <w:color w:val="0D1B3E"/>
          <w:sz w:val="21"/>
          <w:szCs w:val="21"/>
        </w:rPr>
        <w:t>Effect Size (β)</w:t>
      </w:r>
    </w:p>
    <w:p w14:paraId="46EDD717" w14:textId="77777777" w:rsidR="00F63AF3" w:rsidRDefault="00500100">
      <w:pPr>
        <w:spacing w:after="80"/>
        <w:ind w:left="360"/>
      </w:pPr>
      <w:r>
        <w:rPr>
          <w:color w:val="4A5568"/>
          <w:sz w:val="20"/>
          <w:szCs w:val="20"/>
        </w:rPr>
        <w:t>Standardised regression coefficient showing how many standard deviations the outcome changes per 1 SD change in the predictor. Allows comparison across predictors with different original scales.</w:t>
      </w:r>
    </w:p>
    <w:p w14:paraId="2D61633A" w14:textId="77777777" w:rsidR="00F63AF3" w:rsidRDefault="00500100">
      <w:pPr>
        <w:spacing w:before="100" w:after="20"/>
      </w:pPr>
      <w:r>
        <w:rPr>
          <w:b/>
          <w:bCs/>
          <w:color w:val="0D1B3E"/>
          <w:sz w:val="21"/>
          <w:szCs w:val="21"/>
        </w:rPr>
        <w:t>Endogenous Variable</w:t>
      </w:r>
    </w:p>
    <w:p w14:paraId="0C2861B2" w14:textId="77777777" w:rsidR="00F63AF3" w:rsidRDefault="00500100">
      <w:pPr>
        <w:spacing w:after="80"/>
        <w:ind w:left="360"/>
      </w:pPr>
      <w:r>
        <w:rPr>
          <w:color w:val="4A5568"/>
          <w:sz w:val="20"/>
          <w:szCs w:val="20"/>
        </w:rPr>
        <w:t>In SEM, a variable that is predicted by the model — it is an outcome. Denoted with η (eta). Both SC Performance and Economic Performance are endogenous here.</w:t>
      </w:r>
    </w:p>
    <w:p w14:paraId="043890EE" w14:textId="77777777" w:rsidR="00F63AF3" w:rsidRDefault="00500100">
      <w:pPr>
        <w:spacing w:before="100" w:after="20"/>
      </w:pPr>
      <w:r>
        <w:rPr>
          <w:b/>
          <w:bCs/>
          <w:color w:val="0D1B3E"/>
          <w:sz w:val="21"/>
          <w:szCs w:val="21"/>
        </w:rPr>
        <w:t>Exogenous Variable</w:t>
      </w:r>
    </w:p>
    <w:p w14:paraId="091CB4D5" w14:textId="77777777" w:rsidR="00F63AF3" w:rsidRDefault="00500100">
      <w:pPr>
        <w:spacing w:after="80"/>
        <w:ind w:left="360"/>
      </w:pPr>
      <w:r>
        <w:rPr>
          <w:color w:val="4A5568"/>
          <w:sz w:val="20"/>
          <w:szCs w:val="20"/>
        </w:rPr>
        <w:t>A variable that predicts others but is not predicted by the model — it enters from outside. Denoted with ξ (xi). Both AI Readiness and Institutional Quality are exogenous.</w:t>
      </w:r>
    </w:p>
    <w:p w14:paraId="2D5215F6" w14:textId="77777777" w:rsidR="00F63AF3" w:rsidRDefault="00500100">
      <w:pPr>
        <w:spacing w:before="100" w:after="20"/>
      </w:pPr>
      <w:r>
        <w:rPr>
          <w:b/>
          <w:bCs/>
          <w:color w:val="0D1B3E"/>
          <w:sz w:val="21"/>
          <w:szCs w:val="21"/>
        </w:rPr>
        <w:t>Kurtosis</w:t>
      </w:r>
    </w:p>
    <w:p w14:paraId="41215C41" w14:textId="77777777" w:rsidR="00F63AF3" w:rsidRDefault="00500100">
      <w:pPr>
        <w:spacing w:after="80"/>
        <w:ind w:left="360"/>
      </w:pPr>
      <w:r>
        <w:rPr>
          <w:color w:val="4A5568"/>
          <w:sz w:val="20"/>
          <w:szCs w:val="20"/>
        </w:rPr>
        <w:t>Measures how heavy the tails of a distribution are (relative to a normal distribution). Excess kurtosis = 0 for normal distribution. High positive kurtosis = fat tails = more extreme outliers than expected. η₂ kurtosis = 8.157 is problematically high.</w:t>
      </w:r>
    </w:p>
    <w:p w14:paraId="37DCF3F1" w14:textId="77777777" w:rsidR="00F63AF3" w:rsidRDefault="00500100">
      <w:pPr>
        <w:spacing w:before="100" w:after="20"/>
      </w:pPr>
      <w:r>
        <w:rPr>
          <w:b/>
          <w:bCs/>
          <w:color w:val="0D1B3E"/>
          <w:sz w:val="21"/>
          <w:szCs w:val="21"/>
        </w:rPr>
        <w:t>Latent Variable</w:t>
      </w:r>
    </w:p>
    <w:p w14:paraId="32874596" w14:textId="77777777" w:rsidR="00F63AF3" w:rsidRDefault="00500100">
      <w:pPr>
        <w:spacing w:after="80"/>
        <w:ind w:left="360"/>
      </w:pPr>
      <w:r>
        <w:rPr>
          <w:color w:val="4A5568"/>
          <w:sz w:val="20"/>
          <w:szCs w:val="20"/>
        </w:rPr>
        <w:t>A construct that cannot be directly observed or measured — it can only be inferred from observable indicators. AI readiness, institutional quality, SC performance, and economic performance are all latent concepts operationalised through observable proxies.</w:t>
      </w:r>
    </w:p>
    <w:p w14:paraId="0A854797" w14:textId="77777777" w:rsidR="00F63AF3" w:rsidRDefault="00500100">
      <w:pPr>
        <w:spacing w:before="100" w:after="20"/>
      </w:pPr>
      <w:r>
        <w:rPr>
          <w:b/>
          <w:bCs/>
          <w:color w:val="0D1B3E"/>
          <w:sz w:val="21"/>
          <w:szCs w:val="21"/>
        </w:rPr>
        <w:t>Mediation</w:t>
      </w:r>
    </w:p>
    <w:p w14:paraId="361812E5" w14:textId="77777777" w:rsidR="00F63AF3" w:rsidRDefault="00500100">
      <w:pPr>
        <w:spacing w:after="80"/>
        <w:ind w:left="360"/>
      </w:pPr>
      <w:r>
        <w:rPr>
          <w:color w:val="4A5568"/>
          <w:sz w:val="20"/>
          <w:szCs w:val="20"/>
        </w:rPr>
        <w:t xml:space="preserve">When variable B (the mediator) carries the effect of </w:t>
      </w:r>
      <w:proofErr w:type="gramStart"/>
      <w:r>
        <w:rPr>
          <w:color w:val="4A5568"/>
          <w:sz w:val="20"/>
          <w:szCs w:val="20"/>
        </w:rPr>
        <w:t>A</w:t>
      </w:r>
      <w:proofErr w:type="gramEnd"/>
      <w:r>
        <w:rPr>
          <w:color w:val="4A5568"/>
          <w:sz w:val="20"/>
          <w:szCs w:val="20"/>
        </w:rPr>
        <w:t xml:space="preserve"> on C. Full mediation: the direct A→C effect disappears when B is included. Partial mediation: A→C reduces but remains significant. No mediation: B does not significantly predict C when A is controlled.</w:t>
      </w:r>
    </w:p>
    <w:p w14:paraId="5499A705" w14:textId="77777777" w:rsidR="00F63AF3" w:rsidRDefault="00500100">
      <w:pPr>
        <w:spacing w:before="100" w:after="20"/>
      </w:pPr>
      <w:r>
        <w:rPr>
          <w:b/>
          <w:bCs/>
          <w:color w:val="0D1B3E"/>
          <w:sz w:val="21"/>
          <w:szCs w:val="21"/>
        </w:rPr>
        <w:t>Moderation (Interaction)</w:t>
      </w:r>
    </w:p>
    <w:p w14:paraId="25A93DC4" w14:textId="77777777" w:rsidR="00F63AF3" w:rsidRDefault="00500100">
      <w:pPr>
        <w:spacing w:after="80"/>
        <w:ind w:left="360"/>
      </w:pPr>
      <w:r>
        <w:rPr>
          <w:color w:val="4A5568"/>
          <w:sz w:val="20"/>
          <w:szCs w:val="20"/>
        </w:rPr>
        <w:t>When the relationship between X and Y depends on the level of a third variable Z (the moderator). Tested by adding the product term X×Z to a regression with X and Z already included. A significant product term = moderation confirmed.</w:t>
      </w:r>
    </w:p>
    <w:p w14:paraId="68B33E99" w14:textId="77777777" w:rsidR="00F63AF3" w:rsidRDefault="00500100">
      <w:pPr>
        <w:spacing w:before="100" w:after="20"/>
      </w:pPr>
      <w:r>
        <w:rPr>
          <w:b/>
          <w:bCs/>
          <w:color w:val="0D1B3E"/>
          <w:sz w:val="21"/>
          <w:szCs w:val="21"/>
        </w:rPr>
        <w:t>Multicollinearity</w:t>
      </w:r>
    </w:p>
    <w:p w14:paraId="3F756ED7" w14:textId="77777777" w:rsidR="00F63AF3" w:rsidRDefault="00500100">
      <w:pPr>
        <w:spacing w:after="80"/>
        <w:ind w:left="360"/>
      </w:pPr>
      <w:r>
        <w:rPr>
          <w:color w:val="4A5568"/>
          <w:sz w:val="20"/>
          <w:szCs w:val="20"/>
        </w:rPr>
        <w:lastRenderedPageBreak/>
        <w:t>When two or more predictors in a regression are highly correlated with each other, making it impossible to separate their individual effects. Mean-centring before creating interaction terms reduces multicollinearity.</w:t>
      </w:r>
    </w:p>
    <w:p w14:paraId="172A003B" w14:textId="77777777" w:rsidR="00F63AF3" w:rsidRDefault="00500100">
      <w:pPr>
        <w:spacing w:before="100" w:after="20"/>
      </w:pPr>
      <w:r>
        <w:rPr>
          <w:b/>
          <w:bCs/>
          <w:color w:val="0D1B3E"/>
          <w:sz w:val="21"/>
          <w:szCs w:val="21"/>
        </w:rPr>
        <w:t>OLS Regression</w:t>
      </w:r>
    </w:p>
    <w:p w14:paraId="41578DE8" w14:textId="77777777" w:rsidR="00F63AF3" w:rsidRDefault="00500100">
      <w:pPr>
        <w:spacing w:after="80"/>
        <w:ind w:left="360"/>
      </w:pPr>
      <w:r>
        <w:rPr>
          <w:color w:val="4A5568"/>
          <w:sz w:val="20"/>
          <w:szCs w:val="20"/>
        </w:rPr>
        <w:t>Ordinary Least Squares — finds the regression line that minimises the sum of squared differences between observed and predicted values. The most common regression method. Assumes linearity, independence, homoskedasticity, and approximate normality of errors.</w:t>
      </w:r>
    </w:p>
    <w:p w14:paraId="56EBD924" w14:textId="77777777" w:rsidR="00F63AF3" w:rsidRDefault="00500100">
      <w:pPr>
        <w:spacing w:before="100" w:after="20"/>
      </w:pPr>
      <w:r>
        <w:rPr>
          <w:b/>
          <w:bCs/>
          <w:color w:val="0D1B3E"/>
          <w:sz w:val="21"/>
          <w:szCs w:val="21"/>
        </w:rPr>
        <w:t>p-value</w:t>
      </w:r>
    </w:p>
    <w:p w14:paraId="30F62E71" w14:textId="77777777" w:rsidR="00F63AF3" w:rsidRDefault="00500100">
      <w:pPr>
        <w:spacing w:after="80"/>
        <w:ind w:left="360"/>
      </w:pPr>
      <w:r>
        <w:rPr>
          <w:color w:val="4A5568"/>
          <w:sz w:val="20"/>
          <w:szCs w:val="20"/>
        </w:rPr>
        <w:t>The probability of observing a test statistic at least as extreme as the one computed, assuming the null hypothesis is true. p &lt; .05: reject the null at 5% significance. p &lt; .001: extremely strong evidence. p = .743 (H2a b-path): no evidence against the null.</w:t>
      </w:r>
    </w:p>
    <w:p w14:paraId="6F608242" w14:textId="77777777" w:rsidR="00F63AF3" w:rsidRDefault="00500100">
      <w:pPr>
        <w:spacing w:before="100" w:after="20"/>
      </w:pPr>
      <w:r>
        <w:rPr>
          <w:b/>
          <w:bCs/>
          <w:color w:val="0D1B3E"/>
          <w:sz w:val="21"/>
          <w:szCs w:val="21"/>
        </w:rPr>
        <w:t>Pearson Correlation (r)</w:t>
      </w:r>
    </w:p>
    <w:p w14:paraId="64721CAE" w14:textId="77777777" w:rsidR="00F63AF3" w:rsidRDefault="00500100">
      <w:pPr>
        <w:spacing w:after="80"/>
        <w:ind w:left="360"/>
      </w:pPr>
      <w:r>
        <w:rPr>
          <w:color w:val="4A5568"/>
          <w:sz w:val="20"/>
          <w:szCs w:val="20"/>
        </w:rPr>
        <w:t>Measures the linear relationship between two continuous variables. Ranges from −1 to +1. r = 0: no linear relationship. r = 1: perfect positive relationship. r = −1: perfect negative. All correlations in this study are positive and range from 0.550 to 0.844.</w:t>
      </w:r>
    </w:p>
    <w:p w14:paraId="08C31F0C" w14:textId="77777777" w:rsidR="00F63AF3" w:rsidRDefault="00500100">
      <w:pPr>
        <w:spacing w:before="100" w:after="20"/>
      </w:pPr>
      <w:r>
        <w:rPr>
          <w:b/>
          <w:bCs/>
          <w:color w:val="0D1B3E"/>
          <w:sz w:val="21"/>
          <w:szCs w:val="21"/>
        </w:rPr>
        <w:t>R² (R-squared)</w:t>
      </w:r>
    </w:p>
    <w:p w14:paraId="408ACF0C" w14:textId="77777777" w:rsidR="00F63AF3" w:rsidRDefault="00500100">
      <w:pPr>
        <w:spacing w:after="80"/>
        <w:ind w:left="360"/>
      </w:pPr>
      <w:r>
        <w:rPr>
          <w:color w:val="4A5568"/>
          <w:sz w:val="20"/>
          <w:szCs w:val="20"/>
        </w:rPr>
        <w:t>The proportion of variance in the outcome explained by the model. R² = 0.780 means 78% of the variation in SC Performance across countries is explained by AI readiness, institutional quality, and their interaction. R² = 1.0 would be a perfect model.</w:t>
      </w:r>
    </w:p>
    <w:p w14:paraId="2835E856" w14:textId="77777777" w:rsidR="00F63AF3" w:rsidRDefault="00500100">
      <w:pPr>
        <w:spacing w:before="100" w:after="20"/>
      </w:pPr>
      <w:r>
        <w:rPr>
          <w:b/>
          <w:bCs/>
          <w:color w:val="0D1B3E"/>
          <w:sz w:val="21"/>
          <w:szCs w:val="21"/>
        </w:rPr>
        <w:t>Skewness</w:t>
      </w:r>
    </w:p>
    <w:p w14:paraId="371EF114" w14:textId="77777777" w:rsidR="00F63AF3" w:rsidRDefault="00500100">
      <w:pPr>
        <w:spacing w:after="80"/>
        <w:ind w:left="360"/>
      </w:pPr>
      <w:r>
        <w:rPr>
          <w:color w:val="4A5568"/>
          <w:sz w:val="20"/>
          <w:szCs w:val="20"/>
        </w:rPr>
        <w:t>Measures the asymmetry of a distribution. Skewness = 0: symmetric. Positive skewness: long right tail (a few very high values). Negative skewness: long left tail. |Skewness| &lt; 1.0 is generally acceptable for SEM.</w:t>
      </w:r>
    </w:p>
    <w:p w14:paraId="39134AD5" w14:textId="77777777" w:rsidR="00F63AF3" w:rsidRDefault="00500100">
      <w:pPr>
        <w:spacing w:before="100" w:after="20"/>
      </w:pPr>
      <w:r>
        <w:rPr>
          <w:b/>
          <w:bCs/>
          <w:color w:val="0D1B3E"/>
          <w:sz w:val="21"/>
          <w:szCs w:val="21"/>
        </w:rPr>
        <w:t>Sobel Test</w:t>
      </w:r>
    </w:p>
    <w:p w14:paraId="342A9A8E" w14:textId="77777777" w:rsidR="00F63AF3" w:rsidRDefault="00500100">
      <w:pPr>
        <w:spacing w:after="80"/>
        <w:ind w:left="360"/>
      </w:pPr>
      <w:r>
        <w:rPr>
          <w:color w:val="4A5568"/>
          <w:sz w:val="20"/>
          <w:szCs w:val="20"/>
        </w:rPr>
        <w:t>Tests the significance of the indirect effect (a×b) in mediation. Z = a×b / √(b²×SE_a² + a²×SE_b²). In this study, the Sobel test used the bivariate b-path rather than the conditional b-path, leading to a misleadingly significant result that does not actually support B&amp;K mediation.</w:t>
      </w:r>
    </w:p>
    <w:p w14:paraId="617816DF" w14:textId="77777777" w:rsidR="00F63AF3" w:rsidRDefault="00500100">
      <w:pPr>
        <w:spacing w:before="100" w:after="20"/>
      </w:pPr>
      <w:r>
        <w:rPr>
          <w:b/>
          <w:bCs/>
          <w:color w:val="0D1B3E"/>
          <w:sz w:val="21"/>
          <w:szCs w:val="21"/>
        </w:rPr>
        <w:t>Standardisation (z-score)</w:t>
      </w:r>
    </w:p>
    <w:p w14:paraId="57124852" w14:textId="77777777" w:rsidR="00F63AF3" w:rsidRDefault="00500100">
      <w:pPr>
        <w:spacing w:after="80"/>
        <w:ind w:left="360"/>
      </w:pPr>
      <w:r>
        <w:rPr>
          <w:color w:val="4A5568"/>
          <w:sz w:val="20"/>
          <w:szCs w:val="20"/>
        </w:rPr>
        <w:t>Transformation of a variable to have mean = 0 and SD = 1. Formula: z = (x − μ)/σ. Enables comparison across variables measured on different scales. All four constructs in this study are z-standardised.</w:t>
      </w:r>
    </w:p>
    <w:p w14:paraId="736D4D6C" w14:textId="77777777" w:rsidR="00F63AF3" w:rsidRDefault="00500100">
      <w:pPr>
        <w:spacing w:before="100" w:after="20"/>
      </w:pPr>
      <w:r>
        <w:rPr>
          <w:b/>
          <w:bCs/>
          <w:color w:val="0D1B3E"/>
          <w:sz w:val="21"/>
          <w:szCs w:val="21"/>
        </w:rPr>
        <w:t>t-statistic</w:t>
      </w:r>
    </w:p>
    <w:p w14:paraId="43402E0E" w14:textId="77777777" w:rsidR="00F63AF3" w:rsidRDefault="00500100">
      <w:pPr>
        <w:spacing w:after="80"/>
        <w:ind w:left="360"/>
      </w:pPr>
      <w:r>
        <w:rPr>
          <w:color w:val="4A5568"/>
          <w:sz w:val="20"/>
          <w:szCs w:val="20"/>
        </w:rPr>
        <w:t>The ratio of the estimated coefficient to its standard error: t = B/SE. Larger |t| = more significant. For n=164, |t| &gt; 1.98 gives p &lt; .05. |t| &gt; 3.37 gives p &lt; .001.</w:t>
      </w:r>
    </w:p>
    <w:p w14:paraId="1033B8D0" w14:textId="77777777" w:rsidR="00F63AF3" w:rsidRDefault="00F63AF3">
      <w:pPr>
        <w:spacing w:before="80" w:after="60"/>
      </w:pPr>
    </w:p>
    <w:p w14:paraId="2B45C25B" w14:textId="77777777" w:rsidR="00F63AF3" w:rsidRDefault="00500100">
      <w:pPr>
        <w:pBdr>
          <w:bottom w:val="single" w:sz="4" w:space="0" w:color="0E6B7A"/>
        </w:pBdr>
        <w:spacing w:before="220" w:after="100"/>
      </w:pPr>
      <w:r>
        <w:rPr>
          <w:b/>
          <w:bCs/>
          <w:color w:val="0E6B7A"/>
          <w:sz w:val="24"/>
          <w:szCs w:val="24"/>
        </w:rPr>
        <w:t>Research Methodology Terms</w:t>
      </w:r>
    </w:p>
    <w:p w14:paraId="2E3DD8C7" w14:textId="77777777" w:rsidR="00F63AF3" w:rsidRDefault="00500100">
      <w:pPr>
        <w:spacing w:before="100" w:after="20"/>
      </w:pPr>
      <w:r>
        <w:rPr>
          <w:b/>
          <w:bCs/>
          <w:color w:val="0E6B7A"/>
          <w:sz w:val="21"/>
          <w:szCs w:val="21"/>
        </w:rPr>
        <w:t>Cross-Sectional Design</w:t>
      </w:r>
    </w:p>
    <w:p w14:paraId="15B21B38" w14:textId="77777777" w:rsidR="00F63AF3" w:rsidRDefault="00500100">
      <w:pPr>
        <w:spacing w:after="80"/>
        <w:ind w:left="360"/>
      </w:pPr>
      <w:r>
        <w:rPr>
          <w:color w:val="4A5568"/>
          <w:sz w:val="20"/>
          <w:szCs w:val="20"/>
        </w:rPr>
        <w:t>Data collected at one point in time. Captures a snapshot — cannot track changes over time or establish causal precedence (which came first?). Contrast with longitudinal/panel design.</w:t>
      </w:r>
    </w:p>
    <w:p w14:paraId="6CCAED69" w14:textId="77777777" w:rsidR="00F63AF3" w:rsidRDefault="00500100">
      <w:pPr>
        <w:spacing w:before="100" w:after="20"/>
      </w:pPr>
      <w:r>
        <w:rPr>
          <w:b/>
          <w:bCs/>
          <w:color w:val="0E6B7A"/>
          <w:sz w:val="21"/>
          <w:szCs w:val="21"/>
        </w:rPr>
        <w:t>Deductive Research</w:t>
      </w:r>
    </w:p>
    <w:p w14:paraId="4002CC95" w14:textId="77777777" w:rsidR="00F63AF3" w:rsidRDefault="00500100">
      <w:pPr>
        <w:spacing w:after="80"/>
        <w:ind w:left="360"/>
      </w:pPr>
      <w:r>
        <w:rPr>
          <w:color w:val="4A5568"/>
          <w:sz w:val="20"/>
          <w:szCs w:val="20"/>
        </w:rPr>
        <w:t>Starts with theory → generates hypotheses → tests against data. Top-down approach. Contrast with inductive (starts from data, builds theory).</w:t>
      </w:r>
    </w:p>
    <w:p w14:paraId="466F3849" w14:textId="77777777" w:rsidR="00F63AF3" w:rsidRDefault="00500100">
      <w:pPr>
        <w:spacing w:before="100" w:after="20"/>
      </w:pPr>
      <w:r>
        <w:rPr>
          <w:b/>
          <w:bCs/>
          <w:color w:val="0E6B7A"/>
          <w:sz w:val="21"/>
          <w:szCs w:val="21"/>
        </w:rPr>
        <w:t>Post-Positivism</w:t>
      </w:r>
    </w:p>
    <w:p w14:paraId="33CF1F4A" w14:textId="77777777" w:rsidR="00F63AF3" w:rsidRDefault="00500100">
      <w:pPr>
        <w:spacing w:after="80"/>
        <w:ind w:left="360"/>
      </w:pPr>
      <w:r>
        <w:rPr>
          <w:color w:val="4A5568"/>
          <w:sz w:val="20"/>
          <w:szCs w:val="20"/>
        </w:rPr>
        <w:t>Philosophical position: objective reality exists but is imperfectly measurable. Justifies the use of proxy variables, acknowledges measurement error, and accepts probabilistic rather than certain knowledge.</w:t>
      </w:r>
    </w:p>
    <w:p w14:paraId="2BF01A66" w14:textId="77777777" w:rsidR="00F63AF3" w:rsidRDefault="00500100">
      <w:pPr>
        <w:spacing w:before="100" w:after="20"/>
      </w:pPr>
      <w:r>
        <w:rPr>
          <w:b/>
          <w:bCs/>
          <w:color w:val="0E6B7A"/>
          <w:sz w:val="21"/>
          <w:szCs w:val="21"/>
        </w:rPr>
        <w:t>Secondary Data</w:t>
      </w:r>
    </w:p>
    <w:p w14:paraId="35317D98" w14:textId="77777777" w:rsidR="00F63AF3" w:rsidRDefault="00500100">
      <w:pPr>
        <w:spacing w:after="80"/>
        <w:ind w:left="360"/>
      </w:pPr>
      <w:r>
        <w:rPr>
          <w:color w:val="4A5568"/>
          <w:sz w:val="20"/>
          <w:szCs w:val="20"/>
        </w:rPr>
        <w:t>Data collected by someone else for a different original purpose, reused here. Contrast with primary data (surveys, experiments, interviews). Secondary data is cheaper, faster, and available for many countries simultaneously.</w:t>
      </w:r>
    </w:p>
    <w:p w14:paraId="46ABEF15" w14:textId="77777777" w:rsidR="00F63AF3" w:rsidRDefault="00500100">
      <w:pPr>
        <w:spacing w:before="100" w:after="20"/>
      </w:pPr>
      <w:r>
        <w:rPr>
          <w:b/>
          <w:bCs/>
          <w:color w:val="0E6B7A"/>
          <w:sz w:val="21"/>
          <w:szCs w:val="21"/>
        </w:rPr>
        <w:t>Triangulation (data source)</w:t>
      </w:r>
    </w:p>
    <w:p w14:paraId="4CFFE1AE" w14:textId="77777777" w:rsidR="00F63AF3" w:rsidRDefault="00500100">
      <w:pPr>
        <w:spacing w:after="80"/>
        <w:ind w:left="360"/>
      </w:pPr>
      <w:r>
        <w:rPr>
          <w:color w:val="4A5568"/>
          <w:sz w:val="20"/>
          <w:szCs w:val="20"/>
        </w:rPr>
        <w:t>Using multiple data sources to measure a concept, reducing the risk that results are an artefact of any single source's bias or error. This study uses 5 different databases to operationalise four constructs.</w:t>
      </w:r>
    </w:p>
    <w:p w14:paraId="0F819D04" w14:textId="77777777" w:rsidR="00F63AF3" w:rsidRDefault="00F63AF3">
      <w:pPr>
        <w:spacing w:before="80" w:after="60"/>
      </w:pPr>
    </w:p>
    <w:p w14:paraId="7A715CE5" w14:textId="77777777" w:rsidR="00F63AF3" w:rsidRDefault="00500100">
      <w:pPr>
        <w:pBdr>
          <w:bottom w:val="single" w:sz="4" w:space="0" w:color="0E6B7A"/>
        </w:pBdr>
        <w:spacing w:before="220" w:after="100"/>
      </w:pPr>
      <w:r>
        <w:rPr>
          <w:b/>
          <w:bCs/>
          <w:color w:val="0E6B7A"/>
          <w:sz w:val="24"/>
          <w:szCs w:val="24"/>
        </w:rPr>
        <w:lastRenderedPageBreak/>
        <w:t>Theoretical Terms</w:t>
      </w:r>
    </w:p>
    <w:p w14:paraId="6A05B11A" w14:textId="77777777" w:rsidR="00F63AF3" w:rsidRDefault="00500100">
      <w:pPr>
        <w:spacing w:before="100" w:after="20"/>
      </w:pPr>
      <w:r>
        <w:rPr>
          <w:b/>
          <w:bCs/>
          <w:color w:val="4A235A"/>
          <w:sz w:val="21"/>
          <w:szCs w:val="21"/>
        </w:rPr>
        <w:t>Complementarity</w:t>
      </w:r>
    </w:p>
    <w:p w14:paraId="776832A5" w14:textId="77777777" w:rsidR="00F63AF3" w:rsidRDefault="00500100">
      <w:pPr>
        <w:spacing w:after="80"/>
        <w:ind w:left="360"/>
      </w:pPr>
      <w:r>
        <w:rPr>
          <w:color w:val="4A5568"/>
          <w:sz w:val="20"/>
          <w:szCs w:val="20"/>
        </w:rPr>
        <w:t>When two factors work together to produce an effect greater than the sum of their individual effects. E.g. exercise AND healthy diet together produce more health than either alone. The literature assumed AI and institutions were complementary for SC performance — this study finds they are not.</w:t>
      </w:r>
    </w:p>
    <w:p w14:paraId="736BDBF9" w14:textId="77777777" w:rsidR="00F63AF3" w:rsidRDefault="00500100">
      <w:pPr>
        <w:spacing w:before="100" w:after="20"/>
      </w:pPr>
      <w:r>
        <w:rPr>
          <w:b/>
          <w:bCs/>
          <w:color w:val="4A235A"/>
          <w:sz w:val="21"/>
          <w:szCs w:val="21"/>
        </w:rPr>
        <w:t>Institutional Theory</w:t>
      </w:r>
    </w:p>
    <w:p w14:paraId="0BE2DF5D" w14:textId="77777777" w:rsidR="00F63AF3" w:rsidRDefault="00500100">
      <w:pPr>
        <w:spacing w:after="80"/>
        <w:ind w:left="360"/>
      </w:pPr>
      <w:r>
        <w:rPr>
          <w:color w:val="4A5568"/>
          <w:sz w:val="20"/>
          <w:szCs w:val="20"/>
        </w:rPr>
        <w:t>Theory (North, 1990; DiMaggio &amp; Powell, 1983) that the rules, norms, and governance structures of a society fundamentally shape organisational and economic behaviour.</w:t>
      </w:r>
    </w:p>
    <w:p w14:paraId="199FA8A9" w14:textId="77777777" w:rsidR="00F63AF3" w:rsidRDefault="00500100">
      <w:pPr>
        <w:spacing w:before="100" w:after="20"/>
      </w:pPr>
      <w:r>
        <w:rPr>
          <w:b/>
          <w:bCs/>
          <w:color w:val="4A235A"/>
          <w:sz w:val="21"/>
          <w:szCs w:val="21"/>
        </w:rPr>
        <w:t>SEM (Structural Equation Modelling)</w:t>
      </w:r>
    </w:p>
    <w:p w14:paraId="1D1625E0" w14:textId="77777777" w:rsidR="00F63AF3" w:rsidRDefault="00500100">
      <w:pPr>
        <w:spacing w:after="80"/>
        <w:ind w:left="360"/>
      </w:pPr>
      <w:r>
        <w:rPr>
          <w:color w:val="4A5568"/>
          <w:sz w:val="20"/>
          <w:szCs w:val="20"/>
        </w:rPr>
        <w:t>A statistical framework for testing complex causal models involving multiple latent variables. Integrates a measurement model (CFA: how well do indicators measure constructs?) and a structural model (what are the causal paths?). Gold standard for testing multi-construct causal theories.</w:t>
      </w:r>
    </w:p>
    <w:p w14:paraId="75B7CAFA" w14:textId="77777777" w:rsidR="00F63AF3" w:rsidRDefault="00500100">
      <w:pPr>
        <w:spacing w:before="100" w:after="20"/>
      </w:pPr>
      <w:r>
        <w:rPr>
          <w:b/>
          <w:bCs/>
          <w:color w:val="4A235A"/>
          <w:sz w:val="21"/>
          <w:szCs w:val="21"/>
        </w:rPr>
        <w:t>Substitutability</w:t>
      </w:r>
    </w:p>
    <w:p w14:paraId="26F2D966" w14:textId="77777777" w:rsidR="00F63AF3" w:rsidRDefault="00500100">
      <w:pPr>
        <w:spacing w:after="80"/>
        <w:ind w:left="360"/>
      </w:pPr>
      <w:r>
        <w:rPr>
          <w:color w:val="4A5568"/>
          <w:sz w:val="20"/>
          <w:szCs w:val="20"/>
        </w:rPr>
        <w:t>When two factors can partially replace each other — one compensates for a deficiency in the other. The negative moderation (H1c) indicates that AI readiness and institutional quality substitute: strong governance reduces the need for high AI readiness (and vice versa) to achieve good supply chain performance.</w:t>
      </w:r>
    </w:p>
    <w:p w14:paraId="4D8AEC34" w14:textId="77777777" w:rsidR="00F63AF3" w:rsidRDefault="00500100">
      <w:pPr>
        <w:spacing w:before="100" w:after="20"/>
      </w:pPr>
      <w:r>
        <w:rPr>
          <w:b/>
          <w:bCs/>
          <w:color w:val="4A235A"/>
          <w:sz w:val="21"/>
          <w:szCs w:val="21"/>
        </w:rPr>
        <w:t>TOE Framework</w:t>
      </w:r>
    </w:p>
    <w:p w14:paraId="65947209" w14:textId="77777777" w:rsidR="00F63AF3" w:rsidRDefault="00500100">
      <w:pPr>
        <w:spacing w:after="80"/>
        <w:ind w:left="360"/>
      </w:pPr>
      <w:r>
        <w:rPr>
          <w:color w:val="4A5568"/>
          <w:sz w:val="20"/>
          <w:szCs w:val="20"/>
        </w:rPr>
        <w:t>Technology-Organisation-Environment framework (</w:t>
      </w:r>
      <w:proofErr w:type="spellStart"/>
      <w:r>
        <w:rPr>
          <w:color w:val="4A5568"/>
          <w:sz w:val="20"/>
          <w:szCs w:val="20"/>
        </w:rPr>
        <w:t>Tornatzky</w:t>
      </w:r>
      <w:proofErr w:type="spellEnd"/>
      <w:r>
        <w:rPr>
          <w:color w:val="4A5568"/>
          <w:sz w:val="20"/>
          <w:szCs w:val="20"/>
        </w:rPr>
        <w:t xml:space="preserve"> &amp; Fleischer, 1990). Technology adoption and impact depends on the technological context, organisational context, and environmental context. Applied here at the national level: AI technology capability at national scale affects logistics performance.</w:t>
      </w:r>
    </w:p>
    <w:p w14:paraId="0AE7B9BC" w14:textId="77777777" w:rsidR="00F63AF3" w:rsidRDefault="00500100">
      <w:pPr>
        <w:spacing w:before="100" w:after="20"/>
      </w:pPr>
      <w:r>
        <w:rPr>
          <w:b/>
          <w:bCs/>
          <w:color w:val="4A235A"/>
          <w:sz w:val="21"/>
          <w:szCs w:val="21"/>
        </w:rPr>
        <w:t>LPI (Logistics Performance Index)</w:t>
      </w:r>
    </w:p>
    <w:p w14:paraId="76CD1B70" w14:textId="77777777" w:rsidR="00F63AF3" w:rsidRDefault="00500100">
      <w:pPr>
        <w:spacing w:after="80"/>
        <w:ind w:left="360"/>
      </w:pPr>
      <w:r>
        <w:rPr>
          <w:color w:val="4A5568"/>
          <w:sz w:val="20"/>
          <w:szCs w:val="20"/>
        </w:rPr>
        <w:t>World Bank biennial survey of logistics professionals rating 6 dimensions of country-level logistics performance: customs, infrastructure, international shipments, logistics competence, tracking, timeliness. Used here to operationalise η₁ SC Performance.</w:t>
      </w:r>
    </w:p>
    <w:p w14:paraId="35A29618" w14:textId="77777777" w:rsidR="00F63AF3" w:rsidRDefault="00500100">
      <w:pPr>
        <w:spacing w:before="100" w:after="20"/>
      </w:pPr>
      <w:r>
        <w:rPr>
          <w:b/>
          <w:bCs/>
          <w:color w:val="4A235A"/>
          <w:sz w:val="21"/>
          <w:szCs w:val="21"/>
        </w:rPr>
        <w:t>WGI (Worldwide Governance Indicators)</w:t>
      </w:r>
    </w:p>
    <w:p w14:paraId="3964DAAE" w14:textId="77777777" w:rsidR="00F63AF3" w:rsidRDefault="00500100">
      <w:pPr>
        <w:spacing w:after="80"/>
        <w:ind w:left="360"/>
      </w:pPr>
      <w:r>
        <w:rPr>
          <w:color w:val="4A5568"/>
          <w:sz w:val="20"/>
          <w:szCs w:val="20"/>
        </w:rPr>
        <w:t>World Bank annual data covering 6 governance dimensions for 215+ countries: Voice &amp; Accountability, Political Stability, Government Effectiveness, Regulatory Quality, Rule of Law, Control of Corruption. Four of these used for ξ₂ Institutional Quality.</w:t>
      </w:r>
    </w:p>
    <w:p w14:paraId="6D261562" w14:textId="77777777" w:rsidR="00F63AF3" w:rsidRDefault="00F63AF3">
      <w:pPr>
        <w:spacing w:before="100" w:after="60"/>
      </w:pPr>
    </w:p>
    <w:p w14:paraId="690F3813" w14:textId="77777777" w:rsidR="00F63AF3" w:rsidRDefault="00500100">
      <w:r>
        <w:br w:type="page"/>
      </w:r>
    </w:p>
    <w:p w14:paraId="07E72B44" w14:textId="77777777" w:rsidR="00F63AF3" w:rsidRDefault="00500100">
      <w:pPr>
        <w:shd w:val="clear" w:color="auto" w:fill="0D1B3E"/>
        <w:spacing w:before="320" w:after="160"/>
        <w:ind w:left="160" w:right="160"/>
      </w:pPr>
      <w:r>
        <w:rPr>
          <w:b/>
          <w:bCs/>
          <w:color w:val="FFFFFF"/>
          <w:sz w:val="26"/>
          <w:szCs w:val="26"/>
        </w:rPr>
        <w:lastRenderedPageBreak/>
        <w:t>PART 15  WHAT TO REMEMBER — THE 10 KEY TAKEAWAYS</w:t>
      </w:r>
    </w:p>
    <w:p w14:paraId="4A737491" w14:textId="77777777" w:rsidR="00F63AF3" w:rsidRDefault="00F63AF3">
      <w:pPr>
        <w:spacing w:before="80" w:after="60"/>
      </w:pPr>
    </w:p>
    <w:p w14:paraId="4A4BC69A" w14:textId="77777777" w:rsidR="00F63AF3" w:rsidRDefault="00500100">
      <w:pPr>
        <w:shd w:val="clear" w:color="auto" w:fill="EBF4FA"/>
        <w:spacing w:before="140" w:after="40"/>
        <w:ind w:left="160"/>
      </w:pPr>
      <w:r>
        <w:rPr>
          <w:b/>
          <w:bCs/>
          <w:color w:val="0D1B3E"/>
        </w:rPr>
        <w:t>1. The study tests macro-level AI–supply chain relationships</w:t>
      </w:r>
    </w:p>
    <w:p w14:paraId="580ED950" w14:textId="77777777" w:rsidR="00F63AF3" w:rsidRDefault="00500100">
      <w:pPr>
        <w:spacing w:after="100"/>
        <w:ind w:left="360"/>
      </w:pPr>
      <w:r>
        <w:rPr>
          <w:color w:val="4A5568"/>
          <w:sz w:val="21"/>
          <w:szCs w:val="21"/>
        </w:rPr>
        <w:t>Most prior work is firm-level. This is unusual in scope — 164 countries, multiple years of data, four latent constructs, all tested simultaneously. The scale is a key contribution.</w:t>
      </w:r>
    </w:p>
    <w:p w14:paraId="4CB3A3F5" w14:textId="77777777" w:rsidR="00F63AF3" w:rsidRDefault="00500100">
      <w:pPr>
        <w:shd w:val="clear" w:color="auto" w:fill="FEF9EC"/>
        <w:spacing w:before="140" w:after="40"/>
        <w:ind w:left="160"/>
      </w:pPr>
      <w:r>
        <w:rPr>
          <w:b/>
          <w:bCs/>
          <w:color w:val="0D1B3E"/>
        </w:rPr>
        <w:t>2. Z-scoring is deliberate, not a mistake</w:t>
      </w:r>
    </w:p>
    <w:p w14:paraId="22A5DC4D" w14:textId="77777777" w:rsidR="00F63AF3" w:rsidRDefault="00500100">
      <w:pPr>
        <w:spacing w:after="100"/>
        <w:ind w:left="360"/>
      </w:pPr>
      <w:r>
        <w:rPr>
          <w:color w:val="4A5568"/>
          <w:sz w:val="21"/>
          <w:szCs w:val="21"/>
        </w:rPr>
        <w:t>Means near 0 and SDs near 1 in the descriptive statistics are a correct result of standardisation, not a data error. All constructs are on the same scale to enable SEM.</w:t>
      </w:r>
    </w:p>
    <w:p w14:paraId="500137D5" w14:textId="77777777" w:rsidR="00F63AF3" w:rsidRDefault="00500100">
      <w:pPr>
        <w:shd w:val="clear" w:color="auto" w:fill="EBF4FA"/>
        <w:spacing w:before="140" w:after="40"/>
        <w:ind w:left="160"/>
      </w:pPr>
      <w:r>
        <w:rPr>
          <w:b/>
          <w:bCs/>
          <w:color w:val="0D1B3E"/>
        </w:rPr>
        <w:t>3. 78% of SC performance variance is explained (R² = 0.780)</w:t>
      </w:r>
    </w:p>
    <w:p w14:paraId="59C7D99E" w14:textId="77777777" w:rsidR="00F63AF3" w:rsidRDefault="00500100">
      <w:pPr>
        <w:spacing w:after="100"/>
        <w:ind w:left="360"/>
      </w:pPr>
      <w:r>
        <w:rPr>
          <w:color w:val="4A5568"/>
          <w:sz w:val="21"/>
          <w:szCs w:val="21"/>
        </w:rPr>
        <w:t>This is exceptionally high for a cross-national macro-level study. AI readiness, institutional quality, and their interaction collectively explain nearly 8 in every 10 units of variation in logistics performance across countries.</w:t>
      </w:r>
    </w:p>
    <w:p w14:paraId="62F46A2C" w14:textId="77777777" w:rsidR="00F63AF3" w:rsidRDefault="00500100">
      <w:pPr>
        <w:shd w:val="clear" w:color="auto" w:fill="FEF9EC"/>
        <w:spacing w:before="140" w:after="40"/>
        <w:ind w:left="160"/>
      </w:pPr>
      <w:r>
        <w:rPr>
          <w:b/>
          <w:bCs/>
          <w:color w:val="0D1B3E"/>
        </w:rPr>
        <w:t>4. AI readiness and institutions are near-equal SC drivers</w:t>
      </w:r>
    </w:p>
    <w:p w14:paraId="559A09C7" w14:textId="77777777" w:rsidR="00F63AF3" w:rsidRDefault="00500100">
      <w:pPr>
        <w:spacing w:after="100"/>
        <w:ind w:left="360"/>
      </w:pPr>
      <w:r>
        <w:rPr>
          <w:color w:val="4A5568"/>
          <w:sz w:val="21"/>
          <w:szCs w:val="21"/>
        </w:rPr>
        <w:t>H1a (β = 0.462) and H1b (β = 0.408) are close in magnitude. Neither dominates — technology and governance are co-equal determinants of national logistics performance.</w:t>
      </w:r>
    </w:p>
    <w:p w14:paraId="1175F16F" w14:textId="77777777" w:rsidR="00F63AF3" w:rsidRDefault="00500100">
      <w:pPr>
        <w:shd w:val="clear" w:color="auto" w:fill="EBF4FA"/>
        <w:spacing w:before="140" w:after="40"/>
        <w:ind w:left="160"/>
      </w:pPr>
      <w:r>
        <w:rPr>
          <w:b/>
          <w:bCs/>
          <w:color w:val="0D1B3E"/>
        </w:rPr>
        <w:t>5. Institutions and AI SUBSTITUTE each other — not amplify</w:t>
      </w:r>
    </w:p>
    <w:p w14:paraId="74BBF681" w14:textId="77777777" w:rsidR="00F63AF3" w:rsidRDefault="00500100">
      <w:pPr>
        <w:spacing w:after="100"/>
        <w:ind w:left="360"/>
      </w:pPr>
      <w:r>
        <w:rPr>
          <w:color w:val="4A5568"/>
          <w:sz w:val="21"/>
          <w:szCs w:val="21"/>
        </w:rPr>
        <w:t>H1c (β = −0.102) is the most surprising finding. The expected synergy/complementarity is not present. Countries with strong governance gain less marginal return from AI investment in SC. This challenges dominant theoretical assumptions.</w:t>
      </w:r>
    </w:p>
    <w:p w14:paraId="69ECA221" w14:textId="77777777" w:rsidR="00F63AF3" w:rsidRDefault="00500100">
      <w:pPr>
        <w:shd w:val="clear" w:color="auto" w:fill="FEF9EC"/>
        <w:spacing w:before="140" w:after="40"/>
        <w:ind w:left="160"/>
      </w:pPr>
      <w:r>
        <w:rPr>
          <w:b/>
          <w:bCs/>
          <w:color w:val="0D1B3E"/>
        </w:rPr>
        <w:t>6. Mediation (H2a) fails — the chain breaks at the b-path</w:t>
      </w:r>
    </w:p>
    <w:p w14:paraId="3614C227" w14:textId="77777777" w:rsidR="00F63AF3" w:rsidRDefault="00500100">
      <w:pPr>
        <w:spacing w:after="100"/>
        <w:ind w:left="360"/>
      </w:pPr>
      <w:r>
        <w:rPr>
          <w:color w:val="4A5568"/>
          <w:sz w:val="21"/>
          <w:szCs w:val="21"/>
        </w:rPr>
        <w:t>Supply chain performance does not carry AI's economic effect once AI readiness is controlled (p = .743). The indirect route collapses. This means SC performance and AI readiness are parallel predictors of economic performance, not a relay chain.</w:t>
      </w:r>
    </w:p>
    <w:p w14:paraId="556916CD" w14:textId="77777777" w:rsidR="00F63AF3" w:rsidRDefault="00500100">
      <w:pPr>
        <w:shd w:val="clear" w:color="auto" w:fill="EBF4FA"/>
        <w:spacing w:before="140" w:after="40"/>
        <w:ind w:left="160"/>
      </w:pPr>
      <w:r>
        <w:rPr>
          <w:b/>
          <w:bCs/>
          <w:color w:val="0D1B3E"/>
        </w:rPr>
        <w:t>7. AI directly drives economic performance</w:t>
      </w:r>
    </w:p>
    <w:p w14:paraId="3B9C9F00" w14:textId="77777777" w:rsidR="00F63AF3" w:rsidRDefault="00500100">
      <w:pPr>
        <w:spacing w:after="100"/>
        <w:ind w:left="360"/>
      </w:pPr>
      <w:r>
        <w:rPr>
          <w:color w:val="4A5568"/>
          <w:sz w:val="21"/>
          <w:szCs w:val="21"/>
        </w:rPr>
        <w:t>ξ₁ → η₂ (β = 0.340, p = .001) is robust. AI affects economies through innovation, productivity, services, FDI — not just through logistics.</w:t>
      </w:r>
    </w:p>
    <w:p w14:paraId="028C8564" w14:textId="77777777" w:rsidR="00F63AF3" w:rsidRDefault="00500100">
      <w:pPr>
        <w:shd w:val="clear" w:color="auto" w:fill="FEF9EC"/>
        <w:spacing w:before="140" w:after="40"/>
        <w:ind w:left="160"/>
      </w:pPr>
      <w:r>
        <w:rPr>
          <w:b/>
          <w:bCs/>
          <w:color w:val="0D1B3E"/>
        </w:rPr>
        <w:t>8. Economic Performance (η₂) has a normality problem</w:t>
      </w:r>
    </w:p>
    <w:p w14:paraId="63E5FE41" w14:textId="77777777" w:rsidR="00F63AF3" w:rsidRDefault="00500100">
      <w:pPr>
        <w:spacing w:after="100"/>
        <w:ind w:left="360"/>
      </w:pPr>
      <w:r>
        <w:rPr>
          <w:color w:val="4A5568"/>
          <w:sz w:val="21"/>
          <w:szCs w:val="21"/>
        </w:rPr>
        <w:t>Skewness 2.368 and kurtosis 8.157 — driven by Singapore, Luxembourg outliers. HC3 robust standard errors mitigate but do not eliminate this concern. Full study should consider log-transformation or quantile regression.</w:t>
      </w:r>
    </w:p>
    <w:p w14:paraId="0957F4E9" w14:textId="77777777" w:rsidR="00F63AF3" w:rsidRDefault="00500100">
      <w:pPr>
        <w:shd w:val="clear" w:color="auto" w:fill="EBF4FA"/>
        <w:spacing w:before="140" w:after="40"/>
        <w:ind w:left="160"/>
      </w:pPr>
      <w:r>
        <w:rPr>
          <w:b/>
          <w:bCs/>
          <w:color w:val="0D1B3E"/>
        </w:rPr>
        <w:t>9. This is a PILOT study</w:t>
      </w:r>
    </w:p>
    <w:p w14:paraId="0E5B4B57" w14:textId="77777777" w:rsidR="00F63AF3" w:rsidRDefault="00500100">
      <w:pPr>
        <w:spacing w:after="100"/>
        <w:ind w:left="360"/>
      </w:pPr>
      <w:r>
        <w:rPr>
          <w:color w:val="4A5568"/>
          <w:sz w:val="21"/>
          <w:szCs w:val="21"/>
        </w:rPr>
        <w:t>Every analysis here is preliminary. The purpose is to validate the constructs, confirm the feasibility of the SEM approach at macro-level, and establish an empirical baseline. The full-scale study with 15-year panel data, full Amos SEM, and instrument variables is the next step.</w:t>
      </w:r>
    </w:p>
    <w:p w14:paraId="5F660106" w14:textId="77777777" w:rsidR="00F63AF3" w:rsidRDefault="00500100">
      <w:pPr>
        <w:shd w:val="clear" w:color="auto" w:fill="FEF9EC"/>
        <w:spacing w:before="140" w:after="40"/>
        <w:ind w:left="160"/>
      </w:pPr>
      <w:r>
        <w:rPr>
          <w:b/>
          <w:bCs/>
          <w:color w:val="0D1B3E"/>
        </w:rPr>
        <w:t>10. The Sobel test result is technically misleading</w:t>
      </w:r>
    </w:p>
    <w:p w14:paraId="67423AC3" w14:textId="77777777" w:rsidR="00F63AF3" w:rsidRDefault="00500100">
      <w:pPr>
        <w:spacing w:after="100"/>
        <w:ind w:left="360"/>
      </w:pPr>
      <w:r>
        <w:rPr>
          <w:color w:val="4A5568"/>
          <w:sz w:val="21"/>
          <w:szCs w:val="21"/>
        </w:rPr>
        <w:t>Sobel Z = 3.621 is based on the bivariate b-path, not the conditional b-path required by Baron &amp; Kenny. When the correct conditional b-path is used, the indirect effect collapses. The B&amp;K verdict is: NO mediation.</w:t>
      </w:r>
    </w:p>
    <w:p w14:paraId="72D54725" w14:textId="77777777" w:rsidR="00F63AF3" w:rsidRDefault="00F63AF3">
      <w:pPr>
        <w:spacing w:before="100" w:after="60"/>
      </w:pPr>
    </w:p>
    <w:p w14:paraId="7B173D64" w14:textId="77777777" w:rsidR="00F63AF3" w:rsidRDefault="00500100">
      <w:pPr>
        <w:shd w:val="clear" w:color="auto" w:fill="0D1B3E"/>
        <w:spacing w:before="200"/>
        <w:jc w:val="center"/>
      </w:pPr>
      <w:r>
        <w:rPr>
          <w:color w:val="C8D6E5"/>
          <w:sz w:val="20"/>
          <w:szCs w:val="20"/>
        </w:rPr>
        <w:t xml:space="preserve">These notes prepared to support understanding of: </w:t>
      </w:r>
      <w:r>
        <w:rPr>
          <w:b/>
          <w:bCs/>
          <w:color w:val="FFFFFF"/>
          <w:sz w:val="20"/>
          <w:szCs w:val="20"/>
        </w:rPr>
        <w:t>BDX0010 Research Methods — Tewogbade Shakir Adeyemi — May 2026</w:t>
      </w:r>
    </w:p>
    <w:sectPr w:rsidR="00F63AF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27F0"/>
    <w:multiLevelType w:val="hybridMultilevel"/>
    <w:tmpl w:val="B0F89152"/>
    <w:lvl w:ilvl="0" w:tplc="6302C66C">
      <w:start w:val="1"/>
      <w:numFmt w:val="bullet"/>
      <w:lvlText w:val="●"/>
      <w:lvlJc w:val="left"/>
      <w:pPr>
        <w:ind w:left="720" w:hanging="360"/>
      </w:pPr>
    </w:lvl>
    <w:lvl w:ilvl="1" w:tplc="A384A088">
      <w:start w:val="1"/>
      <w:numFmt w:val="bullet"/>
      <w:lvlText w:val="○"/>
      <w:lvlJc w:val="left"/>
      <w:pPr>
        <w:ind w:left="1440" w:hanging="360"/>
      </w:pPr>
    </w:lvl>
    <w:lvl w:ilvl="2" w:tplc="120A90F4">
      <w:start w:val="1"/>
      <w:numFmt w:val="bullet"/>
      <w:lvlText w:val="■"/>
      <w:lvlJc w:val="left"/>
      <w:pPr>
        <w:ind w:left="2160" w:hanging="360"/>
      </w:pPr>
    </w:lvl>
    <w:lvl w:ilvl="3" w:tplc="43022062">
      <w:start w:val="1"/>
      <w:numFmt w:val="bullet"/>
      <w:lvlText w:val="●"/>
      <w:lvlJc w:val="left"/>
      <w:pPr>
        <w:ind w:left="2880" w:hanging="360"/>
      </w:pPr>
    </w:lvl>
    <w:lvl w:ilvl="4" w:tplc="CB9A5BA6">
      <w:start w:val="1"/>
      <w:numFmt w:val="bullet"/>
      <w:lvlText w:val="○"/>
      <w:lvlJc w:val="left"/>
      <w:pPr>
        <w:ind w:left="3600" w:hanging="360"/>
      </w:pPr>
    </w:lvl>
    <w:lvl w:ilvl="5" w:tplc="440E6126">
      <w:start w:val="1"/>
      <w:numFmt w:val="bullet"/>
      <w:lvlText w:val="■"/>
      <w:lvlJc w:val="left"/>
      <w:pPr>
        <w:ind w:left="4320" w:hanging="360"/>
      </w:pPr>
    </w:lvl>
    <w:lvl w:ilvl="6" w:tplc="8836F5A2">
      <w:start w:val="1"/>
      <w:numFmt w:val="bullet"/>
      <w:lvlText w:val="●"/>
      <w:lvlJc w:val="left"/>
      <w:pPr>
        <w:ind w:left="5040" w:hanging="360"/>
      </w:pPr>
    </w:lvl>
    <w:lvl w:ilvl="7" w:tplc="FE56B446">
      <w:start w:val="1"/>
      <w:numFmt w:val="bullet"/>
      <w:lvlText w:val="●"/>
      <w:lvlJc w:val="left"/>
      <w:pPr>
        <w:ind w:left="5760" w:hanging="360"/>
      </w:pPr>
    </w:lvl>
    <w:lvl w:ilvl="8" w:tplc="549E898C">
      <w:start w:val="1"/>
      <w:numFmt w:val="bullet"/>
      <w:lvlText w:val="●"/>
      <w:lvlJc w:val="left"/>
      <w:pPr>
        <w:ind w:left="6480" w:hanging="360"/>
      </w:pPr>
    </w:lvl>
  </w:abstractNum>
  <w:num w:numId="1" w16cid:durableId="547381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AF3"/>
    <w:rsid w:val="00307F90"/>
    <w:rsid w:val="00850EA1"/>
    <w:rsid w:val="00F63A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F559"/>
  <w15:docId w15:val="{CA0AD289-5136-4168-A336-67E9D924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shakir tewogbade</cp:lastModifiedBy>
  <cp:revision>2</cp:revision>
  <dcterms:created xsi:type="dcterms:W3CDTF">2026-06-15T18:31:00Z</dcterms:created>
  <dcterms:modified xsi:type="dcterms:W3CDTF">2026-06-15T18:31:00Z</dcterms:modified>
</cp:coreProperties>
</file>