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Prérequis d'infrastructure — Plateforme d'automatisation (AAP 2.6)</w:t>
      </w:r>
    </w:p>
    <w:p>
      <w:pPr>
        <w:spacing w:after="200"/>
      </w:pPr>
      <w:r>
        <w:rPr>
          <w:b w:val="0"/>
          <w:i/>
          <w:color w:val="555555"/>
          <w:sz w:val="22"/>
        </w:rPr>
        <w:t>Checklist à compléter par équipe — document de collecte des prérequis</w:t>
      </w:r>
    </w:p>
    <w:p>
      <w:pPr>
        <w:pStyle w:val="Heading1"/>
      </w:pPr>
      <w:r>
        <w:t>Contexte</w:t>
      </w:r>
    </w:p>
    <w:p>
      <w:pPr>
        <w:spacing w:after="80"/>
      </w:pPr>
      <w:r>
        <w:rPr>
          <w:b w:val="0"/>
          <w:i w:val="0"/>
        </w:rPr>
        <w:t>Nous déployons une nouvelle plateforme d'automatisation d'entreprise (Red Hat Ansible Automation Platform 2.6), en deux environnements : production (PROD) et qualification (QUAL). L'automatisation de l'installation est prête et validée hors ligne ; il ne reste qu'à réunir des éléments d'infrastructure qui dépendent de vos équipes.</w:t>
      </w:r>
    </w:p>
    <w:p>
      <w:pPr>
        <w:spacing w:after="80"/>
      </w:pPr>
      <w:r>
        <w:rPr>
          <w:b w:val="0"/>
          <w:i w:val="0"/>
        </w:rPr>
        <w:t>Ce document traduit ces prérequis dans le langage de chaque équipe. Chaque section ci-dessous est destinée à une équipe précise : merci de remplir la vôtre. Tant que ces éléments ne sont pas fournis, l'installation réelle ne peut pas démarrer.</w:t>
      </w:r>
    </w:p>
    <w:p>
      <w:pPr>
        <w:pStyle w:val="Heading2"/>
      </w:pPr>
      <w:r>
        <w:t>Comment répondre</w:t>
      </w:r>
    </w:p>
    <w:p>
      <w:pPr>
        <w:spacing w:after="80"/>
      </w:pPr>
      <w:r>
        <w:rPr>
          <w:b w:val="0"/>
          <w:i w:val="0"/>
        </w:rPr>
        <w:t>• Merci de retourner les éléments de votre section à [contact] avant le [délai].</w:t>
      </w:r>
    </w:p>
    <w:p>
      <w:pPr>
        <w:spacing w:after="80"/>
      </w:pPr>
      <w:r>
        <w:rPr>
          <w:b w:val="0"/>
          <w:i w:val="0"/>
        </w:rPr>
        <w:t>• Distinguez toujours PROD et QUAL quand les valeurs diffèrent (les deux environnements sont strictement séparés).</w:t>
      </w:r>
    </w:p>
    <w:p>
      <w:pPr>
        <w:spacing w:after="80"/>
      </w:pPr>
      <w:r>
        <w:rPr>
          <w:b w:val="0"/>
          <w:i w:val="0"/>
        </w:rPr>
        <w:t>• AUCUN secret dans ce document : voir l'encadré ci-dessous.</w:t>
      </w:r>
    </w:p>
    <w:p>
      <w:pPr>
        <w:spacing w:before="120" w:after="160"/>
      </w:pPr>
      <w:r>
        <w:rPr>
          <w:b/>
          <w:color w:val="B00000"/>
        </w:rPr>
        <w:t xml:space="preserve">⚠  Sécurité — ne transmettez AUCUN secret via ce document. </w:t>
      </w:r>
      <w:r>
        <w:t>Ce fichier circule par courriel. Les mots de passe (bases de données, comptes), les clés privées de certificats et le secret de l'activation key NE doivent PAS y figurer. Fournissez-les par un canal sécurisé séparé (coffre-fort / vault d'entreprise, transfert chiffré). Ici, on ne demande que des structures (hôtes, ports, noms), des certificats PUBLICS et des autorités de certification (CA).</w:t>
      </w:r>
    </w:p>
    <w:p>
      <w:pPr>
        <w:pStyle w:val="Heading1"/>
      </w:pPr>
      <w:r>
        <w:t>1. Équipe Bases de données (DBA)</w:t>
      </w:r>
    </w:p>
    <w:p>
      <w:pPr>
        <w:spacing w:after="80"/>
      </w:pPr>
      <w:r>
        <w:rPr>
          <w:b w:val="0"/>
          <w:i/>
        </w:rPr>
        <w:t>La plateforme s'appuie sur quatre bases de données PostgreSQL externes, une par composant (passerelle, contrôleur, hub de contenu, moteur d'événements). Elles doivent exister avant l'installation.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Quatre bases PostgreSQL externes — pour chacune : nom d'hôte du serveur (FQDN), port, nom de la base, et nom du rôle propriétaire. Les quatre bases : « gateway » (passerelle), « controller » (contrôleur), « hub » (hub de contenu), « eda » (moteur d'événements).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tableau à 4 lignes (une par base) avec : hôte · port · nom de base · rôle propriétaire. À fournir en DEUX jeux : un pour PROD, un pour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Chaque composant de la plateforme stocke ses données dans sa propre base ; sans elles, l'installation ne peut pas se faire.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Connexion chiffrée avec vérification stricte de l'identité du serveur — l'autorité de certification (CA) qui a émis le certificat du SERVEUR PostgreSQL, au format PEM.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fichier PEM (la CA émettrice du certificat serveur PostgreSQL). Même valeur PROD/QUAL si la même CA signe les deux ; sinon un PEM par environnement.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Nos serveurs vérifient strictement l'identité de la base avant de s'y connecter ; il leur faut la CA émettrice pour valider le certificat du serveur. (Élément à coordonner avec l'équipe PKI.)</w:t>
      </w:r>
    </w:p>
    <w:p>
      <w:pPr>
        <w:spacing w:before="120"/>
      </w:pPr>
      <w:r>
        <w:rPr>
          <w:sz w:val="26"/>
        </w:rPr>
        <w:t xml:space="preserve">☐  </w:t>
      </w:r>
      <w:r>
        <w:rPr>
          <w:b/>
          <w:color w:val="B04A00"/>
        </w:rPr>
        <w:t xml:space="preserve">QUESTION — </w:t>
      </w:r>
      <w:r>
        <w:t>Pré-création des bases : créez-vous vous-mêmes les 4 bases et leurs rôles propriétaires, OU préférez-vous nous fournir un compte administrateur PostgreSQL pour que l'installateur les crée ? Si vous fournissez un compte administrateur, indiquez son nom d'utilisateur (le mot de passe passe par le canal sécurisé, pas ici).</w:t>
      </w:r>
    </w:p>
    <w:p>
      <w:pPr>
        <w:spacing w:after="60"/>
        <w:ind w:left="475"/>
      </w:pPr>
      <w:r>
        <w:rPr>
          <w:i/>
          <w:color w:val="555555"/>
        </w:rPr>
        <w:t>↪ Rappel sécurité : les mots de passe des comptes applicatifs et du compte administrateur sont transmis par le canal sécurisé séparé, jamais dans ce document.</w:t>
      </w:r>
    </w:p>
    <w:p>
      <w:pPr>
        <w:spacing w:after="60"/>
        <w:ind w:left="475"/>
      </w:pPr>
      <w:r>
        <w:rPr>
          <w:i/>
          <w:color w:val="555555"/>
        </w:rPr>
        <w:t>↪ Flux réseau associé : les serveurs AAP doivent pouvoir joindre ces bases sur le port PostgreSQL (par défaut 5432). À confirmer avec l'équipe Réseau / pare-feu.</w:t>
      </w:r>
    </w:p>
    <w:p>
      <w:pPr>
        <w:pStyle w:val="Heading1"/>
      </w:pPr>
      <w:r>
        <w:t>2. Équipe PKI / Autorité de certification</w:t>
      </w:r>
    </w:p>
    <w:p>
      <w:pPr>
        <w:spacing w:after="80"/>
      </w:pPr>
      <w:r>
        <w:rPr>
          <w:b w:val="0"/>
          <w:i/>
        </w:rPr>
        <w:t>La plateforme expose des services en HTTPS et se connecte à des services chiffrés. Tous les certificats doivent être émis par la PKI d'entreprise — les certificats auto-signés sont interdits.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Le(s) certificat(s) d'autorité de certification (CA) d'entreprise à faire confiance, au format PEM — notamment la CA qui a émis le certificat du serveur PostgreSQL externe.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fichier PEM (concaténer plusieurs CA en un seul fichier si nécessaire).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Nos serveurs valident les connexions TLS (base de données, services internes) contre cette autorité ; sans elle, la connexion sécurisée est refusée.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Des certificats de service pour les composants de la plateforme (passerelle, contrôleur, hub, moteur d'événements), émis par la PKI d'entreprise (jamais auto-signés). Chaque certificat doit porter les bons noms (SAN). IMPORTANT : le certificat de la PASSERELLE doit inclure, parmi ses SAN, le nom public d'accès à la plateforme (la VIP fournie par le Réseau).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Pour chaque service : le certificat (public) + sa clé privée (clé privée par canal sécurisé). Nous vous fournirons la liste exacte des noms (FQDN) à mettre en SAN pour chaque certificat, VIP incluse sur celui de la passerelle.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Chaque composant présente son certificat sur son point d'accès HTTPS ; la passerelle étant jointe via la VIP, son certificat doit être valide pour ce nom, sinon l'accès est rejeté.</w:t>
      </w:r>
    </w:p>
    <w:p>
      <w:pPr>
        <w:spacing w:after="60"/>
        <w:ind w:left="475"/>
      </w:pPr>
      <w:r>
        <w:rPr>
          <w:i/>
          <w:color w:val="555555"/>
        </w:rPr>
        <w:t>↪ Couplage à connaître : le nom de la VIP (fourni par l'équipe Réseau, section 3) est UNE seule valeur ; elle doit figurer en SAN sur le certificat de la passerelle.</w:t>
      </w:r>
    </w:p>
    <w:p>
      <w:pPr>
        <w:spacing w:after="60"/>
        <w:ind w:left="475"/>
      </w:pPr>
      <w:r>
        <w:rPr>
          <w:i/>
          <w:color w:val="555555"/>
        </w:rPr>
        <w:t>↪ Rappel sécurité : les clés privées des certificats passent par le canal sécurisé, pas par ce document.</w:t>
      </w:r>
    </w:p>
    <w:p>
      <w:pPr>
        <w:pStyle w:val="Heading1"/>
      </w:pPr>
      <w:r>
        <w:t>3. Équipe Réseau</w:t>
      </w:r>
    </w:p>
    <w:p>
      <w:pPr>
        <w:spacing w:after="80"/>
      </w:pPr>
      <w:r>
        <w:rPr>
          <w:b w:val="0"/>
          <w:i/>
        </w:rPr>
        <w:t>La plateforme est jointe par un point d'entrée unique, ses serveurs doivent avoir l'heure synchronisée, et certains flux internes/externes doivent être autorisés.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Un point d'entrée unique (adresse virtuelle + nom DNS) devant les deux passerelles, porté par un répartiteur de charge (load balancer).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nom DNS (FQDN) + l'adresse virtuelle (VIP) associée, avec le répartiteur configuré pour distribuer vers les 2 nœuds passerelle sur le port HTTPS (443).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C'est l'unique porte d'entrée des utilisateurs à la plateforme.</w:t>
      </w:r>
    </w:p>
    <w:p>
      <w:pPr>
        <w:spacing w:after="60"/>
        <w:ind w:left="475"/>
      </w:pPr>
      <w:r>
        <w:rPr>
          <w:i/>
          <w:color w:val="555555"/>
        </w:rPr>
        <w:t>↪ Couplage : cette même valeur (VIP) est utilisée à DEUX endroits — comme point d'entrée des utilisateurs ET par notre contrôle de bon fonctionnement après installation. À fournir une seule fois ; elle doit aussi être placée en SAN sur le certificat de la passerelle (section PKI).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Les sources de temps (serveurs NTP) auxquelles les serveurs doivent se synchroniser.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Une liste d'adresses de serveurs NTP (noms ou IP). PROD et QUAL si elles diffèrent.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L'horloge doit être synchronisée : sans cela, les connexions chiffrées et l'enregistrement des serveurs échouent. Notre étape de préparation bloque l'installation si ce n'est pas fourni.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Autorisation des flux réseau nécessaires (à confirmer, l'ouverture des ports LOCAUX sur chaque serveur est gérée automatiquement par l'installateur) :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Confirmer que ces flux sont permis : (a) utilisateurs / load balancer → VIP passerelle en 443 ; (b) serveurs AAP → base PostgreSQL externe en 5432 ; (c) entre serveurs AAP → maillage interne en 27199/TCP ; (d) poste d'administration → serveurs en 22 (SSH).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Les composants et le nœud d'administration ont besoin de ces chemins pour fonctionner et être installés.</w:t>
      </w:r>
    </w:p>
    <w:p>
      <w:pPr>
        <w:spacing w:before="120"/>
      </w:pPr>
      <w:r>
        <w:rPr>
          <w:sz w:val="26"/>
        </w:rPr>
        <w:t xml:space="preserve">☐  </w:t>
      </w:r>
      <w:r>
        <w:rPr>
          <w:b/>
          <w:color w:val="B04A00"/>
        </w:rPr>
        <w:t xml:space="preserve">QUESTION — </w:t>
      </w:r>
      <w:r>
        <w:t>Topologie : le déploiement est-il sur un SEUL site (mono-DC), ou certains serveurs d'exécution seront-ils dans une zone séparée / DMZ ? Si DMZ, quel côté est autorisé à INITIER la connexion interne (port 27199) à travers la frontière de zone ? Cette réponse détermine le sens du maillage interne et nous évite de le configurer à l'envers.</w:t>
      </w:r>
    </w:p>
    <w:p>
      <w:pPr>
        <w:pStyle w:val="Heading1"/>
      </w:pPr>
      <w:r>
        <w:t>4. Équipe Provisioning / Systèmes</w:t>
      </w:r>
    </w:p>
    <w:p>
      <w:pPr>
        <w:spacing w:after="80"/>
      </w:pPr>
      <w:r>
        <w:rPr>
          <w:b w:val="0"/>
          <w:i/>
        </w:rPr>
        <w:t>Les machines virtuelles cibles et le nœud d'administration (« seed ») doivent respecter quelques prérequis de taille et de contenu.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Sur le(s) nœud(s) d'administration (« seed ») d'où l'installation est lancée : le paquet d'installation AAP 2.6 (« bundle ») doit être extrait localement ; fournir le chemin absolu du répertoire extrait.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chemin de fichiers sur le nœud seed (ce chemin doit se terminer par « /bundle »).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L'installation se fait hors ligne et lit les images de la plateforme depuis ce paquet local.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Dimensionnement des machines virtuelles (tous les nœuds) selon les prérequis Red Hat.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Confirmer que chaque VM dispose d'au moins : 60 Go de disque total, dont ≥ 15 Go pour le répertoire d'installation et ≥ 10 Go libres sur /tmp (extraction du paquet hors ligne) ; 16 Go de RAM ; 4 vCPU ; ~3000 IOPS. Identique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Un disque ou un /tmp sous-dimensionné fait échouer l'installation ; notre étape de préparation vérifie l'espace libre et bloque si insuffisant. (Valeurs issues des prérequis système Red Hat.)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Système de base des VM : RHEL 9.4+ avec l'outil de synchronisation d'horloge « chrony » présent dans l'image.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Confirmer la version RHEL (9.4 ou supérieur) et la présence de chrony dans l'image de base.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Le compte applicatif et les conteneurs sont mis en place par l'installation, mais l'outil d'horloge doit déjà être présent (il ne peut pas être installé avant l'enregistrement).</w:t>
      </w:r>
    </w:p>
    <w:p>
      <w:pPr>
        <w:pStyle w:val="Heading1"/>
      </w:pPr>
      <w:r>
        <w:t>5. Équipe Stockage</w:t>
      </w:r>
    </w:p>
    <w:p>
      <w:pPr>
        <w:spacing w:after="80"/>
      </w:pPr>
      <w:r>
        <w:rPr>
          <w:b w:val="0"/>
          <w:i/>
        </w:rPr>
        <w:t>Le hub de contenu est déployé en deux exemplaires (haute disponibilité) et partage son contenu via un espace NFS commun.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Un partage NFS commun aux deux serveurs « hub de contenu », pour stocker le contenu publié.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L'export NFS sous la forme serveur:/export, plus les options de montage souhaitées ; il doit être joignable depuis les 2 serveurs hub (port NFS 2049).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Avec deux hubs, ils partagent le contenu publié via cet espace commun — c'est requis pour la haute disponibilité du hub.</w:t>
      </w:r>
    </w:p>
    <w:p>
      <w:pPr>
        <w:spacing w:after="60"/>
        <w:ind w:left="475"/>
      </w:pPr>
      <w:r>
        <w:rPr>
          <w:i/>
          <w:color w:val="555555"/>
        </w:rPr>
        <w:t>↪ Précision : cet espace NFS sert UNIQUEMENT au contenu du hub. Il n'est PAS utilisé pour stocker les images de conteneurs (non supporté sur NFS) — celles-ci restent sur le disque local des nœuds.</w:t>
      </w:r>
    </w:p>
    <w:p>
      <w:pPr>
        <w:spacing w:before="120"/>
      </w:pPr>
      <w:r>
        <w:rPr>
          <w:sz w:val="26"/>
        </w:rPr>
        <w:t xml:space="preserve">☐  </w:t>
      </w:r>
      <w:r>
        <w:rPr>
          <w:b/>
          <w:color w:val="B04A00"/>
        </w:rPr>
        <w:t xml:space="preserve">QUESTION — </w:t>
      </w:r>
      <w:r>
        <w:t>Sécurité SELinux (optionnel) : si vos serveurs imposent SELinux en mode « enforcing », le montage NFS nécessite-t-il une option de contexte SELinux particulière ? (À confirmer avec l'équipe sécurité si applicable.)</w:t>
      </w:r>
    </w:p>
    <w:p>
      <w:pPr>
        <w:pStyle w:val="Heading1"/>
      </w:pPr>
      <w:r>
        <w:t>6. Équipe Satellite / Gestion des abonnements</w:t>
      </w:r>
    </w:p>
    <w:p>
      <w:pPr>
        <w:spacing w:after="80"/>
      </w:pPr>
      <w:r>
        <w:rPr>
          <w:b w:val="0"/>
          <w:i/>
        </w:rPr>
        <w:t>Les serveurs s'enregistrent auprès de Red Hat Satellite pour recevoir leurs paquets et abonnements. Aucun content view ni activation key AAP n'existe encore : leur création fait partie de la demande.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Les informations de rattachement à Satellite : nom d'hôte (FQDN) du serveur Satellite ; identifiant de l'organisation ; une activation key à CRÉER pour les nœuds AAP 2.6 ; le certificat d'autorité (CA) du Satellite ; et, si non portés par l'activation key, les identifiants des dépôts requis (RHEL BaseOS, AppStream, AAP 2.6).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FQDN du Satellite ; identifiant/label d'organisation ; nom de l'activation key (à créer) ; certificat CA du Satellite au format PEM ; liste des identifiants de dépôts. PROD et QUAL (organisations / clés probablement distinctes).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Les serveurs se rattachent à Satellite pour installer leurs paquets ; l'activation key porte les abonnements et dépôts nécessaires, et la CA permet de faire confiance au Satellite.</w:t>
      </w:r>
    </w:p>
    <w:p>
      <w:pPr>
        <w:spacing w:after="60"/>
        <w:ind w:left="475"/>
      </w:pPr>
      <w:r>
        <w:rPr>
          <w:i/>
          <w:color w:val="555555"/>
        </w:rPr>
        <w:t>↪ Rappel sécurité : le secret associé à l'activation key et tout identifiant sont transmis par le canal sécurisé, pas par ce document.</w:t>
      </w:r>
    </w:p>
    <w:p>
      <w:pPr>
        <w:pStyle w:val="Heading1"/>
      </w:pPr>
      <w:r>
        <w:t>7. Équipe QA / Environnement de qualification</w:t>
      </w:r>
    </w:p>
    <w:p>
      <w:pPr>
        <w:spacing w:after="80"/>
      </w:pPr>
      <w:r>
        <w:rPr>
          <w:b w:val="0"/>
          <w:i/>
        </w:rPr>
        <w:t>L'environnement de qualification (QUAL) est strictement séparé de la production : aucune valeur de prod ne doit y être réutilisée, et inversement.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L'équivalent QUAL de tous les éléments ci-dessus, clairement étiqueté « QUAL » : bases PostgreSQL (hôtes/ports/bases/rôles), VIP d'accès, export NFS du hub, serveurs NTP, certificats de service, rattachement Satellite (organisation / activation key de qual).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Les mêmes structures que pour la production, mais avec les valeurs propres à QUAL, étiquetées sans ambiguïté.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La qualification sert à valider avant la production ; elle doit être autonome et cloisonnée.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Les éventuels points de test propres au banc de qualification (endpoints ou comptes de test utilisés uniquement en QUAL).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La liste de ces éléments de test, s'ils existent, réservés à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Ces éléments existent seulement en qualification et ne doivent jamais atterrir en production ; notre configuration interdit explicitement leur présence en prod.</w:t>
      </w:r>
    </w:p>
    <w:p>
      <w:r>
        <w:br w:type="page"/>
      </w:r>
    </w:p>
    <w:p>
      <w:pPr>
        <w:pStyle w:val="Heading1"/>
      </w:pPr>
      <w:r>
        <w:t>Annexe technique (réservée aux implémenteurs)</w:t>
      </w:r>
    </w:p>
    <w:p>
      <w:pPr>
        <w:spacing w:after="80"/>
      </w:pPr>
      <w:r>
        <w:rPr>
          <w:b w:val="0"/>
          <w:i/>
          <w:color w:val="555555"/>
        </w:rPr>
        <w:t>Correspondance entre les demandes ci-dessus et les paramètres techniques de l'installateur. Cette annexe n'est PAS destinée aux équipes métier — elle aide seulement l'équipe projet à reporter les réponses. Elle ne demande rien de plus.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Équipe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Demande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Paramètre(s) technique(s)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DBA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 bases PG (hôte/port/base/rôle)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gateway_pg_host, controller_pg_host, hub_pg_host, eda_pg_host (+ _pg_port/_pg_database/_pg_username)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DBA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Vérification stricte TLS + CA serveur PG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&lt;svc&gt;_pg_sslmode=verify-full ; custom_ca_cert (PEM)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DBA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Compte admin (si création par l'installateur)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postgresql_admin_username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PKI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 d'entreprise à faire confiance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custom_ca_cert (PEM)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PKI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Certificats de service + SAN (VIP incl.)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gateway_tls_cert/key, controller_tls_cert/key, hub_tls_cert/key, eda_tls_cert/key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Réseau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Point d'entrée unique (VIP/FQDN)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gateway_main_url (= postcheck_gateway_proxy_url, couplé)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Réseau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Serveurs de temps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ntp_servers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Réseau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Sens du maillage (mono-site vs DMZ)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receptor mesh 27199 ; receptor_peers (si multi-zone)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Provisioning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Chemin du paquet extrait sur le seed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bundle_dir (doit finir par /bundle) ; bundle_install=true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Provisioning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Dimensionnement disque/tmp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preflight_aap_min_free_gb=15 ; preflight_bundle_tmp_min_free_gb=10 (Total 60 Go)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Stockage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Export NFS du hub (2 hubs)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hub_shared_data_path ; hub_shared_data_mount_opts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Satellite/AD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Rattachement Satellite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satellite_server_hostname, satellite_org_id, satellite_activation_key, satellite_ca_src, satellite_repos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QA/QUAL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Jeu de valeurs QUAL + banc de test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inventaire QUAL séparé ; test_harness_* (qual uniquement)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/>
          <w:color w:val="888888"/>
          <w:sz w:val="16"/>
        </w:rPr>
        <w:t>Source des 9 bloquants : docs/aap-facts.md (fichier versionné du dépôt, source de vérité). Généré le 2026-07-16.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