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Prérequis d'infrastructure — Plateforme d'automatisation (AAP 2.6)</w:t>
      </w:r>
    </w:p>
    <w:p>
      <w:pPr>
        <w:spacing w:after="200"/>
      </w:pPr>
      <w:r>
        <w:rPr>
          <w:b w:val="0"/>
          <w:i/>
          <w:color w:val="555555"/>
          <w:sz w:val="22"/>
        </w:rPr>
        <w:t>Checklist à compléter par équipe — document de collecte des prérequis</w:t>
      </w:r>
    </w:p>
    <w:p>
      <w:pPr>
        <w:pStyle w:val="Heading1"/>
      </w:pPr>
      <w:r>
        <w:t>Contexte</w:t>
      </w:r>
    </w:p>
    <w:p>
      <w:pPr>
        <w:spacing w:after="80"/>
      </w:pPr>
      <w:r>
        <w:rPr>
          <w:b w:val="0"/>
          <w:i w:val="0"/>
        </w:rPr>
        <w:t>Nous déployons une nouvelle plateforme d'automatisation d'entreprise (Red Hat Ansible Automation Platform 2.6), en deux environnements : production (PROD) et qualification (QUAL). L'automatisation de l'installation est prête et validée hors ligne ; il ne reste qu'à réunir des éléments d'infrastructure qui dépendent de vos équipes.</w:t>
      </w:r>
    </w:p>
    <w:p>
      <w:pPr>
        <w:spacing w:after="80"/>
      </w:pPr>
      <w:r>
        <w:rPr>
          <w:b w:val="0"/>
          <w:i w:val="0"/>
        </w:rPr>
        <w:t>Ce document traduit ces prérequis dans le langage de chaque équipe. Chaque section ci-dessous est destinée à une équipe précise : merci de remplir la vôtre. Tant que ces éléments ne sont pas fournis, l'installation réelle ne peut pas démarrer.</w:t>
      </w:r>
    </w:p>
    <w:p>
      <w:pPr>
        <w:pStyle w:val="Heading2"/>
      </w:pPr>
      <w:r>
        <w:t>Comment répondre</w:t>
      </w:r>
    </w:p>
    <w:p>
      <w:pPr>
        <w:spacing w:after="80"/>
      </w:pPr>
      <w:r>
        <w:rPr>
          <w:b w:val="0"/>
          <w:i w:val="0"/>
        </w:rPr>
        <w:t>• Merci de retourner les éléments de votre section à [contact] avant le [délai].</w:t>
      </w:r>
    </w:p>
    <w:p>
      <w:pPr>
        <w:spacing w:after="80"/>
      </w:pPr>
      <w:r>
        <w:rPr>
          <w:b w:val="0"/>
          <w:i w:val="0"/>
        </w:rPr>
        <w:t>• Distinguez toujours PROD et QUAL quand les valeurs diffèrent (les deux environnements sont strictement séparés).</w:t>
      </w:r>
    </w:p>
    <w:p>
      <w:pPr>
        <w:spacing w:after="80"/>
      </w:pPr>
      <w:r>
        <w:rPr>
          <w:b w:val="0"/>
          <w:i w:val="0"/>
        </w:rPr>
        <w:t>• AUCUN secret dans ce document : voir l'encadré ci-dessous.</w:t>
      </w:r>
    </w:p>
    <w:p>
      <w:pPr>
        <w:spacing w:before="120" w:after="160"/>
      </w:pPr>
      <w:r>
        <w:rPr>
          <w:b/>
          <w:color w:val="B00000"/>
        </w:rPr>
        <w:t xml:space="preserve">⚠  Sécurité — ne transmettez AUCUN secret via ce document. </w:t>
      </w:r>
      <w:r>
        <w:t>Ce fichier circule par courriel. Les mots de passe (bases de données, comptes), les clés privées de certificats et le secret de l'activation key NE doivent PAS y figurer. Fournissez-les par un canal sécurisé séparé (coffre-fort / vault d'entreprise, transfert chiffré). Ici, on ne demande que des structures (hôtes, ports, noms), des certificats PUBLICS et des autorités de certification (CA).</w:t>
      </w:r>
    </w:p>
    <w:p>
      <w:pPr>
        <w:pStyle w:val="Heading1"/>
      </w:pPr>
      <w:r>
        <w:t>1. Équipe Bases de données (DBA)</w:t>
      </w:r>
    </w:p>
    <w:p>
      <w:pPr>
        <w:spacing w:after="80"/>
      </w:pPr>
      <w:r>
        <w:rPr>
          <w:b w:val="0"/>
          <w:i/>
        </w:rPr>
        <w:t>La plateforme s'appuie sur quatre bases de données PostgreSQL externes, une par composant (passerelle, contrôleur, hub de contenu, moteur d'événements). Elles doivent exister avant l'installation.</w:t>
      </w:r>
    </w:p>
    <w:p>
      <w:pPr>
        <w:spacing w:before="120" w:after="20"/>
      </w:pPr>
      <w:r>
        <w:rPr>
          <w:sz w:val="26"/>
        </w:rPr>
        <w:t xml:space="preserve">☐  </w:t>
      </w:r>
      <w:r>
        <w:rPr>
          <w:b/>
        </w:rPr>
        <w:t>Quatre bases PostgreSQL externes — pour chacune : nom d'hôte du serveur (FQDN), port, nom de la base, et nom du rôle propriétaire. Les quatre bases : « gateway » (passerelle), « controller » (contrôleur), « hub » (hub de contenu), « eda » (moteur d'événements).</w:t>
      </w:r>
    </w:p>
    <w:p>
      <w:pPr>
        <w:spacing w:after="20"/>
        <w:ind w:left="475"/>
      </w:pPr>
      <w:r>
        <w:rPr>
          <w:b/>
          <w:i/>
        </w:rPr>
        <w:t xml:space="preserve">Sous quelle forme : </w:t>
      </w:r>
      <w:r>
        <w:t>Un tableau à 4 lignes (une par base) avec : hôte · port · nom de base · rôle propriétaire. À fournir en DEUX jeux : un pour PROD, un pour QUAL.</w:t>
      </w:r>
    </w:p>
    <w:p>
      <w:pPr>
        <w:spacing w:after="20"/>
        <w:ind w:left="475"/>
      </w:pPr>
      <w:r>
        <w:rPr>
          <w:b/>
          <w:i/>
        </w:rPr>
        <w:t xml:space="preserve">Pourquoi : </w:t>
      </w:r>
      <w:r>
        <w:t>Chaque composant de la plateforme stocke ses données dans sa propre base ; sans elles, l'installation ne peut pas se faire.</w:t>
      </w:r>
    </w:p>
    <w:p>
      <w:pPr>
        <w:spacing w:before="120" w:after="20"/>
      </w:pPr>
      <w:r>
        <w:rPr>
          <w:sz w:val="26"/>
        </w:rPr>
        <w:t xml:space="preserve">☐  </w:t>
      </w:r>
      <w:r>
        <w:rPr>
          <w:b/>
        </w:rPr>
        <w:t>Connexion chiffrée avec vérification stricte de l'identité du serveur — l'autorité de certification (CA) qui a émis le certificat du SERVEUR PostgreSQL, au format PEM.</w:t>
      </w:r>
    </w:p>
    <w:p>
      <w:pPr>
        <w:spacing w:after="20"/>
        <w:ind w:left="475"/>
      </w:pPr>
      <w:r>
        <w:rPr>
          <w:b/>
          <w:i/>
        </w:rPr>
        <w:t xml:space="preserve">Sous quelle forme : </w:t>
      </w:r>
      <w:r>
        <w:t>Un fichier PEM (la CA émettrice du certificat serveur PostgreSQL). Même valeur PROD/QUAL si la même CA signe les deux ; sinon un PEM par environnement.</w:t>
      </w:r>
    </w:p>
    <w:p>
      <w:pPr>
        <w:spacing w:after="20"/>
        <w:ind w:left="475"/>
      </w:pPr>
      <w:r>
        <w:rPr>
          <w:b/>
          <w:i/>
        </w:rPr>
        <w:t xml:space="preserve">Pourquoi : </w:t>
      </w:r>
      <w:r>
        <w:t>Nos serveurs vérifient strictement l'identité de la base avant de s'y connecter ; il leur faut la CA émettrice pour valider le certificat du serveur. (Élément à coordonner avec l'équipe PKI.)</w:t>
      </w:r>
    </w:p>
    <w:p>
      <w:pPr>
        <w:spacing w:before="120"/>
      </w:pPr>
      <w:r>
        <w:rPr>
          <w:sz w:val="26"/>
        </w:rPr>
        <w:t xml:space="preserve">☐  </w:t>
      </w:r>
      <w:r>
        <w:rPr>
          <w:b/>
          <w:color w:val="B04A00"/>
        </w:rPr>
        <w:t xml:space="preserve">QUESTION — </w:t>
      </w:r>
      <w:r>
        <w:t>Pré-création des bases : créez-vous vous-mêmes les 4 bases et leurs rôles propriétaires, OU préférez-vous nous fournir un compte administrateur PostgreSQL pour que l'installateur les crée ? Si vous fournissez un compte administrateur, indiquez son nom d'utilisateur (le mot de passe passe par le canal sécurisé, pas ici).</w:t>
      </w:r>
    </w:p>
    <w:p>
      <w:pPr>
        <w:spacing w:after="60"/>
        <w:ind w:left="475"/>
      </w:pPr>
      <w:r>
        <w:rPr>
          <w:i/>
          <w:color w:val="555555"/>
        </w:rPr>
        <w:t>↪ Rappel sécurité : les mots de passe des comptes applicatifs et du compte administrateur sont transmis par le canal sécurisé séparé, jamais dans ce document.</w:t>
      </w:r>
    </w:p>
    <w:p>
      <w:pPr>
        <w:spacing w:after="60"/>
        <w:ind w:left="475"/>
      </w:pPr>
      <w:r>
        <w:rPr>
          <w:i/>
          <w:color w:val="555555"/>
        </w:rPr>
        <w:t>↪ Flux réseau associé : les serveurs AAP doivent pouvoir joindre ces bases sur le port PostgreSQL (par défaut 5432). À confirmer avec l'équipe Réseau / pare-feu.</w:t>
      </w:r>
    </w:p>
    <w:p>
      <w:pPr>
        <w:pStyle w:val="Heading1"/>
      </w:pPr>
      <w:r>
        <w:t>2. Équipe PKI / Autorité de certification</w:t>
      </w:r>
    </w:p>
    <w:p>
      <w:pPr>
        <w:spacing w:after="80"/>
      </w:pPr>
      <w:r>
        <w:rPr>
          <w:b w:val="0"/>
          <w:i/>
        </w:rPr>
        <w:t>La plateforme expose des services en HTTPS et se connecte à des services chiffrés. Tous les certificats doivent être émis par la PKI d'entreprise — les certificats auto-signés sont interdits.</w:t>
      </w:r>
    </w:p>
    <w:p>
      <w:pPr>
        <w:spacing w:before="120" w:after="20"/>
      </w:pPr>
      <w:r>
        <w:rPr>
          <w:sz w:val="26"/>
        </w:rPr>
        <w:t xml:space="preserve">☐  </w:t>
      </w:r>
      <w:r>
        <w:rPr>
          <w:b/>
        </w:rPr>
        <w:t>Le(s) certificat(s) d'autorité de certification (CA) d'entreprise à faire confiance, au format PEM — notamment la CA qui a émis le certificat du serveur PostgreSQL externe.</w:t>
      </w:r>
    </w:p>
    <w:p>
      <w:pPr>
        <w:spacing w:after="20"/>
        <w:ind w:left="475"/>
      </w:pPr>
      <w:r>
        <w:rPr>
          <w:b/>
          <w:i/>
        </w:rPr>
        <w:t xml:space="preserve">Sous quelle forme : </w:t>
      </w:r>
      <w:r>
        <w:t>Un fichier PEM (concaténer plusieurs CA en un seul fichier si nécessaire). PROD et QUAL.</w:t>
      </w:r>
    </w:p>
    <w:p>
      <w:pPr>
        <w:spacing w:after="20"/>
        <w:ind w:left="475"/>
      </w:pPr>
      <w:r>
        <w:rPr>
          <w:b/>
          <w:i/>
        </w:rPr>
        <w:t xml:space="preserve">Pourquoi : </w:t>
      </w:r>
      <w:r>
        <w:t>Nos serveurs valident les connexions TLS (base de données, services internes) contre cette autorité ; sans elle, la connexion sécurisée est refusée.</w:t>
      </w:r>
    </w:p>
    <w:p>
      <w:pPr>
        <w:spacing w:before="120" w:after="20"/>
      </w:pPr>
      <w:r>
        <w:rPr>
          <w:sz w:val="26"/>
        </w:rPr>
        <w:t xml:space="preserve">☐  </w:t>
      </w:r>
      <w:r>
        <w:rPr>
          <w:b/>
        </w:rPr>
        <w:t>Des certificats de service pour les composants de la plateforme (passerelle, contrôleur, hub, moteur d'événements), émis par la PKI d'entreprise (jamais auto-signés). Chaque certificat doit porter les bons noms (SAN). IMPORTANT : le certificat de la PASSERELLE doit inclure, parmi ses SAN, le nom public d'accès à la plateforme (la VIP fournie par le Réseau).</w:t>
      </w:r>
    </w:p>
    <w:p>
      <w:pPr>
        <w:spacing w:after="20"/>
        <w:ind w:left="475"/>
      </w:pPr>
      <w:r>
        <w:rPr>
          <w:b/>
          <w:i/>
        </w:rPr>
        <w:t xml:space="preserve">Sous quelle forme : </w:t>
      </w:r>
      <w:r>
        <w:t>Pour chaque service : le certificat (public) + sa clé privée (clé privée par canal sécurisé). Nous vous fournirons la liste exacte des noms (FQDN) à mettre en SAN pour chaque certificat, VIP incluse sur celui de la passerelle. PROD et QUAL.</w:t>
      </w:r>
    </w:p>
    <w:p>
      <w:pPr>
        <w:spacing w:after="20"/>
        <w:ind w:left="475"/>
      </w:pPr>
      <w:r>
        <w:rPr>
          <w:b/>
          <w:i/>
        </w:rPr>
        <w:t xml:space="preserve">Pourquoi : </w:t>
      </w:r>
      <w:r>
        <w:t>Chaque composant présente son certificat sur son point d'accès HTTPS ; la passerelle étant jointe via la VIP, son certificat doit être valide pour ce nom, sinon l'accès est rejeté.</w:t>
      </w:r>
    </w:p>
    <w:p>
      <w:pPr>
        <w:spacing w:after="60"/>
        <w:ind w:left="475"/>
      </w:pPr>
      <w:r>
        <w:rPr>
          <w:i/>
          <w:color w:val="555555"/>
        </w:rPr>
        <w:t>↪ Couplage à connaître : le nom de la VIP (fourni par l'équipe Réseau, section 3) est UNE seule valeur ; elle doit figurer en SAN sur le certificat de la passerelle.</w:t>
      </w:r>
    </w:p>
    <w:p>
      <w:pPr>
        <w:spacing w:after="60"/>
        <w:ind w:left="475"/>
      </w:pPr>
      <w:r>
        <w:rPr>
          <w:i/>
          <w:color w:val="555555"/>
        </w:rPr>
        <w:t>↪ Rappel sécurité : les clés privées des certificats passent par le canal sécurisé, pas par ce document.</w:t>
      </w:r>
    </w:p>
    <w:p>
      <w:pPr>
        <w:pStyle w:val="Heading1"/>
      </w:pPr>
      <w:r>
        <w:t>3. Équipe Réseau</w:t>
      </w:r>
    </w:p>
    <w:p>
      <w:pPr>
        <w:spacing w:after="80"/>
      </w:pPr>
      <w:r>
        <w:rPr>
          <w:b w:val="0"/>
          <w:i/>
        </w:rPr>
        <w:t>La plateforme est jointe par un point d'entrée unique, ses serveurs doivent avoir l'heure synchronisée, et certains flux internes/externes doivent être autorisés.</w:t>
      </w:r>
    </w:p>
    <w:p>
      <w:pPr>
        <w:spacing w:before="120" w:after="20"/>
      </w:pPr>
      <w:r>
        <w:rPr>
          <w:sz w:val="26"/>
        </w:rPr>
        <w:t xml:space="preserve">☐  </w:t>
      </w:r>
      <w:r>
        <w:rPr>
          <w:b/>
        </w:rPr>
        <w:t>Un point d'entrée unique (adresse virtuelle + nom DNS) devant les deux passerelles, porté par un répartiteur de charge (load balancer).</w:t>
      </w:r>
    </w:p>
    <w:p>
      <w:pPr>
        <w:spacing w:after="20"/>
        <w:ind w:left="475"/>
      </w:pPr>
      <w:r>
        <w:rPr>
          <w:b/>
          <w:i/>
        </w:rPr>
        <w:t xml:space="preserve">Sous quelle forme : </w:t>
      </w:r>
      <w:r>
        <w:t>Un nom DNS (FQDN) + l'adresse virtuelle (VIP) associée, avec le répartiteur configuré pour distribuer vers les 2 nœuds passerelle sur le port HTTPS (443). PROD et QUAL.</w:t>
      </w:r>
    </w:p>
    <w:p>
      <w:pPr>
        <w:spacing w:after="20"/>
        <w:ind w:left="475"/>
      </w:pPr>
      <w:r>
        <w:rPr>
          <w:b/>
          <w:i/>
        </w:rPr>
        <w:t xml:space="preserve">Pourquoi : </w:t>
      </w:r>
      <w:r>
        <w:t>C'est l'unique porte d'entrée des utilisateurs à la plateforme.</w:t>
      </w:r>
    </w:p>
    <w:p>
      <w:pPr>
        <w:spacing w:after="60"/>
        <w:ind w:left="475"/>
      </w:pPr>
      <w:r>
        <w:rPr>
          <w:i/>
          <w:color w:val="555555"/>
        </w:rPr>
        <w:t>↪ Couplage : cette même valeur (VIP) est utilisée à DEUX endroits — comme point d'entrée des utilisateurs ET par notre contrôle de bon fonctionnement après installation. À fournir une seule fois ; elle doit aussi être placée en SAN sur le certificat de la passerelle (section PKI).</w:t>
      </w:r>
    </w:p>
    <w:p>
      <w:pPr>
        <w:spacing w:before="120" w:after="20"/>
      </w:pPr>
      <w:r>
        <w:rPr>
          <w:sz w:val="26"/>
        </w:rPr>
        <w:t xml:space="preserve">☐  </w:t>
      </w:r>
      <w:r>
        <w:rPr>
          <w:b/>
        </w:rPr>
        <w:t>Les sources de temps (serveurs NTP) auxquelles les serveurs doivent se synchroniser.</w:t>
      </w:r>
    </w:p>
    <w:p>
      <w:pPr>
        <w:spacing w:after="20"/>
        <w:ind w:left="475"/>
      </w:pPr>
      <w:r>
        <w:rPr>
          <w:b/>
          <w:i/>
        </w:rPr>
        <w:t xml:space="preserve">Sous quelle forme : </w:t>
      </w:r>
      <w:r>
        <w:t>Une liste d'adresses de serveurs NTP (noms ou IP). PROD et QUAL si elles diffèrent.</w:t>
      </w:r>
    </w:p>
    <w:p>
      <w:pPr>
        <w:spacing w:after="20"/>
        <w:ind w:left="475"/>
      </w:pPr>
      <w:r>
        <w:rPr>
          <w:b/>
          <w:i/>
        </w:rPr>
        <w:t xml:space="preserve">Pourquoi : </w:t>
      </w:r>
      <w:r>
        <w:t>L'horloge doit être synchronisée : sans cela, les connexions chiffrées et l'enregistrement des serveurs échouent. Notre étape de préparation bloque l'installation si ce n'est pas fourni.</w:t>
      </w:r>
    </w:p>
    <w:p>
      <w:pPr>
        <w:spacing w:before="120" w:after="20"/>
      </w:pPr>
      <w:r>
        <w:rPr>
          <w:sz w:val="26"/>
        </w:rPr>
        <w:t xml:space="preserve">☐  </w:t>
      </w:r>
      <w:r>
        <w:rPr>
          <w:b/>
        </w:rPr>
        <w:t>Autorisation des flux réseau nécessaires (à confirmer, l'ouverture des ports LOCAUX sur chaque serveur est gérée automatiquement par l'installateur) :</w:t>
      </w:r>
    </w:p>
    <w:p>
      <w:pPr>
        <w:spacing w:after="20"/>
        <w:ind w:left="475"/>
      </w:pPr>
      <w:r>
        <w:rPr>
          <w:b/>
          <w:i/>
        </w:rPr>
        <w:t xml:space="preserve">Sous quelle forme : </w:t>
      </w:r>
      <w:r>
        <w:t>Confirmer que ces flux sont permis : (a) utilisateurs / load balancer → VIP passerelle en 443 ; (b) serveurs AAP → base PostgreSQL externe en 5432 ; (c) entre serveurs AAP → maillage interne en 27199/TCP ; (d) poste d'administration → serveurs en 22 (SSH).</w:t>
      </w:r>
    </w:p>
    <w:p>
      <w:pPr>
        <w:spacing w:after="20"/>
        <w:ind w:left="475"/>
      </w:pPr>
      <w:r>
        <w:rPr>
          <w:b/>
          <w:i/>
        </w:rPr>
        <w:t xml:space="preserve">Pourquoi : </w:t>
      </w:r>
      <w:r>
        <w:t>Les composants et le nœud d'administration ont besoin de ces chemins pour fonctionner et être installés.</w:t>
      </w:r>
    </w:p>
    <w:p>
      <w:pPr>
        <w:spacing w:before="120"/>
      </w:pPr>
      <w:r>
        <w:rPr>
          <w:sz w:val="26"/>
        </w:rPr>
        <w:t xml:space="preserve">☐  </w:t>
      </w:r>
      <w:r>
        <w:rPr>
          <w:b/>
          <w:color w:val="B04A00"/>
        </w:rPr>
        <w:t xml:space="preserve">QUESTION — </w:t>
      </w:r>
      <w:r>
        <w:t>Topologie : le déploiement est-il sur un SEUL site (mono-DC), ou certains serveurs d'exécution seront-ils dans une zone séparée / DMZ ? Si DMZ, quel côté est autorisé à INITIER la connexion interne (port 27199) à travers la frontière de zone ? Cette réponse détermine le sens du maillage interne et nous évite de le configurer à l'envers.</w:t>
      </w:r>
    </w:p>
    <w:p>
      <w:pPr>
        <w:pStyle w:val="Heading1"/>
      </w:pPr>
      <w:r>
        <w:t>4. Équipe Provisioning / Systèmes</w:t>
      </w:r>
    </w:p>
    <w:p>
      <w:pPr>
        <w:spacing w:after="80"/>
      </w:pPr>
      <w:r>
        <w:rPr>
          <w:b w:val="0"/>
          <w:i/>
        </w:rPr>
        <w:t>Les machines virtuelles cibles et le nœud d'administration (« seed ») doivent respecter quelques prérequis de taille et de contenu.</w:t>
      </w:r>
    </w:p>
    <w:p>
      <w:pPr>
        <w:spacing w:before="120" w:after="20"/>
      </w:pPr>
      <w:r>
        <w:rPr>
          <w:sz w:val="26"/>
        </w:rPr>
        <w:t xml:space="preserve">☐  </w:t>
      </w:r>
      <w:r>
        <w:rPr>
          <w:b/>
        </w:rPr>
        <w:t>Sur le(s) nœud(s) d'administration (« seed ») d'où l'installation est lancée : le paquet d'installation AAP 2.6 (« bundle ») doit être extrait localement ; fournir le chemin absolu du répertoire extrait.</w:t>
      </w:r>
    </w:p>
    <w:p>
      <w:pPr>
        <w:spacing w:after="20"/>
        <w:ind w:left="475"/>
      </w:pPr>
      <w:r>
        <w:rPr>
          <w:b/>
          <w:i/>
        </w:rPr>
        <w:t xml:space="preserve">Sous quelle forme : </w:t>
      </w:r>
      <w:r>
        <w:t>Un chemin de fichiers sur le nœud seed (ce chemin doit se terminer par « /bundle »). PROD et QUAL.</w:t>
      </w:r>
    </w:p>
    <w:p>
      <w:pPr>
        <w:spacing w:after="20"/>
        <w:ind w:left="475"/>
      </w:pPr>
      <w:r>
        <w:rPr>
          <w:b/>
          <w:i/>
        </w:rPr>
        <w:t xml:space="preserve">Pourquoi : </w:t>
      </w:r>
      <w:r>
        <w:t>L'installation se fait hors ligne et lit les images de la plateforme depuis ce paquet local.</w:t>
      </w:r>
    </w:p>
    <w:p>
      <w:pPr>
        <w:spacing w:before="120" w:after="20"/>
      </w:pPr>
      <w:r>
        <w:rPr>
          <w:sz w:val="26"/>
        </w:rPr>
        <w:t xml:space="preserve">☐  </w:t>
      </w:r>
      <w:r>
        <w:rPr>
          <w:b/>
        </w:rPr>
        <w:t>Dimensionnement des machines virtuelles (tous les nœuds) selon les prérequis Red Hat.</w:t>
      </w:r>
    </w:p>
    <w:p>
      <w:pPr>
        <w:spacing w:after="20"/>
        <w:ind w:left="475"/>
      </w:pPr>
      <w:r>
        <w:rPr>
          <w:b/>
          <w:i/>
        </w:rPr>
        <w:t xml:space="preserve">Sous quelle forme : </w:t>
      </w:r>
      <w:r>
        <w:t>Confirmer que chaque VM dispose d'au moins : 60 Go de disque total, dont ≥ 15 Go pour le répertoire d'installation et ≥ 10 Go libres sur /tmp (extraction du paquet hors ligne) — ces trois valeurs sont des exigences fermes sur les prérequis système Red Hat. À titre d'ordre de grandeur à confirmer côté Red Hat (non sourcé avec la même rigueur que le disque) : ~16 Go de RAM, ~4 vCPU, ~3000 IOPS. Identique PROD et QUAL.</w:t>
      </w:r>
    </w:p>
    <w:p>
      <w:pPr>
        <w:spacing w:after="20"/>
        <w:ind w:left="475"/>
      </w:pPr>
      <w:r>
        <w:rPr>
          <w:b/>
          <w:i/>
        </w:rPr>
        <w:t xml:space="preserve">Pourquoi : </w:t>
      </w:r>
      <w:r>
        <w:t>Un disque ou un /tmp sous-dimensionné fait échouer l'installation ; notre étape de préparation vérifie l'espace libre et bloque si insuffisant. (Seuils disque — 60/15/10 Go — sourcés sur la documentation système Red Hat AAP 2.6 containerized ; RAM/vCPU/IOPS restent à confirmer côté Red Hat.)</w:t>
      </w:r>
    </w:p>
    <w:p>
      <w:pPr>
        <w:spacing w:before="120" w:after="20"/>
      </w:pPr>
      <w:r>
        <w:rPr>
          <w:sz w:val="26"/>
        </w:rPr>
        <w:t xml:space="preserve">☐  </w:t>
      </w:r>
      <w:commentRangeStart w:id="0"/>
      <w:r>
        <w:rPr>
          <w:b/>
        </w:rPr>
        <w:t>Système de base des VM : RHEL 9.6+ (ou RHEL 10, avec ansible-core 2.16) avec l'outil de synchronisation d'horloge « chrony » présent dans l'image.</w:t>
      </w:r>
      <w:commentRangeEnd w:id="0"/>
      <w:r>
        <w:rPr>
          <w:rStyle w:val="CommentReference"/>
        </w:rPr>
        <w:commentReference w:id="0"/>
      </w:r>
    </w:p>
    <w:p>
      <w:pPr>
        <w:spacing w:after="20"/>
        <w:ind w:left="475"/>
      </w:pPr>
      <w:r>
        <w:rPr>
          <w:b/>
          <w:i/>
        </w:rPr>
        <w:t xml:space="preserve">Sous quelle forme : </w:t>
      </w:r>
      <w:r>
        <w:t>Confirmer la version RHEL (9.6 ou supérieur, ou RHEL 10) et la présence de chrony dans l'image de base. PROD et QUAL.</w:t>
      </w:r>
    </w:p>
    <w:p>
      <w:pPr>
        <w:spacing w:after="20"/>
        <w:ind w:left="475"/>
      </w:pPr>
      <w:r>
        <w:rPr>
          <w:b/>
          <w:i/>
        </w:rPr>
        <w:t xml:space="preserve">Pourquoi : </w:t>
      </w:r>
      <w:r>
        <w:t>Le compte applicatif et les conteneurs sont mis en place par l'installation, mais l'outil d'horloge doit déjà être présent (il ne peut pas être installé avant l'enregistrement).</w:t>
      </w:r>
    </w:p>
    <w:p>
      <w:pPr>
        <w:pStyle w:val="Heading1"/>
      </w:pPr>
      <w:r>
        <w:t>5. Équipe Stockage</w:t>
      </w:r>
    </w:p>
    <w:p>
      <w:pPr>
        <w:spacing w:after="80"/>
      </w:pPr>
      <w:r>
        <w:rPr>
          <w:b w:val="0"/>
          <w:i/>
        </w:rPr>
        <w:t>Le hub de contenu est déployé en deux exemplaires (haute disponibilité) et partage son contenu via un espace NFS commun.</w:t>
      </w:r>
    </w:p>
    <w:p>
      <w:pPr>
        <w:spacing w:before="120" w:after="20"/>
      </w:pPr>
      <w:r>
        <w:rPr>
          <w:sz w:val="26"/>
        </w:rPr>
        <w:t xml:space="preserve">☐  </w:t>
      </w:r>
      <w:r>
        <w:rPr>
          <w:b/>
        </w:rPr>
        <w:t>Un partage NFS commun aux deux serveurs « hub de contenu », pour stocker le contenu publié.</w:t>
      </w:r>
    </w:p>
    <w:p>
      <w:pPr>
        <w:spacing w:after="20"/>
        <w:ind w:left="475"/>
      </w:pPr>
      <w:r>
        <w:rPr>
          <w:b/>
          <w:i/>
        </w:rPr>
        <w:t xml:space="preserve">Sous quelle forme : </w:t>
      </w:r>
      <w:r>
        <w:t>L'export NFS sous la forme serveur:/export, plus les options de montage souhaitées ; il doit être joignable depuis les 2 serveurs hub (port NFS 2049). PROD et QUAL.</w:t>
      </w:r>
    </w:p>
    <w:p>
      <w:pPr>
        <w:spacing w:after="20"/>
        <w:ind w:left="475"/>
      </w:pPr>
      <w:r>
        <w:rPr>
          <w:b/>
          <w:i/>
        </w:rPr>
        <w:t xml:space="preserve">Pourquoi : </w:t>
      </w:r>
      <w:r>
        <w:t>Avec deux hubs, ils partagent le contenu publié via cet espace commun — c'est requis pour la haute disponibilité du hub.</w:t>
      </w:r>
    </w:p>
    <w:p>
      <w:pPr>
        <w:spacing w:after="60"/>
        <w:ind w:left="475"/>
      </w:pPr>
      <w:r>
        <w:rPr>
          <w:i/>
          <w:color w:val="555555"/>
        </w:rPr>
        <w:t>↪ Précision : cet espace NFS sert UNIQUEMENT au contenu du hub. Il n'est PAS utilisé pour stocker les images de conteneurs (non supporté sur NFS) — celles-ci restent sur le disque local des nœuds.</w:t>
      </w:r>
    </w:p>
    <w:p>
      <w:pPr>
        <w:spacing w:before="120"/>
      </w:pPr>
      <w:r>
        <w:rPr>
          <w:sz w:val="26"/>
        </w:rPr>
        <w:t xml:space="preserve">☐  </w:t>
      </w:r>
      <w:r>
        <w:rPr>
          <w:b/>
          <w:color w:val="B04A00"/>
        </w:rPr>
        <w:t xml:space="preserve">QUESTION — </w:t>
      </w:r>
      <w:r>
        <w:t>Sécurité SELinux (optionnel) : si vos serveurs imposent SELinux en mode « enforcing », le montage NFS nécessite-t-il une option de contexte SELinux particulière ? (À confirmer avec l'équipe sécurité si applicable.)</w:t>
      </w:r>
    </w:p>
    <w:p>
      <w:pPr>
        <w:pStyle w:val="Heading1"/>
      </w:pPr>
      <w:r>
        <w:t>6. Équipe Satellite / Gestion des abonnements</w:t>
      </w:r>
    </w:p>
    <w:p>
      <w:pPr>
        <w:spacing w:after="80"/>
      </w:pPr>
      <w:r>
        <w:rPr>
          <w:b w:val="0"/>
          <w:i/>
        </w:rPr>
        <w:t>Les serveurs s'enregistrent auprès de Red Hat Satellite pour recevoir leurs paquets et abonnements. Aucun content view ni activation key AAP n'existe encore : leur création fait partie de la demande.</w:t>
      </w:r>
    </w:p>
    <w:p>
      <w:pPr>
        <w:spacing w:before="120" w:after="20"/>
      </w:pPr>
      <w:r>
        <w:rPr>
          <w:sz w:val="26"/>
        </w:rPr>
        <w:t xml:space="preserve">☐  </w:t>
      </w:r>
      <w:r>
        <w:rPr>
          <w:b/>
        </w:rPr>
        <w:t>Les informations de rattachement à Satellite : nom d'hôte (FQDN) du serveur Satellite ; identifiant de l'organisation ; une activation key à CRÉER pour les nœuds AAP 2.6 ; le certificat d'autorité (CA) du Satellite ; et, si non portés par l'activation key, les identifiants des dépôts requis (RHEL BaseOS, AppStream, AAP 2.6).</w:t>
      </w:r>
    </w:p>
    <w:p>
      <w:pPr>
        <w:spacing w:after="20"/>
        <w:ind w:left="475"/>
      </w:pPr>
      <w:r>
        <w:rPr>
          <w:b/>
          <w:i/>
        </w:rPr>
        <w:t xml:space="preserve">Sous quelle forme : </w:t>
      </w:r>
      <w:r>
        <w:t>FQDN du Satellite ; identifiant/label d'organisation ; nom de l'activation key (à créer) ; certificat CA du Satellite au format PEM ; liste des identifiants de dépôts. PROD et QUAL (organisations / clés probablement distinctes).</w:t>
      </w:r>
    </w:p>
    <w:p>
      <w:pPr>
        <w:spacing w:after="20"/>
        <w:ind w:left="475"/>
      </w:pPr>
      <w:r>
        <w:rPr>
          <w:b/>
          <w:i/>
        </w:rPr>
        <w:t xml:space="preserve">Pourquoi : </w:t>
      </w:r>
      <w:r>
        <w:t>Les serveurs se rattachent à Satellite pour installer leurs paquets ; l'activation key porte les abonnements et dépôts nécessaires, et la CA permet de faire confiance au Satellite.</w:t>
      </w:r>
    </w:p>
    <w:p>
      <w:pPr>
        <w:spacing w:after="60"/>
        <w:ind w:left="475"/>
      </w:pPr>
      <w:r>
        <w:rPr>
          <w:i/>
          <w:color w:val="555555"/>
        </w:rPr>
        <w:t>↪ Rappel sécurité : le secret associé à l'activation key et tout identifiant sont transmis par le canal sécurisé, pas par ce document.</w:t>
      </w:r>
    </w:p>
    <w:p>
      <w:pPr>
        <w:pStyle w:val="Heading1"/>
      </w:pPr>
      <w:r>
        <w:t>7. Équipe QA / Environnement de qualification</w:t>
      </w:r>
    </w:p>
    <w:p>
      <w:pPr>
        <w:spacing w:after="80"/>
      </w:pPr>
      <w:r>
        <w:rPr>
          <w:b w:val="0"/>
          <w:i/>
        </w:rPr>
        <w:t>L'environnement de qualification (QUAL) est strictement séparé de la production : aucune valeur de prod ne doit y être réutilisée, et inversement.</w:t>
      </w:r>
    </w:p>
    <w:p>
      <w:pPr>
        <w:spacing w:before="120" w:after="20"/>
      </w:pPr>
      <w:r>
        <w:rPr>
          <w:sz w:val="26"/>
        </w:rPr>
        <w:t xml:space="preserve">☐  </w:t>
      </w:r>
      <w:r>
        <w:rPr>
          <w:b/>
        </w:rPr>
        <w:t>L'équivalent QUAL de tous les éléments ci-dessus, clairement étiqueté « QUAL » : bases PostgreSQL (hôtes/ports/bases/rôles), VIP d'accès, export NFS du hub, serveurs NTP, certificats de service, rattachement Satellite (organisation / activation key de qual).</w:t>
      </w:r>
    </w:p>
    <w:p>
      <w:pPr>
        <w:spacing w:after="20"/>
        <w:ind w:left="475"/>
      </w:pPr>
      <w:r>
        <w:rPr>
          <w:b/>
          <w:i/>
        </w:rPr>
        <w:t xml:space="preserve">Sous quelle forme : </w:t>
      </w:r>
      <w:r>
        <w:t>Les mêmes structures que pour la production, mais avec les valeurs propres à QUAL, étiquetées sans ambiguïté.</w:t>
      </w:r>
    </w:p>
    <w:p>
      <w:pPr>
        <w:spacing w:after="20"/>
        <w:ind w:left="475"/>
      </w:pPr>
      <w:r>
        <w:rPr>
          <w:b/>
          <w:i/>
        </w:rPr>
        <w:t xml:space="preserve">Pourquoi : </w:t>
      </w:r>
      <w:r>
        <w:t>La qualification sert à valider avant la production ; elle doit être autonome et cloisonnée.</w:t>
      </w:r>
    </w:p>
    <w:p>
      <w:pPr>
        <w:spacing w:before="120" w:after="20"/>
      </w:pPr>
      <w:r>
        <w:rPr>
          <w:sz w:val="26"/>
        </w:rPr>
        <w:t xml:space="preserve">☐  </w:t>
      </w:r>
      <w:r>
        <w:rPr>
          <w:b/>
        </w:rPr>
        <w:t>Les éventuels points de test propres au banc de qualification (endpoints ou comptes de test utilisés uniquement en QUAL).</w:t>
      </w:r>
    </w:p>
    <w:p>
      <w:pPr>
        <w:spacing w:after="20"/>
        <w:ind w:left="475"/>
      </w:pPr>
      <w:r>
        <w:rPr>
          <w:b/>
          <w:i/>
        </w:rPr>
        <w:t xml:space="preserve">Sous quelle forme : </w:t>
      </w:r>
      <w:r>
        <w:t>La liste de ces éléments de test, s'ils existent, réservés à QUAL.</w:t>
      </w:r>
    </w:p>
    <w:p>
      <w:pPr>
        <w:spacing w:after="20"/>
        <w:ind w:left="475"/>
      </w:pPr>
      <w:r>
        <w:rPr>
          <w:b/>
          <w:i/>
        </w:rPr>
        <w:t xml:space="preserve">Pourquoi : </w:t>
      </w:r>
      <w:r>
        <w:t>Ces éléments existent seulement en qualification et ne doivent jamais atterrir en production ; notre configuration interdit explicitement leur présence en prod.</w:t>
      </w:r>
    </w:p>
    <w:p>
      <w:r>
        <w:br w:type="page"/>
      </w:r>
    </w:p>
    <w:p>
      <w:pPr>
        <w:pStyle w:val="Heading1"/>
      </w:pPr>
      <w:r>
        <w:t>Annexe technique (réservée aux implémenteurs)</w:t>
      </w:r>
    </w:p>
    <w:p>
      <w:pPr>
        <w:spacing w:after="80"/>
      </w:pPr>
      <w:r>
        <w:rPr>
          <w:b w:val="0"/>
          <w:i/>
          <w:color w:val="555555"/>
        </w:rPr>
        <w:t>Correspondance entre les demandes ci-dessus et les paramètres techniques de l'installateur. Cette annexe n'est PAS destinée aux équipes métier — elle aide seulement l'équipe projet à reporter les réponses. Elle ne demande rien de plus.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Équipe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Demande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Paramètre(s) technique(s)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DBA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4 bases PG (hôte/port/base/rôle)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gateway_pg_host, controller_pg_host, hub_pg_host, eda_pg_host (+ _pg_port/_pg_database/_pg_username)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DBA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Vérification stricte TLS + CA serveur PG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&lt;svc&gt;_pg_sslmode=verify-full ; custom_ca_cert (PEM)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DBA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Compte admin (si création par l'installateur)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postgresql_admin_username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PKI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CA d'entreprise à faire confiance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custom_ca_cert (PEM)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PKI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Certificats de service + SAN (VIP incl.)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gateway_tls_cert/key, controller_tls_cert/key, hub_tls_cert/key, eda_tls_cert/key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Réseau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Point d'entrée unique (VIP/FQDN)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gateway_main_url (= postcheck_gateway_proxy_url, couplé)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Réseau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Serveurs de temps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ntp_servers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Réseau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Sens du maillage (mono-site vs DMZ)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receptor mesh 27199 ; receptor_peers (si multi-zone)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Provisioning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Chemin du paquet extrait sur le seed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bundle_dir (doit finir par /bundle) ; bundle_install=true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Provisioning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Dimensionnement disque/tmp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preflight_aap_min_free_gb=15 ; preflight_bundle_tmp_min_free_gb=10 (Total 60 Go)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Stockage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Export NFS du hub (2 hubs)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hub_shared_data_path ; hub_shared_data_mount_opts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Satellite/AD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Rattachement Satellite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satellite_server_hostname, satellite_org_id, satellite_activation_key, satellite_ca_src, satellite_repos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QA/QUAL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Jeu de valeurs QUAL + banc de test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inventaire QUAL séparé ; test_harness_* (qual uniquement)</w:t>
            </w:r>
          </w:p>
        </w:tc>
      </w:tr>
    </w:tbl>
    <w:p>
      <w:pPr>
        <w:spacing w:after="80"/>
      </w:pPr>
      <w:r>
        <w:rPr>
          <w:b w:val="0"/>
          <w:i w:val="0"/>
        </w:rPr>
      </w:r>
    </w:p>
    <w:p>
      <w:pPr>
        <w:spacing w:after="80"/>
      </w:pPr>
      <w:r>
        <w:rPr>
          <w:b w:val="0"/>
          <w:i/>
          <w:color w:val="888888"/>
          <w:sz w:val="16"/>
        </w:rPr>
        <w:t>Source des 9 bloquants : docs/aap-facts.md (fichier versionné du dépôt, source de vérité). Généré le 2026-07-16.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aap-automation (préparation)" w:initials="AAP" w:date="2026-07-16T12:45:30Z">
    <w:p>
      <w:pPr>
        <w:pStyle w:val="CommentText"/>
      </w:pPr>
      <w:r>
        <w:rPr>
          <w:rStyle w:val="CommentReference"/>
        </w:rPr>
        <w:annotationRef/>
      </w:r>
      <w:r>
        <w:t>Source : collection ansible.containerized_installer, roles/preflight/tasks/nodes.yml:12-13 (assert 'Only Red Hat Enterprise Linux 9.6+ distributions are supported') + roles/preflight/tasks/core.yml:7 ('RHEL 9 with Ansible 2.14 or RHEL 10 with Ansible 2.16'). Bundle 2.6-10.1-x86_64.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