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1F3864"/>
          <w:sz w:val="30"/>
        </w:rPr>
        <w:t>RED HAT SATELLITE 6.19 + ANSIBLE AUTOMATION PLATFORM 2.6 DEPLOYMENT</w:t>
      </w:r>
    </w:p>
    <w:p>
      <w:pPr>
        <w:spacing w:after="20" w:before="0"/>
        <w:jc w:val="center"/>
      </w:pPr>
      <w:r>
        <w:rPr>
          <w:b w:val="0"/>
          <w:i w:val="0"/>
          <w:color w:val="555555"/>
          <w:sz w:val="24"/>
        </w:rPr>
        <w:t>Prerequisites checklist by team</w:t>
      </w:r>
    </w:p>
    <w:p>
      <w:pPr>
        <w:spacing w:after="160" w:before="0"/>
        <w:jc w:val="center"/>
      </w:pPr>
      <w:r>
        <w:rPr>
          <w:b w:val="0"/>
          <w:i/>
          <w:color w:val="555555"/>
          <w:sz w:val="19"/>
        </w:rPr>
        <w:t>RHEL 9.6+ · single-site · Hyper-V cluster · Active Directory · external PostgreSQL</w:t>
      </w:r>
    </w:p>
    <w:tbl>
      <w:tblPr>
        <w:tblStyle w:val="TableGrid"/>
        <w:tblW w:type="auto" w:w="0"/>
        <w:tblLook w:firstColumn="1" w:firstRow="1" w:lastColumn="0" w:lastRow="0" w:noHBand="0" w:noVBand="1" w:val="04A0"/>
      </w:tblPr>
      <w:tblGrid>
        <w:gridCol w:w="10200"/>
      </w:tblGrid>
      <w:tr>
        <w:tc>
          <w:tcPr>
            <w:tcW w:type="dxa" w:w="10200"/>
            <w:shd w:val="clear" w:fill="F4F6FA"/>
          </w:tcPr>
          <w:p>
            <w:pPr>
              <w:spacing w:after="40"/>
            </w:pPr>
            <w:r>
              <w:rPr>
                <w:b/>
                <w:color w:val="1F3864"/>
                <w:sz w:val="19"/>
              </w:rPr>
              <w:t>Purpose: service-readiness prerequisites to be provided before installation.</w:t>
            </w:r>
          </w:p>
          <w:p>
            <w:pPr>
              <w:spacing w:after="40"/>
            </w:pPr>
            <w:r>
              <w:rPr>
                <w:sz w:val="19"/>
              </w:rPr>
              <w:t>Recipients: PKI/Security · Active Directory · Network · Hyper-V · Storage · DBA · Systems · Satellite/Subscriptions · QA · Linux</w:t>
            </w:r>
          </w:p>
          <w:p>
            <w:pPr>
              <w:spacing w:after="40"/>
            </w:pPr>
            <w:r>
              <w:rPr>
                <w:sz w:val="19"/>
              </w:rPr>
              <w:t>Issued by: Satellite / Linux team</w:t>
            </w:r>
          </w:p>
          <w:p>
            <w:pPr>
              <w:spacing w:after="40"/>
            </w:pPr>
            <w:r>
              <w:rPr>
                <w:sz w:val="19"/>
              </w:rPr>
              <w:t>Version: ________   Date: ________   Response due by: ________</w:t>
            </w:r>
          </w:p>
        </w:tc>
      </w:tr>
    </w:tbl>
    <w:p>
      <w:pPr>
        <w:spacing w:after="40"/>
      </w:pPr>
    </w:p>
    <w:p>
      <w:pPr>
        <w:spacing w:after="40" w:before="80"/>
      </w:pPr>
      <w:r>
        <w:rPr>
          <w:b/>
          <w:i w:val="0"/>
          <w:color w:val="1F3864"/>
          <w:sz w:val="22"/>
        </w:rPr>
        <w:t>How to use this document</w:t>
      </w:r>
    </w:p>
    <w:p>
      <w:pPr>
        <w:spacing w:after="120" w:before="0"/>
      </w:pPr>
      <w:r>
        <w:rPr>
          <w:b w:val="0"/>
          <w:i w:val="0"/>
          <w:sz w:val="19"/>
        </w:rPr>
        <w:t>This deployment combines two platforms (Satellite 6.19 then AAP 2.6) and several infrastructure domains. Each section is self-contained: forward it to the relevant team, they tick the "Done" column and return it. A "one file per team" version is provided in parallel for individual distribution.</w:t>
      </w:r>
    </w:p>
    <w:p>
      <w:pPr>
        <w:spacing w:after="40" w:before="40"/>
      </w:pPr>
      <w:r>
        <w:rPr>
          <w:b/>
          <w:i w:val="0"/>
          <w:color w:val="1F3864"/>
          <w:sz w:val="22"/>
        </w:rPr>
        <w:t>Dependency order — two milestones</w:t>
      </w:r>
    </w:p>
    <w:p>
      <w:pPr>
        <w:pStyle w:val="ListBullet"/>
        <w:spacing w:after="40"/>
      </w:pPr>
      <w:r>
        <w:rPr>
          <w:sz w:val="19"/>
        </w:rPr>
        <w:t>Week 1 — PKI, Active Directory and Network start in parallel (Satellite critical path). None depends on the others.</w:t>
      </w:r>
    </w:p>
    <w:p>
      <w:pPr>
        <w:pStyle w:val="ListBullet"/>
        <w:spacing w:after="40"/>
      </w:pPr>
      <w:r>
        <w:rPr>
          <w:sz w:val="19"/>
        </w:rPr>
        <w:t>Weeks 2 to 4 — Hyper-V and Storage prepare the VM templates once the VLAN is defined by Network.</w:t>
      </w:r>
    </w:p>
    <w:p>
      <w:pPr>
        <w:pStyle w:val="ListBullet"/>
        <w:spacing w:after="40"/>
      </w:pPr>
      <w:r>
        <w:rPr>
          <w:sz w:val="19"/>
        </w:rPr>
        <w:t>Milestone G1 — All Satellite items of PKI, AD and Network ticked. Entry condition for the Satellite installation. No Satellite install starts before this.</w:t>
      </w:r>
    </w:p>
    <w:p>
      <w:pPr>
        <w:pStyle w:val="ListBullet"/>
        <w:spacing w:after="40"/>
      </w:pPr>
      <w:r>
        <w:rPr>
          <w:sz w:val="19"/>
        </w:rPr>
        <w:t>Satellite in service — once Satellite is operational, it provides the registration, repositories and activation key required by the AAP nodes.</w:t>
      </w:r>
    </w:p>
    <w:p>
      <w:pPr>
        <w:pStyle w:val="ListBullet"/>
        <w:spacing w:after="40"/>
      </w:pPr>
      <w:r>
        <w:rPr>
          <w:sz w:val="19"/>
        </w:rPr>
        <w:t>Milestone G2 — Satellite operational + AAP prerequisites gathered (DBA, AAP service certificates, VIP/NTP, bundle &amp; sizing, activation key). Entry condition for the AAP installation.</w:t>
      </w: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Why it matters — </w:t>
            </w:r>
            <w:r>
              <w:rPr>
                <w:i/>
                <w:color w:val="555555"/>
                <w:sz w:val="19"/>
              </w:rPr>
              <w:t xml:space="preserve"> Why it matters — A single missing prerequisite can push the whole deployment back by weeks. A late certificate, a forgotten Kerberos delegation, an undecided VLAN or a missing PostgreSQL host blocks the critical path. Hence this explicit checklist rather than an informal exchange.</w:t>
            </w:r>
          </w:p>
        </w:tc>
      </w:tr>
    </w:tbl>
    <w:p>
      <w:pPr>
        <w:spacing w:after="40"/>
      </w:pPr>
    </w:p>
    <w:p>
      <w:pPr>
        <w:spacing w:after="80" w:before="0"/>
      </w:pPr>
      <w:r>
        <w:rPr>
          <w:b w:val="0"/>
          <w:i/>
          <w:color w:val="555555"/>
          <w:sz w:val="18"/>
        </w:rPr>
        <w:t>Convention: values to be filled in appear as "________" fields. Real FQDNs, address ranges, domain names and secrets do NOT appear in this document; they are exchanged separately over a secure channel.</w:t>
      </w:r>
    </w:p>
    <w:tbl>
      <w:tblPr>
        <w:tblStyle w:val="TableGrid"/>
        <w:tblW w:type="auto" w:w="0"/>
        <w:tblLook w:firstColumn="1" w:firstRow="1" w:lastColumn="0" w:lastRow="0" w:noHBand="0" w:noVBand="1" w:val="04A0"/>
      </w:tblPr>
      <w:tblGrid>
        <w:gridCol w:w="10200"/>
      </w:tblGrid>
      <w:tr>
        <w:tc>
          <w:tcPr>
            <w:tcW w:type="dxa" w:w="10200"/>
            <w:shd w:val="clear" w:fill="FBE9E7"/>
          </w:tcPr>
          <w:p>
            <w:r>
              <w:rPr>
                <w:b w:val="0"/>
                <w:color w:val="8A2B06"/>
                <w:sz w:val="19"/>
              </w:rPr>
              <w:t>⚠ Security — do NOT transmit ANY secret through this document. Passwords (databases, service accounts), certificate private keys and the activation key secret must NOT appear here. Provide them through a separate secure channel (vault, encrypted transfer). Here we only ask for structures (hosts, ports, names), PUBLIC certificates and certificate authorities (CAs).</w:t>
            </w:r>
          </w:p>
        </w:tc>
      </w:tr>
    </w:tbl>
    <w:p>
      <w:pPr>
        <w:spacing w:after="80"/>
      </w:pPr>
    </w:p>
    <w:p>
      <w:r>
        <w:br w:type="page"/>
      </w: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PKI-01 · PKI / Security</w:t>
            </w:r>
          </w:p>
        </w:tc>
      </w:tr>
    </w:tbl>
    <w:p>
      <w:pPr>
        <w:spacing w:after="20"/>
      </w:pPr>
    </w:p>
    <w:p>
      <w:pPr>
        <w:spacing w:after="80"/>
      </w:pPr>
      <w:r>
        <w:rPr>
          <w:color w:val="555555"/>
          <w:sz w:val="19"/>
        </w:rPr>
        <w:t>Contact: ______________________</w:t>
      </w:r>
      <w:r>
        <w:rPr>
          <w:b/>
          <w:color w:val="1F3864"/>
          <w:sz w:val="19"/>
        </w:rPr>
        <w:t xml:space="preserve">        Deadline: Week 1 (critical path — milestone G1)</w:t>
      </w:r>
    </w:p>
    <w:p>
      <w:pPr>
        <w:spacing w:after="120" w:before="0"/>
      </w:pPr>
      <w:r>
        <w:rPr>
          <w:b w:val="0"/>
          <w:i/>
          <w:color w:val="555555"/>
          <w:sz w:val="20"/>
        </w:rPr>
        <w:t>The enterprise PKI issues certificates for both Satellite servers AND the AAP services. Self-signed certificates are forbidden.</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Requirement</w:t>
            </w:r>
          </w:p>
        </w:tc>
        <w:tc>
          <w:tcPr>
            <w:tcW w:type="dxa" w:w="5839"/>
            <w:shd w:val="clear" w:fill="1F3864"/>
          </w:tcPr>
          <w:p>
            <w:r/>
            <w:r>
              <w:rPr>
                <w:b/>
                <w:color w:val="FFFFFF"/>
                <w:sz w:val="19"/>
              </w:rPr>
              <w:t>Detail / expected value</w:t>
            </w:r>
          </w:p>
        </w:tc>
        <w:tc>
          <w:tcPr>
            <w:tcW w:type="dxa" w:w="737"/>
            <w:shd w:val="clear" w:fill="1F3864"/>
          </w:tcPr>
          <w:p>
            <w:r/>
            <w:r>
              <w:rPr>
                <w:b/>
                <w:color w:val="FFFFFF"/>
                <w:sz w:val="19"/>
              </w:rPr>
              <w:t>Done</w:t>
            </w:r>
          </w:p>
        </w:tc>
      </w:tr>
      <w:tr>
        <w:tc>
          <w:tcPr>
            <w:tcW w:type="dxa" w:w="2665"/>
          </w:tcPr>
          <w:p>
            <w:r/>
            <w:r>
              <w:rPr>
                <w:b/>
                <w:color w:val="1F3864"/>
                <w:sz w:val="17"/>
              </w:rPr>
              <w:t xml:space="preserve">[Satellite] </w:t>
            </w:r>
            <w:r>
              <w:rPr>
                <w:b/>
                <w:sz w:val="19"/>
              </w:rPr>
              <w:t>Satellite server certificate — Production</w:t>
            </w:r>
          </w:p>
        </w:tc>
        <w:tc>
          <w:tcPr>
            <w:tcW w:type="dxa" w:w="5839"/>
          </w:tcPr>
          <w:p>
            <w:pPr>
              <w:spacing w:after="40"/>
            </w:pPr>
            <w:r/>
            <w:r>
              <w:rPr>
                <w:sz w:val="19"/>
              </w:rPr>
              <w:t>X.509 signed by the enterprise PKI. CN and SAN = exact FQDN of the production Satellite.</w:t>
            </w:r>
          </w:p>
          <w:p>
            <w:pPr>
              <w:spacing w:after="40"/>
            </w:pPr>
            <w:r>
              <w:rPr>
                <w:sz w:val="19"/>
              </w:rPr>
              <w:t>Files: server.crt, server.key, ca-bundle.crt chain.</w:t>
            </w:r>
          </w:p>
        </w:tc>
        <w:tc>
          <w:tcPr>
            <w:tcW w:type="dxa" w:w="737"/>
          </w:tcPr>
          <w:p>
            <w:pPr>
              <w:jc w:val="center"/>
            </w:pPr>
            <w:r/>
            <w:r>
              <w:rPr>
                <w:sz w:val="26"/>
              </w:rPr>
              <w:t>☐</w:t>
            </w:r>
          </w:p>
        </w:tc>
      </w:tr>
      <w:tr>
        <w:tc>
          <w:tcPr>
            <w:tcW w:type="dxa" w:w="2665"/>
          </w:tcPr>
          <w:p>
            <w:r/>
            <w:r>
              <w:rPr>
                <w:b/>
                <w:color w:val="1F3864"/>
                <w:sz w:val="17"/>
              </w:rPr>
              <w:t xml:space="preserve">[Satellite] </w:t>
            </w:r>
            <w:r>
              <w:rPr>
                <w:b/>
                <w:sz w:val="19"/>
              </w:rPr>
              <w:t>Satellite server certificate — Qualification</w:t>
            </w:r>
          </w:p>
        </w:tc>
        <w:tc>
          <w:tcPr>
            <w:tcW w:type="dxa" w:w="5839"/>
          </w:tcPr>
          <w:p>
            <w:pPr>
              <w:spacing w:after="40"/>
            </w:pPr>
            <w:r/>
            <w:r>
              <w:rPr>
                <w:sz w:val="19"/>
              </w:rPr>
              <w:t>Separate certificate, CN and SAN = FQDN of the qualification Satellite. Do not reuse the production certificate.</w:t>
            </w:r>
          </w:p>
        </w:tc>
        <w:tc>
          <w:tcPr>
            <w:tcW w:type="dxa" w:w="737"/>
          </w:tcPr>
          <w:p>
            <w:pPr>
              <w:jc w:val="center"/>
            </w:pPr>
            <w:r/>
            <w:r>
              <w:rPr>
                <w:sz w:val="26"/>
              </w:rPr>
              <w:t>☐</w:t>
            </w:r>
          </w:p>
        </w:tc>
      </w:tr>
      <w:tr>
        <w:tc>
          <w:tcPr>
            <w:tcW w:type="dxa" w:w="2665"/>
          </w:tcPr>
          <w:p>
            <w:r/>
            <w:r>
              <w:rPr>
                <w:b/>
                <w:color w:val="1F3864"/>
                <w:sz w:val="17"/>
              </w:rPr>
              <w:t xml:space="preserve">[AAP] </w:t>
            </w:r>
            <w:r>
              <w:rPr>
                <w:b/>
                <w:sz w:val="19"/>
              </w:rPr>
              <w:t>AAP service certificates (gateway, controller, hub, EDA)</w:t>
            </w:r>
          </w:p>
        </w:tc>
        <w:tc>
          <w:tcPr>
            <w:tcW w:type="dxa" w:w="5839"/>
          </w:tcPr>
          <w:p>
            <w:pPr>
              <w:spacing w:after="40"/>
            </w:pPr>
            <w:r/>
            <w:r>
              <w:rPr>
                <w:sz w:val="19"/>
              </w:rPr>
              <w:t>Issued by the enterprise PKI. Each certificate carries the correct SANs. IMPORTANT: the GATEWAY certificate must include the public access name (the VIP provided by Network) as a SAN. PROD and QUAL.</w:t>
            </w:r>
          </w:p>
        </w:tc>
        <w:tc>
          <w:tcPr>
            <w:tcW w:type="dxa" w:w="737"/>
          </w:tcPr>
          <w:p>
            <w:pPr>
              <w:jc w:val="center"/>
            </w:pPr>
            <w:r/>
            <w:r>
              <w:rPr>
                <w:sz w:val="26"/>
              </w:rPr>
              <w:t>☐</w:t>
            </w:r>
          </w:p>
        </w:tc>
      </w:tr>
      <w:tr>
        <w:tc>
          <w:tcPr>
            <w:tcW w:type="dxa" w:w="2665"/>
          </w:tcPr>
          <w:p>
            <w:r/>
            <w:r>
              <w:rPr>
                <w:b/>
                <w:color w:val="1F3864"/>
                <w:sz w:val="17"/>
              </w:rPr>
              <w:t xml:space="preserve">[Les deux] </w:t>
            </w:r>
            <w:r>
              <w:rPr>
                <w:b/>
                <w:sz w:val="19"/>
              </w:rPr>
              <w:t>Enterprise CA (PEM bundle)</w:t>
            </w:r>
          </w:p>
        </w:tc>
        <w:tc>
          <w:tcPr>
            <w:tcW w:type="dxa" w:w="5839"/>
          </w:tcPr>
          <w:p>
            <w:pPr>
              <w:spacing w:after="40"/>
            </w:pPr>
            <w:r/>
            <w:r>
              <w:rPr>
                <w:sz w:val="19"/>
              </w:rPr>
              <w:t>Full PEM bundle: intermediate CAs + root, for chain validation (Satellite and AAP services).</w:t>
            </w:r>
          </w:p>
        </w:tc>
        <w:tc>
          <w:tcPr>
            <w:tcW w:type="dxa" w:w="737"/>
          </w:tcPr>
          <w:p>
            <w:pPr>
              <w:jc w:val="center"/>
            </w:pPr>
            <w:r/>
            <w:r>
              <w:rPr>
                <w:sz w:val="26"/>
              </w:rPr>
              <w:t>☐</w:t>
            </w:r>
          </w:p>
        </w:tc>
      </w:tr>
      <w:tr>
        <w:tc>
          <w:tcPr>
            <w:tcW w:type="dxa" w:w="2665"/>
          </w:tcPr>
          <w:p>
            <w:r/>
            <w:r>
              <w:rPr>
                <w:b/>
                <w:color w:val="1F3864"/>
                <w:sz w:val="17"/>
              </w:rPr>
              <w:t xml:space="preserve">[AAP] </w:t>
            </w:r>
            <w:r>
              <w:rPr>
                <w:b/>
                <w:sz w:val="19"/>
              </w:rPr>
              <w:t>PostgreSQL server CA (verify-full)</w:t>
            </w:r>
          </w:p>
        </w:tc>
        <w:tc>
          <w:tcPr>
            <w:tcW w:type="dxa" w:w="5839"/>
          </w:tcPr>
          <w:p>
            <w:pPr>
              <w:spacing w:after="40"/>
            </w:pPr>
            <w:r/>
            <w:r>
              <w:rPr>
                <w:sz w:val="19"/>
              </w:rPr>
              <w:t>The authority that issued the external PostgreSQL SERVER certificate, in PEM format. Required because AAP servers strictly verify the database identity. (To be coordinated with the DBA team.)</w:t>
            </w:r>
          </w:p>
        </w:tc>
        <w:tc>
          <w:tcPr>
            <w:tcW w:type="dxa" w:w="737"/>
          </w:tcPr>
          <w:p>
            <w:pPr>
              <w:jc w:val="center"/>
            </w:pPr>
            <w:r/>
            <w:r>
              <w:rPr>
                <w:sz w:val="26"/>
              </w:rPr>
              <w:t>☐</w:t>
            </w:r>
          </w:p>
        </w:tc>
      </w:tr>
      <w:tr>
        <w:tc>
          <w:tcPr>
            <w:tcW w:type="dxa" w:w="2665"/>
          </w:tcPr>
          <w:p>
            <w:r/>
            <w:r>
              <w:rPr>
                <w:b/>
                <w:color w:val="1F3864"/>
                <w:sz w:val="17"/>
              </w:rPr>
              <w:t xml:space="preserve">[Les deux] </w:t>
            </w:r>
            <w:r>
              <w:rPr>
                <w:b/>
                <w:sz w:val="19"/>
              </w:rPr>
              <w:t>Private keys</w:t>
            </w:r>
          </w:p>
        </w:tc>
        <w:tc>
          <w:tcPr>
            <w:tcW w:type="dxa" w:w="5839"/>
          </w:tcPr>
          <w:p>
            <w:pPr>
              <w:spacing w:after="40"/>
            </w:pPr>
            <w:r/>
            <w:r>
              <w:rPr>
                <w:sz w:val="19"/>
              </w:rPr>
              <w:t>Transmitted over a secure channel (never by e-mail). Stored 0600 root, outside the code repository.</w:t>
            </w:r>
          </w:p>
        </w:tc>
        <w:tc>
          <w:tcPr>
            <w:tcW w:type="dxa" w:w="737"/>
          </w:tcPr>
          <w:p>
            <w:pPr>
              <w:jc w:val="center"/>
            </w:pPr>
            <w:r/>
            <w:r>
              <w:rPr>
                <w:sz w:val="26"/>
              </w:rPr>
              <w:t>☐</w:t>
            </w:r>
          </w:p>
        </w:tc>
      </w:tr>
      <w:tr>
        <w:tc>
          <w:tcPr>
            <w:tcW w:type="dxa" w:w="2665"/>
          </w:tcPr>
          <w:p>
            <w:r/>
            <w:r>
              <w:rPr>
                <w:b/>
                <w:color w:val="1F3864"/>
                <w:sz w:val="17"/>
              </w:rPr>
              <w:t xml:space="preserve">[Les deux] </w:t>
            </w:r>
            <w:r>
              <w:rPr>
                <w:b/>
                <w:sz w:val="19"/>
              </w:rPr>
              <w:t>Renewal</w:t>
            </w:r>
          </w:p>
        </w:tc>
        <w:tc>
          <w:tcPr>
            <w:tcW w:type="dxa" w:w="5839"/>
          </w:tcPr>
          <w:p>
            <w:pPr>
              <w:spacing w:after="40"/>
            </w:pPr>
            <w:r/>
            <w:r>
              <w:rPr>
                <w:sz w:val="19"/>
              </w:rPr>
              <w:t>Validity period and renewal procedure communicated.</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Why it matters — </w:t>
            </w:r>
            <w:r>
              <w:rPr>
                <w:i/>
                <w:color w:val="555555"/>
                <w:sz w:val="19"/>
              </w:rPr>
              <w:t xml:space="preserve"> Certificates are placed at the very first installation. Replacing them later forces regenerating the certificates of hundreds of registered clients. A CN that does not exactly match the FQDN breaks the connection, with no explicit error. On the AAP side, a missing PostgreSQL server CA makes the installation fail under verify-full.</w:t>
            </w:r>
          </w:p>
        </w:tc>
      </w:tr>
    </w:tbl>
    <w:p>
      <w:pPr>
        <w:spacing w:after="40"/>
      </w:pPr>
    </w:p>
    <w:p>
      <w:pPr>
        <w:spacing w:after="40" w:before="80"/>
      </w:pPr>
      <w:r>
        <w:rPr>
          <w:b/>
          <w:i w:val="0"/>
          <w:color w:val="1F3864"/>
          <w:sz w:val="19"/>
        </w:rPr>
        <w:t>Notes</w:t>
      </w:r>
    </w:p>
    <w:p>
      <w:pPr>
        <w:pStyle w:val="ListBullet"/>
        <w:spacing w:after="40"/>
      </w:pPr>
      <w:r>
        <w:rPr>
          <w:color w:val="555555"/>
          <w:sz w:val="19"/>
        </w:rPr>
        <w:t>CN and SAN must match the FQDN to the character — a qualification certificate placed in production is a silent outage.</w:t>
      </w:r>
    </w:p>
    <w:p>
      <w:pPr>
        <w:pStyle w:val="ListBullet"/>
        <w:spacing w:after="40"/>
      </w:pPr>
      <w:r>
        <w:rPr>
          <w:color w:val="555555"/>
          <w:sz w:val="19"/>
        </w:rPr>
        <w:t>Each Satellite certificate is validated automatically (katello-certs-check) before installation.</w:t>
      </w:r>
    </w:p>
    <w:p>
      <w:pPr>
        <w:pStyle w:val="ListBullet"/>
        <w:spacing w:after="40"/>
      </w:pPr>
      <w:r>
        <w:rPr>
          <w:color w:val="555555"/>
          <w:sz w:val="19"/>
        </w:rPr>
        <w:t>The VIP name (Network) must appear as a SAN on the AAP gateway certificate.</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AD-01 · Active Directory</w:t>
            </w:r>
          </w:p>
        </w:tc>
      </w:tr>
    </w:tbl>
    <w:p>
      <w:pPr>
        <w:spacing w:after="20"/>
      </w:pPr>
    </w:p>
    <w:p>
      <w:pPr>
        <w:spacing w:after="80"/>
      </w:pPr>
      <w:r>
        <w:rPr>
          <w:color w:val="555555"/>
          <w:sz w:val="19"/>
        </w:rPr>
        <w:t>Contact: ______________________</w:t>
      </w:r>
      <w:r>
        <w:rPr>
          <w:b/>
          <w:color w:val="1F3864"/>
          <w:sz w:val="19"/>
        </w:rPr>
        <w:t xml:space="preserve">        Deadline: Week 1 (critical path — milestone G1)</w:t>
      </w:r>
    </w:p>
    <w:p>
      <w:pPr>
        <w:spacing w:after="120" w:before="0"/>
      </w:pPr>
      <w:r>
        <w:rPr>
          <w:b w:val="0"/>
          <w:i/>
          <w:color w:val="555555"/>
          <w:sz w:val="20"/>
        </w:rPr>
        <w:t>Satellite authenticates against AD over LDAPS and drives the Hyper-V cluster via WinRM Kerberos. Three parts: service account, groups, delegation.</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Requirement</w:t>
            </w:r>
          </w:p>
        </w:tc>
        <w:tc>
          <w:tcPr>
            <w:tcW w:type="dxa" w:w="5839"/>
            <w:shd w:val="clear" w:fill="1F3864"/>
          </w:tcPr>
          <w:p>
            <w:r/>
            <w:r>
              <w:rPr>
                <w:b/>
                <w:color w:val="FFFFFF"/>
                <w:sz w:val="19"/>
              </w:rPr>
              <w:t>Detail / expected value</w:t>
            </w:r>
          </w:p>
        </w:tc>
        <w:tc>
          <w:tcPr>
            <w:tcW w:type="dxa" w:w="737"/>
            <w:shd w:val="clear" w:fill="1F3864"/>
          </w:tcPr>
          <w:p>
            <w:r/>
            <w:r>
              <w:rPr>
                <w:b/>
                <w:color w:val="FFFFFF"/>
                <w:sz w:val="19"/>
              </w:rPr>
              <w:t>Done</w:t>
            </w:r>
          </w:p>
        </w:tc>
      </w:tr>
      <w:tr>
        <w:tc>
          <w:tcPr>
            <w:tcW w:type="dxa" w:w="2665"/>
          </w:tcPr>
          <w:p>
            <w:r/>
            <w:r>
              <w:rPr>
                <w:b/>
                <w:color w:val="1F3864"/>
                <w:sz w:val="17"/>
              </w:rPr>
              <w:t xml:space="preserve">[Satellite] </w:t>
            </w:r>
            <w:r>
              <w:rPr>
                <w:b/>
                <w:sz w:val="19"/>
              </w:rPr>
              <w:t>LDAPS service account</w:t>
            </w:r>
          </w:p>
        </w:tc>
        <w:tc>
          <w:tcPr>
            <w:tcW w:type="dxa" w:w="5839"/>
          </w:tcPr>
          <w:p>
            <w:pPr>
              <w:spacing w:after="40"/>
            </w:pPr>
            <w:r/>
            <w:r>
              <w:rPr>
                <w:sz w:val="19"/>
              </w:rPr>
              <w:t>Read-only directory account. Non-expiring password (or rotation communicated). Used by Satellite for user authentication.</w:t>
            </w:r>
          </w:p>
        </w:tc>
        <w:tc>
          <w:tcPr>
            <w:tcW w:type="dxa" w:w="737"/>
          </w:tcPr>
          <w:p>
            <w:pPr>
              <w:jc w:val="center"/>
            </w:pPr>
            <w:r/>
            <w:r>
              <w:rPr>
                <w:sz w:val="26"/>
              </w:rPr>
              <w:t>☐</w:t>
            </w:r>
          </w:p>
        </w:tc>
      </w:tr>
      <w:tr>
        <w:tc>
          <w:tcPr>
            <w:tcW w:type="dxa" w:w="2665"/>
          </w:tcPr>
          <w:p>
            <w:r/>
            <w:r>
              <w:rPr>
                <w:b/>
                <w:color w:val="1F3864"/>
                <w:sz w:val="17"/>
              </w:rPr>
              <w:t xml:space="preserve">[Satellite] </w:t>
            </w:r>
            <w:r>
              <w:rPr>
                <w:b/>
                <w:sz w:val="19"/>
              </w:rPr>
              <w:t>AD CA certificate</w:t>
            </w:r>
          </w:p>
        </w:tc>
        <w:tc>
          <w:tcPr>
            <w:tcW w:type="dxa" w:w="5839"/>
          </w:tcPr>
          <w:p>
            <w:pPr>
              <w:spacing w:after="40"/>
            </w:pPr>
            <w:r/>
            <w:r>
              <w:rPr>
                <w:sz w:val="19"/>
              </w:rPr>
              <w:t>AD certificate authority, to be added to the Satellite trust store (otherwise LDAPS fails silently).</w:t>
            </w:r>
          </w:p>
        </w:tc>
        <w:tc>
          <w:tcPr>
            <w:tcW w:type="dxa" w:w="737"/>
          </w:tcPr>
          <w:p>
            <w:pPr>
              <w:jc w:val="center"/>
            </w:pPr>
            <w:r/>
            <w:r>
              <w:rPr>
                <w:sz w:val="26"/>
              </w:rPr>
              <w:t>☐</w:t>
            </w:r>
          </w:p>
        </w:tc>
      </w:tr>
      <w:tr>
        <w:tc>
          <w:tcPr>
            <w:tcW w:type="dxa" w:w="2665"/>
          </w:tcPr>
          <w:p>
            <w:r/>
            <w:r>
              <w:rPr>
                <w:b/>
                <w:color w:val="1F3864"/>
                <w:sz w:val="17"/>
              </w:rPr>
              <w:t xml:space="preserve">[Satellite] </w:t>
            </w:r>
            <w:r>
              <w:rPr>
                <w:b/>
                <w:sz w:val="19"/>
              </w:rPr>
              <w:t>Security groups (flat)</w:t>
            </w:r>
          </w:p>
        </w:tc>
        <w:tc>
          <w:tcPr>
            <w:tcW w:type="dxa" w:w="5839"/>
          </w:tcPr>
          <w:p>
            <w:pPr>
              <w:spacing w:after="40"/>
            </w:pPr>
            <w:r/>
            <w:r>
              <w:rPr>
                <w:sz w:val="19"/>
              </w:rPr>
              <w:t>Dedicated, non-nested groups: administrators, operators, provisioners, readers. Nesting is not reliably resolved.</w:t>
            </w:r>
          </w:p>
        </w:tc>
        <w:tc>
          <w:tcPr>
            <w:tcW w:type="dxa" w:w="737"/>
          </w:tcPr>
          <w:p>
            <w:pPr>
              <w:jc w:val="center"/>
            </w:pPr>
            <w:r/>
            <w:r>
              <w:rPr>
                <w:sz w:val="26"/>
              </w:rPr>
              <w:t>☐</w:t>
            </w:r>
          </w:p>
        </w:tc>
      </w:tr>
      <w:tr>
        <w:tc>
          <w:tcPr>
            <w:tcW w:type="dxa" w:w="2665"/>
          </w:tcPr>
          <w:p>
            <w:r/>
            <w:r>
              <w:rPr>
                <w:b/>
                <w:color w:val="1F3864"/>
                <w:sz w:val="17"/>
              </w:rPr>
              <w:t xml:space="preserve">[Satellite] </w:t>
            </w:r>
            <w:r>
              <w:rPr>
                <w:b/>
                <w:sz w:val="19"/>
              </w:rPr>
              <w:t>Ansible service account</w:t>
            </w:r>
          </w:p>
        </w:tc>
        <w:tc>
          <w:tcPr>
            <w:tcW w:type="dxa" w:w="5839"/>
          </w:tcPr>
          <w:p>
            <w:pPr>
              <w:spacing w:after="40"/>
            </w:pPr>
            <w:r/>
            <w:r>
              <w:rPr>
                <w:sz w:val="19"/>
              </w:rPr>
              <w:t>Dedicated account to drive Hyper-V and automation. Kerberos keytab generated and provided (preferred over password).</w:t>
            </w:r>
          </w:p>
        </w:tc>
        <w:tc>
          <w:tcPr>
            <w:tcW w:type="dxa" w:w="737"/>
          </w:tcPr>
          <w:p>
            <w:pPr>
              <w:jc w:val="center"/>
            </w:pPr>
            <w:r/>
            <w:r>
              <w:rPr>
                <w:sz w:val="26"/>
              </w:rPr>
              <w:t>☐</w:t>
            </w:r>
          </w:p>
        </w:tc>
      </w:tr>
      <w:tr>
        <w:tc>
          <w:tcPr>
            <w:tcW w:type="dxa" w:w="2665"/>
          </w:tcPr>
          <w:p>
            <w:r/>
            <w:r>
              <w:rPr>
                <w:b/>
                <w:color w:val="1F3864"/>
                <w:sz w:val="17"/>
              </w:rPr>
              <w:t xml:space="preserve">[Satellite] </w:t>
            </w:r>
            <w:r>
              <w:rPr>
                <w:b/>
                <w:sz w:val="19"/>
              </w:rPr>
              <w:t>Constrained Kerberos delegation</w:t>
            </w:r>
          </w:p>
        </w:tc>
        <w:tc>
          <w:tcPr>
            <w:tcW w:type="dxa" w:w="5839"/>
          </w:tcPr>
          <w:p>
            <w:pPr>
              <w:spacing w:after="40"/>
            </w:pPr>
            <w:r/>
            <w:r>
              <w:rPr>
                <w:sz w:val="19"/>
              </w:rPr>
              <w:t>Hyper-V node machine accounts trusted for delegation to the Ansible service account. Required for writing to the cluster shared storage.</w:t>
            </w:r>
          </w:p>
        </w:tc>
        <w:tc>
          <w:tcPr>
            <w:tcW w:type="dxa" w:w="737"/>
          </w:tcPr>
          <w:p>
            <w:pPr>
              <w:jc w:val="center"/>
            </w:pPr>
            <w:r/>
            <w:r>
              <w:rPr>
                <w:sz w:val="26"/>
              </w:rPr>
              <w:t>☐</w:t>
            </w:r>
          </w:p>
        </w:tc>
      </w:tr>
      <w:tr>
        <w:tc>
          <w:tcPr>
            <w:tcW w:type="dxa" w:w="2665"/>
          </w:tcPr>
          <w:p>
            <w:r/>
            <w:r>
              <w:rPr>
                <w:b/>
                <w:color w:val="1F3864"/>
                <w:sz w:val="17"/>
              </w:rPr>
              <w:t xml:space="preserve">[Satellite] </w:t>
            </w:r>
            <w:r>
              <w:rPr>
                <w:b/>
                <w:sz w:val="19"/>
              </w:rPr>
              <w:t>DNS zone (A + PTR)</w:t>
            </w:r>
          </w:p>
        </w:tc>
        <w:tc>
          <w:tcPr>
            <w:tcW w:type="dxa" w:w="5839"/>
          </w:tcPr>
          <w:p>
            <w:pPr>
              <w:spacing w:after="40"/>
            </w:pPr>
            <w:r/>
            <w:r>
              <w:rPr>
                <w:sz w:val="19"/>
              </w:rPr>
              <w:t>A + PTR records for each Satellite (production and qualification). Forward AND reverse resolution mandatory.</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Why it matters — </w:t>
            </w:r>
            <w:r>
              <w:rPr>
                <w:i/>
                <w:color w:val="555555"/>
                <w:sz w:val="19"/>
              </w:rPr>
              <w:t xml:space="preserve"> Without Kerberos delegation, VM disk creation on shared storage fails with a hard-to-diagnose "access denied". Without PTR, Satellite refuses to install. Since nested groups do not resolve reliably, a legitimate user may be denied access for no apparent reason.</w:t>
            </w:r>
          </w:p>
        </w:tc>
      </w:tr>
    </w:tbl>
    <w:p>
      <w:pPr>
        <w:spacing w:after="40"/>
      </w:pPr>
    </w:p>
    <w:p>
      <w:pPr>
        <w:spacing w:after="40" w:before="80"/>
      </w:pPr>
      <w:r>
        <w:rPr>
          <w:b/>
          <w:i w:val="0"/>
          <w:color w:val="1F3864"/>
          <w:sz w:val="19"/>
        </w:rPr>
        <w:t>Notes</w:t>
      </w:r>
    </w:p>
    <w:p>
      <w:pPr>
        <w:pStyle w:val="ListBullet"/>
        <w:spacing w:after="40"/>
      </w:pPr>
      <w:r>
        <w:rPr>
          <w:color w:val="555555"/>
          <w:sz w:val="19"/>
        </w:rPr>
        <w:t>Provide a test account that is a member of a group to validate end-to-end authentication before cut-over.</w:t>
      </w:r>
    </w:p>
    <w:p>
      <w:pPr>
        <w:pStyle w:val="ListBullet"/>
        <w:spacing w:after="40"/>
      </w:pPr>
      <w:r>
        <w:rPr>
          <w:color w:val="555555"/>
          <w:sz w:val="19"/>
        </w:rPr>
        <w:t>The requested delegation is constrained (to the service account only), not general — the safest choice.</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NET-01 · Network / DHCP-DNS</w:t>
            </w:r>
          </w:p>
        </w:tc>
      </w:tr>
    </w:tbl>
    <w:p>
      <w:pPr>
        <w:spacing w:after="20"/>
      </w:pPr>
    </w:p>
    <w:p>
      <w:pPr>
        <w:spacing w:after="80"/>
      </w:pPr>
      <w:r>
        <w:rPr>
          <w:color w:val="555555"/>
          <w:sz w:val="19"/>
        </w:rPr>
        <w:t>Contact: ______________________</w:t>
      </w:r>
      <w:r>
        <w:rPr>
          <w:b/>
          <w:color w:val="1F3864"/>
          <w:sz w:val="19"/>
        </w:rPr>
        <w:t xml:space="preserve">        Deadline: Week 1 (critical path — milestone G1)</w:t>
      </w:r>
    </w:p>
    <w:p>
      <w:pPr>
        <w:spacing w:after="120" w:before="0"/>
      </w:pPr>
      <w:r>
        <w:rPr>
          <w:b w:val="0"/>
          <w:i/>
          <w:color w:val="555555"/>
          <w:sz w:val="20"/>
        </w:rPr>
        <w:t>DNS and DHCP remain Microsoft-managed; Satellite does not take them over. On the AAP side, the entry point (VIP), time and flows must be provided.</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Requirement</w:t>
            </w:r>
          </w:p>
        </w:tc>
        <w:tc>
          <w:tcPr>
            <w:tcW w:type="dxa" w:w="5839"/>
            <w:shd w:val="clear" w:fill="1F3864"/>
          </w:tcPr>
          <w:p>
            <w:r/>
            <w:r>
              <w:rPr>
                <w:b/>
                <w:color w:val="FFFFFF"/>
                <w:sz w:val="19"/>
              </w:rPr>
              <w:t>Detail / expected value</w:t>
            </w:r>
          </w:p>
        </w:tc>
        <w:tc>
          <w:tcPr>
            <w:tcW w:type="dxa" w:w="737"/>
            <w:shd w:val="clear" w:fill="1F3864"/>
          </w:tcPr>
          <w:p>
            <w:r/>
            <w:r>
              <w:rPr>
                <w:b/>
                <w:color w:val="FFFFFF"/>
                <w:sz w:val="19"/>
              </w:rPr>
              <w:t>Done</w:t>
            </w:r>
          </w:p>
        </w:tc>
      </w:tr>
      <w:tr>
        <w:tc>
          <w:tcPr>
            <w:tcW w:type="dxa" w:w="2665"/>
          </w:tcPr>
          <w:p>
            <w:r/>
            <w:r>
              <w:rPr>
                <w:b/>
                <w:color w:val="1F3864"/>
                <w:sz w:val="17"/>
              </w:rPr>
              <w:t xml:space="preserve">[Les deux] </w:t>
            </w:r>
            <w:r>
              <w:rPr>
                <w:b/>
                <w:sz w:val="19"/>
              </w:rPr>
              <w:t>Reserved IP addresses</w:t>
            </w:r>
          </w:p>
        </w:tc>
        <w:tc>
          <w:tcPr>
            <w:tcW w:type="dxa" w:w="5839"/>
          </w:tcPr>
          <w:p>
            <w:pPr>
              <w:spacing w:after="40"/>
            </w:pPr>
            <w:r/>
            <w:r>
              <w:rPr>
                <w:sz w:val="19"/>
              </w:rPr>
              <w:t>One static IP per Satellite (prod + qual) and per AAP node, plus automation VMs. Associated DNS records (see AD-01).</w:t>
            </w:r>
          </w:p>
        </w:tc>
        <w:tc>
          <w:tcPr>
            <w:tcW w:type="dxa" w:w="737"/>
          </w:tcPr>
          <w:p>
            <w:pPr>
              <w:jc w:val="center"/>
            </w:pPr>
            <w:r/>
            <w:r>
              <w:rPr>
                <w:sz w:val="26"/>
              </w:rPr>
              <w:t>☐</w:t>
            </w:r>
          </w:p>
        </w:tc>
      </w:tr>
      <w:tr>
        <w:tc>
          <w:tcPr>
            <w:tcW w:type="dxa" w:w="2665"/>
          </w:tcPr>
          <w:p>
            <w:r/>
            <w:r>
              <w:rPr>
                <w:b/>
                <w:color w:val="1F3864"/>
                <w:sz w:val="17"/>
              </w:rPr>
              <w:t xml:space="preserve">[Satellite] </w:t>
            </w:r>
            <w:r>
              <w:rPr>
                <w:b/>
                <w:sz w:val="19"/>
              </w:rPr>
              <w:t>Production VLAN</w:t>
            </w:r>
          </w:p>
        </w:tc>
        <w:tc>
          <w:tcPr>
            <w:tcW w:type="dxa" w:w="5839"/>
          </w:tcPr>
          <w:p>
            <w:pPr>
              <w:spacing w:after="40"/>
            </w:pPr>
            <w:r/>
            <w:r>
              <w:rPr>
                <w:sz w:val="19"/>
              </w:rPr>
              <w:t>Target VLAN defined and communicated. Prerequisite for VM preparation by Hyper-V.</w:t>
            </w:r>
          </w:p>
        </w:tc>
        <w:tc>
          <w:tcPr>
            <w:tcW w:type="dxa" w:w="737"/>
          </w:tcPr>
          <w:p>
            <w:pPr>
              <w:jc w:val="center"/>
            </w:pPr>
            <w:r/>
            <w:r>
              <w:rPr>
                <w:sz w:val="26"/>
              </w:rPr>
              <w:t>☐</w:t>
            </w:r>
          </w:p>
        </w:tc>
      </w:tr>
      <w:tr>
        <w:tc>
          <w:tcPr>
            <w:tcW w:type="dxa" w:w="2665"/>
          </w:tcPr>
          <w:p>
            <w:r/>
            <w:r>
              <w:rPr>
                <w:b/>
                <w:color w:val="1F3864"/>
                <w:sz w:val="17"/>
              </w:rPr>
              <w:t xml:space="preserve">[Satellite] </w:t>
            </w:r>
            <w:r>
              <w:rPr>
                <w:b/>
                <w:sz w:val="19"/>
              </w:rPr>
              <w:t>PXE options on Microsoft DHCP</w:t>
            </w:r>
          </w:p>
        </w:tc>
        <w:tc>
          <w:tcPr>
            <w:tcW w:type="dxa" w:w="5839"/>
          </w:tcPr>
          <w:p>
            <w:pPr>
              <w:spacing w:after="40"/>
            </w:pPr>
            <w:r/>
            <w:r>
              <w:rPr>
                <w:sz w:val="19"/>
              </w:rPr>
              <w:t>Per-vendor-class policies to distinguish BIOS / UEFI / UEFI HTTP. Each policy points to Satellite (next-server) and the correct boot file.</w:t>
            </w:r>
          </w:p>
        </w:tc>
        <w:tc>
          <w:tcPr>
            <w:tcW w:type="dxa" w:w="737"/>
          </w:tcPr>
          <w:p>
            <w:pPr>
              <w:jc w:val="center"/>
            </w:pPr>
            <w:r/>
            <w:r>
              <w:rPr>
                <w:sz w:val="26"/>
              </w:rPr>
              <w:t>☐</w:t>
            </w:r>
          </w:p>
        </w:tc>
      </w:tr>
      <w:tr>
        <w:tc>
          <w:tcPr>
            <w:tcW w:type="dxa" w:w="2665"/>
          </w:tcPr>
          <w:p>
            <w:r/>
            <w:r>
              <w:rPr>
                <w:b/>
                <w:color w:val="1F3864"/>
                <w:sz w:val="17"/>
              </w:rPr>
              <w:t xml:space="preserve">[Satellite] </w:t>
            </w:r>
            <w:r>
              <w:rPr>
                <w:b/>
                <w:sz w:val="19"/>
              </w:rPr>
              <w:t>Allocation range exclusion</w:t>
            </w:r>
          </w:p>
        </w:tc>
        <w:tc>
          <w:tcPr>
            <w:tcW w:type="dxa" w:w="5839"/>
          </w:tcPr>
          <w:p>
            <w:pPr>
              <w:spacing w:after="40"/>
            </w:pPr>
            <w:r/>
            <w:r>
              <w:rPr>
                <w:sz w:val="19"/>
              </w:rPr>
              <w:t>The range managed by Satellite must be EXCLUDED from the Microsoft DHCP dynamic pool. The two ranges must never overlap.</w:t>
            </w:r>
          </w:p>
        </w:tc>
        <w:tc>
          <w:tcPr>
            <w:tcW w:type="dxa" w:w="737"/>
          </w:tcPr>
          <w:p>
            <w:pPr>
              <w:jc w:val="center"/>
            </w:pPr>
            <w:r/>
            <w:r>
              <w:rPr>
                <w:sz w:val="26"/>
              </w:rPr>
              <w:t>☐</w:t>
            </w:r>
          </w:p>
        </w:tc>
      </w:tr>
      <w:tr>
        <w:tc>
          <w:tcPr>
            <w:tcW w:type="dxa" w:w="2665"/>
          </w:tcPr>
          <w:p>
            <w:r/>
            <w:r>
              <w:rPr>
                <w:b/>
                <w:color w:val="1F3864"/>
                <w:sz w:val="17"/>
              </w:rPr>
              <w:t xml:space="preserve">[Satellite] </w:t>
            </w:r>
            <w:r>
              <w:rPr>
                <w:b/>
                <w:sz w:val="19"/>
              </w:rPr>
              <w:t>No PXE conflict</w:t>
            </w:r>
          </w:p>
        </w:tc>
        <w:tc>
          <w:tcPr>
            <w:tcW w:type="dxa" w:w="5839"/>
          </w:tcPr>
          <w:p>
            <w:pPr>
              <w:spacing w:after="40"/>
            </w:pPr>
            <w:r/>
            <w:r>
              <w:rPr>
                <w:sz w:val="19"/>
              </w:rPr>
              <w:t>Confirm that no other PXE server (WDS, SCCM) responds on the deployment VLAN.</w:t>
            </w:r>
          </w:p>
        </w:tc>
        <w:tc>
          <w:tcPr>
            <w:tcW w:type="dxa" w:w="737"/>
          </w:tcPr>
          <w:p>
            <w:pPr>
              <w:jc w:val="center"/>
            </w:pPr>
            <w:r/>
            <w:r>
              <w:rPr>
                <w:sz w:val="26"/>
              </w:rPr>
              <w:t>☐</w:t>
            </w:r>
          </w:p>
        </w:tc>
      </w:tr>
      <w:tr>
        <w:tc>
          <w:tcPr>
            <w:tcW w:type="dxa" w:w="2665"/>
          </w:tcPr>
          <w:p>
            <w:r/>
            <w:r>
              <w:rPr>
                <w:b/>
                <w:color w:val="1F3864"/>
                <w:sz w:val="17"/>
              </w:rPr>
              <w:t xml:space="preserve">[AAP] </w:t>
            </w:r>
            <w:r>
              <w:rPr>
                <w:b/>
                <w:sz w:val="19"/>
              </w:rPr>
              <w:t>Single AAP entry point (VIP + FQDN)</w:t>
            </w:r>
          </w:p>
        </w:tc>
        <w:tc>
          <w:tcPr>
            <w:tcW w:type="dxa" w:w="5839"/>
          </w:tcPr>
          <w:p>
            <w:pPr>
              <w:spacing w:after="40"/>
            </w:pPr>
            <w:r/>
            <w:r>
              <w:rPr>
                <w:sz w:val="19"/>
              </w:rPr>
              <w:t>Virtual address + DNS name in front of the 2 AAP gateways, on a load balancer distributing over 443. PROD and QUAL. This VIP is also used by the post-install check AND must appear as a SAN on the gateway certificate (see PKI-01).</w:t>
            </w:r>
          </w:p>
        </w:tc>
        <w:tc>
          <w:tcPr>
            <w:tcW w:type="dxa" w:w="737"/>
          </w:tcPr>
          <w:p>
            <w:pPr>
              <w:jc w:val="center"/>
            </w:pPr>
            <w:r/>
            <w:r>
              <w:rPr>
                <w:sz w:val="26"/>
              </w:rPr>
              <w:t>☐</w:t>
            </w:r>
          </w:p>
        </w:tc>
      </w:tr>
      <w:tr>
        <w:tc>
          <w:tcPr>
            <w:tcW w:type="dxa" w:w="2665"/>
          </w:tcPr>
          <w:p>
            <w:r/>
            <w:r>
              <w:rPr>
                <w:b/>
                <w:color w:val="1F3864"/>
                <w:sz w:val="17"/>
              </w:rPr>
              <w:t xml:space="preserve">[Les deux] </w:t>
            </w:r>
            <w:r>
              <w:rPr>
                <w:b/>
                <w:sz w:val="19"/>
              </w:rPr>
              <w:t>Time servers (NTP)</w:t>
            </w:r>
          </w:p>
        </w:tc>
        <w:tc>
          <w:tcPr>
            <w:tcW w:type="dxa" w:w="5839"/>
          </w:tcPr>
          <w:p>
            <w:pPr>
              <w:spacing w:after="40"/>
            </w:pPr>
            <w:r/>
            <w:r>
              <w:rPr>
                <w:sz w:val="19"/>
              </w:rPr>
              <w:t>List of NTP servers the hosts synchronise to (typically the AD DCs). PROD and QUAL if different.</w:t>
            </w:r>
          </w:p>
        </w:tc>
        <w:tc>
          <w:tcPr>
            <w:tcW w:type="dxa" w:w="737"/>
          </w:tcPr>
          <w:p>
            <w:pPr>
              <w:jc w:val="center"/>
            </w:pPr>
            <w:r/>
            <w:r>
              <w:rPr>
                <w:sz w:val="26"/>
              </w:rPr>
              <w:t>☐</w:t>
            </w:r>
          </w:p>
        </w:tc>
      </w:tr>
      <w:tr>
        <w:tc>
          <w:tcPr>
            <w:tcW w:type="dxa" w:w="2665"/>
          </w:tcPr>
          <w:p>
            <w:r/>
            <w:r>
              <w:rPr>
                <w:b/>
                <w:color w:val="1F3864"/>
                <w:sz w:val="17"/>
              </w:rPr>
              <w:t xml:space="preserve">[Les deux] </w:t>
            </w:r>
            <w:r>
              <w:rPr>
                <w:b/>
                <w:sz w:val="19"/>
              </w:rPr>
              <w:t>Flow authorisation</w:t>
            </w:r>
          </w:p>
        </w:tc>
        <w:tc>
          <w:tcPr>
            <w:tcW w:type="dxa" w:w="5839"/>
          </w:tcPr>
          <w:p>
            <w:pPr>
              <w:spacing w:after="40"/>
            </w:pPr>
            <w:r/>
            <w:r>
              <w:rPr>
                <w:sz w:val="19"/>
              </w:rPr>
              <w:t>To Satellite: 443, 80, 8000, 9090, 8883, 69/udp. From Satellite: 636 (AD), 623/udp (BMC), 443 (Red Hat repo).</w:t>
            </w:r>
          </w:p>
          <w:p>
            <w:pPr>
              <w:spacing w:after="40"/>
            </w:pPr>
            <w:r>
              <w:rPr>
                <w:sz w:val="19"/>
              </w:rPr>
              <w:t>AAP side: users/LB → gateway VIP 443; AAP servers → PostgreSQL 5432; internal AAP mesh 27199/TCP; administration → nodes 22 (SSH).</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Why it matters — </w:t>
            </w:r>
            <w:r>
              <w:rPr>
                <w:i/>
                <w:color w:val="555555"/>
                <w:sz w:val="19"/>
              </w:rPr>
              <w:t xml:space="preserve"> Two PXE servers on the same segment cause non-deterministic boots. An overlap between the Satellite range and the DHCP pool creates silent address conflicts. On the AAP side, without the VIP there is no entry point, and without NTP the encrypted connections and registration fail (the AAP preparation step blocks if NTP is missing).</w:t>
            </w:r>
          </w:p>
        </w:tc>
      </w:tr>
    </w:tbl>
    <w:p>
      <w:pPr>
        <w:spacing w:after="40"/>
      </w:pPr>
    </w:p>
    <w:p>
      <w:pPr>
        <w:spacing w:after="40" w:before="80"/>
      </w:pPr>
      <w:r>
        <w:rPr>
          <w:b/>
          <w:i w:val="0"/>
          <w:color w:val="1F3864"/>
          <w:sz w:val="19"/>
        </w:rPr>
        <w:t>Notes</w:t>
      </w:r>
    </w:p>
    <w:p>
      <w:pPr>
        <w:pStyle w:val="ListBullet"/>
        <w:spacing w:after="40"/>
      </w:pPr>
      <w:r>
        <w:rPr>
          <w:color w:val="555555"/>
          <w:sz w:val="19"/>
        </w:rPr>
        <w:t>The Satellite allocation range and the Microsoft pool must be documented side by side.</w:t>
      </w:r>
    </w:p>
    <w:p>
      <w:pPr>
        <w:pStyle w:val="ListBullet"/>
        <w:spacing w:after="40"/>
      </w:pPr>
      <w:r>
        <w:rPr>
          <w:color w:val="555555"/>
          <w:sz w:val="19"/>
        </w:rPr>
        <w:t>Per-vendor-class DHCP policies are part of the Satellite configuration: to be version-controlled.</w:t>
      </w:r>
    </w:p>
    <w:p>
      <w:pPr>
        <w:pStyle w:val="ListBullet"/>
        <w:spacing w:after="40"/>
      </w:pPr>
      <w:r>
        <w:rPr>
          <w:color w:val="555555"/>
          <w:sz w:val="19"/>
        </w:rPr>
        <w:t>AAP mesh direction (27199): see the QUESTION below in case of a zone/DMZ.</w:t>
      </w:r>
    </w:p>
    <w:p>
      <w:pPr>
        <w:spacing w:before="80" w:after="80"/>
      </w:pPr>
      <w:r>
        <w:rPr>
          <w:b/>
          <w:color w:val="8A2B06"/>
          <w:sz w:val="19"/>
        </w:rPr>
        <w:t>QUESTION — Topology: single-site (single-DC) deployment, or some AAP execution nodes in a separate zone / DMZ? If DMZ, which side is allowed to INITIATE the internal connection (27199) across the boundary? This answer determines the mesh direction and avoids configuring it backwards.</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HV-01 · Hyper-V virtualisation</w:t>
            </w:r>
          </w:p>
        </w:tc>
      </w:tr>
    </w:tbl>
    <w:p>
      <w:pPr>
        <w:spacing w:after="20"/>
      </w:pPr>
    </w:p>
    <w:p>
      <w:pPr>
        <w:spacing w:after="80"/>
      </w:pPr>
      <w:r>
        <w:rPr>
          <w:color w:val="555555"/>
          <w:sz w:val="19"/>
        </w:rPr>
        <w:t>Contact: ______________________</w:t>
      </w:r>
      <w:r>
        <w:rPr>
          <w:b/>
          <w:color w:val="1F3864"/>
          <w:sz w:val="19"/>
        </w:rPr>
        <w:t xml:space="preserve">        Deadline: Weeks 2 to 4</w:t>
      </w:r>
    </w:p>
    <w:p>
      <w:pPr>
        <w:spacing w:after="120" w:before="0"/>
      </w:pPr>
      <w:r>
        <w:rPr>
          <w:b w:val="0"/>
          <w:i/>
          <w:color w:val="555555"/>
          <w:sz w:val="20"/>
        </w:rPr>
        <w:t>VMs are created by automation, but the cluster and its settings must be prepared. Five points are critical for a correct RHEL 9 PXE boot.</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Requirement</w:t>
            </w:r>
          </w:p>
        </w:tc>
        <w:tc>
          <w:tcPr>
            <w:tcW w:type="dxa" w:w="5839"/>
            <w:shd w:val="clear" w:fill="1F3864"/>
          </w:tcPr>
          <w:p>
            <w:r/>
            <w:r>
              <w:rPr>
                <w:b/>
                <w:color w:val="FFFFFF"/>
                <w:sz w:val="19"/>
              </w:rPr>
              <w:t>Detail / expected value</w:t>
            </w:r>
          </w:p>
        </w:tc>
        <w:tc>
          <w:tcPr>
            <w:tcW w:type="dxa" w:w="737"/>
            <w:shd w:val="clear" w:fill="1F3864"/>
          </w:tcPr>
          <w:p>
            <w:r/>
            <w:r>
              <w:rPr>
                <w:b/>
                <w:color w:val="FFFFFF"/>
                <w:sz w:val="19"/>
              </w:rPr>
              <w:t>Done</w:t>
            </w:r>
          </w:p>
        </w:tc>
      </w:tr>
      <w:tr>
        <w:tc>
          <w:tcPr>
            <w:tcW w:type="dxa" w:w="2665"/>
          </w:tcPr>
          <w:p>
            <w:r/>
            <w:r>
              <w:rPr>
                <w:b/>
                <w:color w:val="1F3864"/>
                <w:sz w:val="17"/>
              </w:rPr>
              <w:t xml:space="preserve">[Satellite] </w:t>
            </w:r>
            <w:r>
              <w:rPr>
                <w:b/>
                <w:sz w:val="19"/>
              </w:rPr>
              <w:t>WinRM Kerberos access</w:t>
            </w:r>
          </w:p>
        </w:tc>
        <w:tc>
          <w:tcPr>
            <w:tcW w:type="dxa" w:w="5839"/>
          </w:tcPr>
          <w:p>
            <w:pPr>
              <w:spacing w:after="40"/>
            </w:pPr>
            <w:r/>
            <w:r>
              <w:rPr>
                <w:sz w:val="19"/>
              </w:rPr>
              <w:t>WinRM enabled on cluster nodes, accessible by the Ansible service account (see AD-01).</w:t>
            </w:r>
          </w:p>
        </w:tc>
        <w:tc>
          <w:tcPr>
            <w:tcW w:type="dxa" w:w="737"/>
          </w:tcPr>
          <w:p>
            <w:pPr>
              <w:jc w:val="center"/>
            </w:pPr>
            <w:r/>
            <w:r>
              <w:rPr>
                <w:sz w:val="26"/>
              </w:rPr>
              <w:t>☐</w:t>
            </w:r>
          </w:p>
        </w:tc>
      </w:tr>
      <w:tr>
        <w:tc>
          <w:tcPr>
            <w:tcW w:type="dxa" w:w="2665"/>
          </w:tcPr>
          <w:p>
            <w:r/>
            <w:r>
              <w:rPr>
                <w:b/>
                <w:color w:val="1F3864"/>
                <w:sz w:val="17"/>
              </w:rPr>
              <w:t xml:space="preserve">[Satellite] </w:t>
            </w:r>
            <w:r>
              <w:rPr>
                <w:b/>
                <w:sz w:val="19"/>
              </w:rPr>
              <w:t>Generation 2 + Secure Boot</w:t>
            </w:r>
          </w:p>
        </w:tc>
        <w:tc>
          <w:tcPr>
            <w:tcW w:type="dxa" w:w="5839"/>
          </w:tcPr>
          <w:p>
            <w:pPr>
              <w:spacing w:after="40"/>
            </w:pPr>
            <w:r/>
            <w:r>
              <w:rPr>
                <w:sz w:val="19"/>
              </w:rPr>
              <w:t>Generation 2 VMs (UEFI, native PXE). Secure Boot template "Microsoft UEFI Certificate Authority" — otherwise the Linux loader will not boot.</w:t>
            </w:r>
          </w:p>
        </w:tc>
        <w:tc>
          <w:tcPr>
            <w:tcW w:type="dxa" w:w="737"/>
          </w:tcPr>
          <w:p>
            <w:pPr>
              <w:jc w:val="center"/>
            </w:pPr>
            <w:r/>
            <w:r>
              <w:rPr>
                <w:sz w:val="26"/>
              </w:rPr>
              <w:t>☐</w:t>
            </w:r>
          </w:p>
        </w:tc>
      </w:tr>
      <w:tr>
        <w:tc>
          <w:tcPr>
            <w:tcW w:type="dxa" w:w="2665"/>
          </w:tcPr>
          <w:p>
            <w:r/>
            <w:r>
              <w:rPr>
                <w:b/>
                <w:color w:val="1F3864"/>
                <w:sz w:val="17"/>
              </w:rPr>
              <w:t xml:space="preserve">[Satellite] </w:t>
            </w:r>
            <w:r>
              <w:rPr>
                <w:b/>
                <w:sz w:val="19"/>
              </w:rPr>
              <w:t>Static memory</w:t>
            </w:r>
          </w:p>
        </w:tc>
        <w:tc>
          <w:tcPr>
            <w:tcW w:type="dxa" w:w="5839"/>
          </w:tcPr>
          <w:p>
            <w:pPr>
              <w:spacing w:after="40"/>
            </w:pPr>
            <w:r/>
            <w:r>
              <w:rPr>
                <w:sz w:val="19"/>
              </w:rPr>
              <w:t>Dynamic memory DISABLED on Satellite and automation nodes (ballooning causes erratic memory incidents).</w:t>
            </w:r>
          </w:p>
        </w:tc>
        <w:tc>
          <w:tcPr>
            <w:tcW w:type="dxa" w:w="737"/>
          </w:tcPr>
          <w:p>
            <w:pPr>
              <w:jc w:val="center"/>
            </w:pPr>
            <w:r/>
            <w:r>
              <w:rPr>
                <w:sz w:val="26"/>
              </w:rPr>
              <w:t>☐</w:t>
            </w:r>
          </w:p>
        </w:tc>
      </w:tr>
      <w:tr>
        <w:tc>
          <w:tcPr>
            <w:tcW w:type="dxa" w:w="2665"/>
          </w:tcPr>
          <w:p>
            <w:r/>
            <w:r>
              <w:rPr>
                <w:b/>
                <w:color w:val="1F3864"/>
                <w:sz w:val="17"/>
              </w:rPr>
              <w:t xml:space="preserve">[Satellite] </w:t>
            </w:r>
            <w:r>
              <w:rPr>
                <w:b/>
                <w:sz w:val="19"/>
              </w:rPr>
              <w:t>Time synchronisation</w:t>
            </w:r>
          </w:p>
        </w:tc>
        <w:tc>
          <w:tcPr>
            <w:tcW w:type="dxa" w:w="5839"/>
          </w:tcPr>
          <w:p>
            <w:pPr>
              <w:spacing w:after="40"/>
            </w:pPr>
            <w:r/>
            <w:r>
              <w:rPr>
                <w:sz w:val="19"/>
              </w:rPr>
              <w:t>"Time Synchronization" integration service DISABLED on Linux VMs (they synchronise via chrony to AD/NTP).</w:t>
            </w:r>
          </w:p>
        </w:tc>
        <w:tc>
          <w:tcPr>
            <w:tcW w:type="dxa" w:w="737"/>
          </w:tcPr>
          <w:p>
            <w:pPr>
              <w:jc w:val="center"/>
            </w:pPr>
            <w:r/>
            <w:r>
              <w:rPr>
                <w:sz w:val="26"/>
              </w:rPr>
              <w:t>☐</w:t>
            </w:r>
          </w:p>
        </w:tc>
      </w:tr>
      <w:tr>
        <w:tc>
          <w:tcPr>
            <w:tcW w:type="dxa" w:w="2665"/>
          </w:tcPr>
          <w:p>
            <w:r/>
            <w:r>
              <w:rPr>
                <w:b/>
                <w:color w:val="1F3864"/>
                <w:sz w:val="17"/>
              </w:rPr>
              <w:t xml:space="preserve">[Satellite] </w:t>
            </w:r>
            <w:r>
              <w:rPr>
                <w:b/>
                <w:sz w:val="19"/>
              </w:rPr>
              <w:t>MAC address range</w:t>
            </w:r>
          </w:p>
        </w:tc>
        <w:tc>
          <w:tcPr>
            <w:tcW w:type="dxa" w:w="5839"/>
          </w:tcPr>
          <w:p>
            <w:pPr>
              <w:spacing w:after="40"/>
            </w:pPr>
            <w:r/>
            <w:r>
              <w:rPr>
                <w:sz w:val="19"/>
              </w:rPr>
              <w:t>MAC prefix reserved for this estate, allocated by automation. To be excluded from the cluster dynamic MAC pool.</w:t>
            </w:r>
          </w:p>
        </w:tc>
        <w:tc>
          <w:tcPr>
            <w:tcW w:type="dxa" w:w="737"/>
          </w:tcPr>
          <w:p>
            <w:pPr>
              <w:jc w:val="center"/>
            </w:pPr>
            <w:r/>
            <w:r>
              <w:rPr>
                <w:sz w:val="26"/>
              </w:rPr>
              <w:t>☐</w:t>
            </w:r>
          </w:p>
        </w:tc>
      </w:tr>
      <w:tr>
        <w:tc>
          <w:tcPr>
            <w:tcW w:type="dxa" w:w="2665"/>
          </w:tcPr>
          <w:p>
            <w:r/>
            <w:r>
              <w:rPr>
                <w:b/>
                <w:color w:val="1F3864"/>
                <w:sz w:val="17"/>
              </w:rPr>
              <w:t xml:space="preserve">[Satellite] </w:t>
            </w:r>
            <w:r>
              <w:rPr>
                <w:b/>
                <w:sz w:val="19"/>
              </w:rPr>
              <w:t>Shared storage (CSV)</w:t>
            </w:r>
          </w:p>
        </w:tc>
        <w:tc>
          <w:tcPr>
            <w:tcW w:type="dxa" w:w="5839"/>
          </w:tcPr>
          <w:p>
            <w:pPr>
              <w:spacing w:after="40"/>
            </w:pPr>
            <w:r/>
            <w:r>
              <w:rPr>
                <w:sz w:val="19"/>
              </w:rPr>
              <w:t>Cluster Shared Volume (CSV) accessible from all nodes, for VM hosting.</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Why it matters — </w:t>
            </w:r>
            <w:r>
              <w:rPr>
                <w:i/>
                <w:color w:val="555555"/>
                <w:sz w:val="19"/>
              </w:rPr>
              <w:t xml:space="preserve"> Hyper-V's default Secure Boot template does not trust the Linux loader: the VM will not boot, with no explicit message. This is the most time-costly error. Dynamic memory and Hyper-V time synchronisation, left active, cause intermittent failures hard to trace to their cause.</w:t>
            </w:r>
          </w:p>
        </w:tc>
      </w:tr>
    </w:tbl>
    <w:p>
      <w:pPr>
        <w:spacing w:after="40"/>
      </w:pPr>
    </w:p>
    <w:p>
      <w:pPr>
        <w:spacing w:after="40" w:before="80"/>
      </w:pPr>
      <w:r>
        <w:rPr>
          <w:b/>
          <w:i w:val="0"/>
          <w:color w:val="1F3864"/>
          <w:sz w:val="19"/>
        </w:rPr>
        <w:t>Notes</w:t>
      </w:r>
    </w:p>
    <w:p>
      <w:pPr>
        <w:pStyle w:val="ListBullet"/>
        <w:spacing w:after="40"/>
      </w:pPr>
      <w:r>
        <w:rPr>
          <w:color w:val="555555"/>
          <w:sz w:val="19"/>
        </w:rPr>
        <w:t>The VM ↔ Satellite object link relies on the static MAC: hence the reserved MAC range.</w:t>
      </w:r>
    </w:p>
    <w:p>
      <w:pPr>
        <w:pStyle w:val="ListBullet"/>
        <w:spacing w:after="40"/>
      </w:pPr>
      <w:r>
        <w:rPr>
          <w:color w:val="555555"/>
          <w:sz w:val="19"/>
        </w:rPr>
        <w:t>Validate Secure Boot on one server of each model before rolling out.</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STO-01 · Storage</w:t>
            </w:r>
          </w:p>
        </w:tc>
      </w:tr>
    </w:tbl>
    <w:p>
      <w:pPr>
        <w:spacing w:after="20"/>
      </w:pPr>
    </w:p>
    <w:p>
      <w:pPr>
        <w:spacing w:after="80"/>
      </w:pPr>
      <w:r>
        <w:rPr>
          <w:color w:val="555555"/>
          <w:sz w:val="19"/>
        </w:rPr>
        <w:t>Contact: ______________________</w:t>
      </w:r>
      <w:r>
        <w:rPr>
          <w:b/>
          <w:color w:val="1F3864"/>
          <w:sz w:val="19"/>
        </w:rPr>
        <w:t xml:space="preserve">        Deadline: Weeks 2 to 4</w:t>
      </w:r>
    </w:p>
    <w:p>
      <w:pPr>
        <w:spacing w:after="120" w:before="0"/>
      </w:pPr>
      <w:r>
        <w:rPr>
          <w:b w:val="0"/>
          <w:i/>
          <w:color w:val="555555"/>
          <w:sz w:val="20"/>
        </w:rPr>
        <w:t>Satellite is disk-performance sensitive and requires precise partitioning. The AAP hub, deployed in two instances (HA), shares its content over a common NFS space.</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Requirement</w:t>
            </w:r>
          </w:p>
        </w:tc>
        <w:tc>
          <w:tcPr>
            <w:tcW w:type="dxa" w:w="5839"/>
            <w:shd w:val="clear" w:fill="1F3864"/>
          </w:tcPr>
          <w:p>
            <w:r/>
            <w:r>
              <w:rPr>
                <w:b/>
                <w:color w:val="FFFFFF"/>
                <w:sz w:val="19"/>
              </w:rPr>
              <w:t>Detail / expected value</w:t>
            </w:r>
          </w:p>
        </w:tc>
        <w:tc>
          <w:tcPr>
            <w:tcW w:type="dxa" w:w="737"/>
            <w:shd w:val="clear" w:fill="1F3864"/>
          </w:tcPr>
          <w:p>
            <w:r/>
            <w:r>
              <w:rPr>
                <w:b/>
                <w:color w:val="FFFFFF"/>
                <w:sz w:val="19"/>
              </w:rPr>
              <w:t>Done</w:t>
            </w:r>
          </w:p>
        </w:tc>
      </w:tr>
      <w:tr>
        <w:tc>
          <w:tcPr>
            <w:tcW w:type="dxa" w:w="2665"/>
          </w:tcPr>
          <w:p>
            <w:r/>
            <w:r>
              <w:rPr>
                <w:b/>
                <w:color w:val="1F3864"/>
                <w:sz w:val="17"/>
              </w:rPr>
              <w:t xml:space="preserve">[Satellite] </w:t>
            </w:r>
            <w:r>
              <w:rPr>
                <w:b/>
                <w:sz w:val="19"/>
              </w:rPr>
              <w:t>Disk throughput (Satellite)</w:t>
            </w:r>
          </w:p>
        </w:tc>
        <w:tc>
          <w:tcPr>
            <w:tcW w:type="dxa" w:w="5839"/>
          </w:tcPr>
          <w:p>
            <w:pPr>
              <w:spacing w:after="40"/>
            </w:pPr>
            <w:r/>
            <w:r>
              <w:rPr>
                <w:sz w:val="19"/>
              </w:rPr>
              <w:t>Low-latency storage for content and database. Target throughput: at least 80 MB/s (validated before installation, measured from the VM).</w:t>
            </w:r>
          </w:p>
        </w:tc>
        <w:tc>
          <w:tcPr>
            <w:tcW w:type="dxa" w:w="737"/>
          </w:tcPr>
          <w:p>
            <w:pPr>
              <w:jc w:val="center"/>
            </w:pPr>
            <w:r/>
            <w:r>
              <w:rPr>
                <w:sz w:val="26"/>
              </w:rPr>
              <w:t>☐</w:t>
            </w:r>
          </w:p>
        </w:tc>
      </w:tr>
      <w:tr>
        <w:tc>
          <w:tcPr>
            <w:tcW w:type="dxa" w:w="2665"/>
          </w:tcPr>
          <w:p>
            <w:r/>
            <w:r>
              <w:rPr>
                <w:b/>
                <w:color w:val="1F3864"/>
                <w:sz w:val="17"/>
              </w:rPr>
              <w:t xml:space="preserve">[Satellite] </w:t>
            </w:r>
            <w:r>
              <w:rPr>
                <w:b/>
                <w:sz w:val="19"/>
              </w:rPr>
              <w:t>Volume — content (pulp)</w:t>
            </w:r>
          </w:p>
        </w:tc>
        <w:tc>
          <w:tcPr>
            <w:tcW w:type="dxa" w:w="5839"/>
          </w:tcPr>
          <w:p>
            <w:pPr>
              <w:spacing w:after="40"/>
            </w:pPr>
            <w:r/>
            <w:r>
              <w:rPr>
                <w:sz w:val="19"/>
              </w:rPr>
              <w:t>500 GB, dedicated volume, XFS filesystem.</w:t>
            </w:r>
          </w:p>
        </w:tc>
        <w:tc>
          <w:tcPr>
            <w:tcW w:type="dxa" w:w="737"/>
          </w:tcPr>
          <w:p>
            <w:pPr>
              <w:jc w:val="center"/>
            </w:pPr>
            <w:r/>
            <w:r>
              <w:rPr>
                <w:sz w:val="26"/>
              </w:rPr>
              <w:t>☐</w:t>
            </w:r>
          </w:p>
        </w:tc>
      </w:tr>
      <w:tr>
        <w:tc>
          <w:tcPr>
            <w:tcW w:type="dxa" w:w="2665"/>
          </w:tcPr>
          <w:p>
            <w:r/>
            <w:r>
              <w:rPr>
                <w:b/>
                <w:color w:val="1F3864"/>
                <w:sz w:val="17"/>
              </w:rPr>
              <w:t xml:space="preserve">[Satellite] </w:t>
            </w:r>
            <w:r>
              <w:rPr>
                <w:b/>
                <w:sz w:val="19"/>
              </w:rPr>
              <w:t>Volume — database</w:t>
            </w:r>
          </w:p>
        </w:tc>
        <w:tc>
          <w:tcPr>
            <w:tcW w:type="dxa" w:w="5839"/>
          </w:tcPr>
          <w:p>
            <w:pPr>
              <w:spacing w:after="40"/>
            </w:pPr>
            <w:r/>
            <w:r>
              <w:rPr>
                <w:sz w:val="19"/>
              </w:rPr>
              <w:t>100 GB, dedicated volume, XFS.</w:t>
            </w:r>
          </w:p>
        </w:tc>
        <w:tc>
          <w:tcPr>
            <w:tcW w:type="dxa" w:w="737"/>
          </w:tcPr>
          <w:p>
            <w:pPr>
              <w:jc w:val="center"/>
            </w:pPr>
            <w:r/>
            <w:r>
              <w:rPr>
                <w:sz w:val="26"/>
              </w:rPr>
              <w:t>☐</w:t>
            </w:r>
          </w:p>
        </w:tc>
      </w:tr>
      <w:tr>
        <w:tc>
          <w:tcPr>
            <w:tcW w:type="dxa" w:w="2665"/>
          </w:tcPr>
          <w:p>
            <w:r/>
            <w:r>
              <w:rPr>
                <w:b/>
                <w:color w:val="1F3864"/>
                <w:sz w:val="17"/>
              </w:rPr>
              <w:t xml:space="preserve">[Satellite] </w:t>
            </w:r>
            <w:r>
              <w:rPr>
                <w:b/>
                <w:sz w:val="19"/>
              </w:rPr>
              <w:t>Volume — logs</w:t>
            </w:r>
          </w:p>
        </w:tc>
        <w:tc>
          <w:tcPr>
            <w:tcW w:type="dxa" w:w="5839"/>
          </w:tcPr>
          <w:p>
            <w:pPr>
              <w:spacing w:after="40"/>
            </w:pPr>
            <w:r/>
            <w:r>
              <w:rPr>
                <w:sz w:val="19"/>
              </w:rPr>
              <w:t>30 GB, dedicated volume, XFS.</w:t>
            </w:r>
          </w:p>
        </w:tc>
        <w:tc>
          <w:tcPr>
            <w:tcW w:type="dxa" w:w="737"/>
          </w:tcPr>
          <w:p>
            <w:pPr>
              <w:jc w:val="center"/>
            </w:pPr>
            <w:r/>
            <w:r>
              <w:rPr>
                <w:sz w:val="26"/>
              </w:rPr>
              <w:t>☐</w:t>
            </w:r>
          </w:p>
        </w:tc>
      </w:tr>
      <w:tr>
        <w:tc>
          <w:tcPr>
            <w:tcW w:type="dxa" w:w="2665"/>
          </w:tcPr>
          <w:p>
            <w:r/>
            <w:r>
              <w:rPr>
                <w:b/>
                <w:color w:val="1F3864"/>
                <w:sz w:val="17"/>
              </w:rPr>
              <w:t xml:space="preserve">[Satellite] </w:t>
            </w:r>
            <w:r>
              <w:rPr>
                <w:b/>
                <w:sz w:val="19"/>
              </w:rPr>
              <w:t>System volume (Satellite)</w:t>
            </w:r>
          </w:p>
        </w:tc>
        <w:tc>
          <w:tcPr>
            <w:tcW w:type="dxa" w:w="5839"/>
          </w:tcPr>
          <w:p>
            <w:pPr>
              <w:spacing w:after="40"/>
            </w:pPr>
            <w:r/>
            <w:r>
              <w:rPr>
                <w:sz w:val="19"/>
              </w:rPr>
              <w:t>60 GB for the system root.</w:t>
            </w:r>
          </w:p>
        </w:tc>
        <w:tc>
          <w:tcPr>
            <w:tcW w:type="dxa" w:w="737"/>
          </w:tcPr>
          <w:p>
            <w:pPr>
              <w:jc w:val="center"/>
            </w:pPr>
            <w:r/>
            <w:r>
              <w:rPr>
                <w:sz w:val="26"/>
              </w:rPr>
              <w:t>☐</w:t>
            </w:r>
          </w:p>
        </w:tc>
      </w:tr>
      <w:tr>
        <w:tc>
          <w:tcPr>
            <w:tcW w:type="dxa" w:w="2665"/>
          </w:tcPr>
          <w:p>
            <w:r/>
            <w:r>
              <w:rPr>
                <w:b/>
                <w:color w:val="1F3864"/>
                <w:sz w:val="17"/>
              </w:rPr>
              <w:t xml:space="preserve">[Satellite] </w:t>
            </w:r>
            <w:r>
              <w:rPr>
                <w:b/>
                <w:sz w:val="19"/>
              </w:rPr>
              <w:t>Filesystem</w:t>
            </w:r>
          </w:p>
        </w:tc>
        <w:tc>
          <w:tcPr>
            <w:tcW w:type="dxa" w:w="5839"/>
          </w:tcPr>
          <w:p>
            <w:pPr>
              <w:spacing w:after="40"/>
            </w:pPr>
            <w:r/>
            <w:r>
              <w:rPr>
                <w:sz w:val="19"/>
              </w:rPr>
              <w:t>XFS mandatory (ext4 saturates link and inode counters on the content volume).</w:t>
            </w:r>
          </w:p>
        </w:tc>
        <w:tc>
          <w:tcPr>
            <w:tcW w:type="dxa" w:w="737"/>
          </w:tcPr>
          <w:p>
            <w:pPr>
              <w:jc w:val="center"/>
            </w:pPr>
            <w:r/>
            <w:r>
              <w:rPr>
                <w:sz w:val="26"/>
              </w:rPr>
              <w:t>☐</w:t>
            </w:r>
          </w:p>
        </w:tc>
      </w:tr>
      <w:tr>
        <w:tc>
          <w:tcPr>
            <w:tcW w:type="dxa" w:w="2665"/>
          </w:tcPr>
          <w:p>
            <w:r/>
            <w:r>
              <w:rPr>
                <w:b/>
                <w:color w:val="1F3864"/>
                <w:sz w:val="17"/>
              </w:rPr>
              <w:t xml:space="preserve">[Satellite] </w:t>
            </w:r>
            <w:r>
              <w:rPr>
                <w:b/>
                <w:sz w:val="19"/>
              </w:rPr>
              <w:t>Backup target</w:t>
            </w:r>
          </w:p>
        </w:tc>
        <w:tc>
          <w:tcPr>
            <w:tcW w:type="dxa" w:w="5839"/>
          </w:tcPr>
          <w:p>
            <w:pPr>
              <w:spacing w:after="40"/>
            </w:pPr>
            <w:r/>
            <w:r>
              <w:rPr>
                <w:sz w:val="19"/>
              </w:rPr>
              <w:t>Network share or dedicated volume, separate from VM storage. Plan ~700 GB for a full backup.</w:t>
            </w:r>
          </w:p>
        </w:tc>
        <w:tc>
          <w:tcPr>
            <w:tcW w:type="dxa" w:w="737"/>
          </w:tcPr>
          <w:p>
            <w:pPr>
              <w:jc w:val="center"/>
            </w:pPr>
            <w:r/>
            <w:r>
              <w:rPr>
                <w:sz w:val="26"/>
              </w:rPr>
              <w:t>☐</w:t>
            </w:r>
          </w:p>
        </w:tc>
      </w:tr>
      <w:tr>
        <w:tc>
          <w:tcPr>
            <w:tcW w:type="dxa" w:w="2665"/>
          </w:tcPr>
          <w:p>
            <w:r/>
            <w:r>
              <w:rPr>
                <w:b/>
                <w:color w:val="1F3864"/>
                <w:sz w:val="17"/>
              </w:rPr>
              <w:t xml:space="preserve">[AAP] </w:t>
            </w:r>
            <w:r>
              <w:rPr>
                <w:b/>
                <w:sz w:val="19"/>
              </w:rPr>
              <w:t>AAP hub NFS export</w:t>
            </w:r>
          </w:p>
        </w:tc>
        <w:tc>
          <w:tcPr>
            <w:tcW w:type="dxa" w:w="5839"/>
          </w:tcPr>
          <w:p>
            <w:pPr>
              <w:spacing w:after="40"/>
            </w:pPr>
            <w:r/>
            <w:r>
              <w:rPr>
                <w:sz w:val="19"/>
              </w:rPr>
              <w:t>A shared NFS export common to the 2 "content hub" servers, in the form server:/export, with desired mount options; reachable from both hubs (port 2049). PROD and QUAL. Used ONLY for hub content — NOT for container images (unsupported on NFS).</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Why it matters — </w:t>
            </w:r>
            <w:r>
              <w:rPr>
                <w:i/>
                <w:color w:val="555555"/>
                <w:sz w:val="19"/>
              </w:rPr>
              <w:t xml:space="preserve"> Slow storage turns content publishing from minutes into hours. An ext4 filesystem on the content volume eventually saturates. A backup target on the same storage as the VM protects nothing. On the AAP side, without the shared NFS export, hub high availability is not possible.</w:t>
            </w:r>
          </w:p>
        </w:tc>
      </w:tr>
    </w:tbl>
    <w:p>
      <w:pPr>
        <w:spacing w:after="40"/>
      </w:pPr>
    </w:p>
    <w:p>
      <w:pPr>
        <w:spacing w:after="40" w:before="80"/>
      </w:pPr>
      <w:r>
        <w:rPr>
          <w:b/>
          <w:i w:val="0"/>
          <w:color w:val="1F3864"/>
          <w:sz w:val="19"/>
        </w:rPr>
        <w:t>Notes</w:t>
      </w:r>
    </w:p>
    <w:p>
      <w:pPr>
        <w:pStyle w:val="ListBullet"/>
        <w:spacing w:after="40"/>
      </w:pPr>
      <w:r>
        <w:rPr>
          <w:color w:val="555555"/>
          <w:sz w:val="19"/>
        </w:rPr>
        <w:t>Content and database volumes must be separate disks, ideally on different storage units.</w:t>
      </w:r>
    </w:p>
    <w:p>
      <w:pPr>
        <w:pStyle w:val="ListBullet"/>
        <w:spacing w:after="40"/>
      </w:pPr>
      <w:r>
        <w:rPr>
          <w:color w:val="555555"/>
          <w:sz w:val="19"/>
        </w:rPr>
        <w:t>Throughput is measured from the VM, not the host: virtualisation has a cost.</w:t>
      </w:r>
    </w:p>
    <w:p>
      <w:pPr>
        <w:spacing w:before="80" w:after="80"/>
      </w:pPr>
      <w:r>
        <w:rPr>
          <w:b/>
          <w:color w:val="8A2B06"/>
          <w:sz w:val="19"/>
        </w:rPr>
        <w:t>QUESTION — SELinux security (optional): if the AAP servers enforce SELinux in "enforcing" mode, does the hub NFS mount require a specific SELinux context option? (To confirm with security if applicable.)</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DBA-01 · Databases (DBA)</w:t>
            </w:r>
          </w:p>
        </w:tc>
      </w:tr>
    </w:tbl>
    <w:p>
      <w:pPr>
        <w:spacing w:after="20"/>
      </w:pPr>
    </w:p>
    <w:p>
      <w:pPr>
        <w:spacing w:after="80"/>
      </w:pPr>
      <w:r>
        <w:rPr>
          <w:color w:val="555555"/>
          <w:sz w:val="19"/>
        </w:rPr>
        <w:t>Contact: ______________________</w:t>
      </w:r>
      <w:r>
        <w:rPr>
          <w:b/>
          <w:color w:val="1F3864"/>
          <w:sz w:val="19"/>
        </w:rPr>
        <w:t xml:space="preserve">        Deadline: before milestone G2 (AAP installation)</w:t>
      </w:r>
    </w:p>
    <w:p>
      <w:pPr>
        <w:spacing w:after="120" w:before="0"/>
      </w:pPr>
      <w:r>
        <w:rPr>
          <w:b w:val="0"/>
          <w:i/>
          <w:color w:val="555555"/>
          <w:sz w:val="20"/>
        </w:rPr>
        <w:t>AAP relies on four external PostgreSQL databases, one per component (gateway, controller, hub, event engine). They must exist before the AAP installation.</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Requirement</w:t>
            </w:r>
          </w:p>
        </w:tc>
        <w:tc>
          <w:tcPr>
            <w:tcW w:type="dxa" w:w="5839"/>
            <w:shd w:val="clear" w:fill="1F3864"/>
          </w:tcPr>
          <w:p>
            <w:r/>
            <w:r>
              <w:rPr>
                <w:b/>
                <w:color w:val="FFFFFF"/>
                <w:sz w:val="19"/>
              </w:rPr>
              <w:t>Detail / expected value</w:t>
            </w:r>
          </w:p>
        </w:tc>
        <w:tc>
          <w:tcPr>
            <w:tcW w:type="dxa" w:w="737"/>
            <w:shd w:val="clear" w:fill="1F3864"/>
          </w:tcPr>
          <w:p>
            <w:r/>
            <w:r>
              <w:rPr>
                <w:b/>
                <w:color w:val="FFFFFF"/>
                <w:sz w:val="19"/>
              </w:rPr>
              <w:t>Done</w:t>
            </w:r>
          </w:p>
        </w:tc>
      </w:tr>
      <w:tr>
        <w:tc>
          <w:tcPr>
            <w:tcW w:type="dxa" w:w="2665"/>
          </w:tcPr>
          <w:p>
            <w:r/>
            <w:r>
              <w:rPr>
                <w:b/>
                <w:color w:val="1F3864"/>
                <w:sz w:val="17"/>
              </w:rPr>
              <w:t xml:space="preserve">[AAP] </w:t>
            </w:r>
            <w:r>
              <w:rPr>
                <w:b/>
                <w:sz w:val="19"/>
              </w:rPr>
              <w:t>Four external PostgreSQL databases</w:t>
            </w:r>
          </w:p>
        </w:tc>
        <w:tc>
          <w:tcPr>
            <w:tcW w:type="dxa" w:w="5839"/>
          </w:tcPr>
          <w:p>
            <w:pPr>
              <w:spacing w:after="40"/>
            </w:pPr>
            <w:r/>
            <w:r>
              <w:rPr>
                <w:sz w:val="19"/>
              </w:rPr>
              <w:t>For each: server hostname (FQDN), port, database name, owner role. The four: gateway, controller, hub, eda. To be provided in TWO sets (PROD and QUAL).</w:t>
            </w:r>
          </w:p>
        </w:tc>
        <w:tc>
          <w:tcPr>
            <w:tcW w:type="dxa" w:w="737"/>
          </w:tcPr>
          <w:p>
            <w:pPr>
              <w:jc w:val="center"/>
            </w:pPr>
            <w:r/>
            <w:r>
              <w:rPr>
                <w:sz w:val="26"/>
              </w:rPr>
              <w:t>☐</w:t>
            </w:r>
          </w:p>
        </w:tc>
      </w:tr>
      <w:tr>
        <w:tc>
          <w:tcPr>
            <w:tcW w:type="dxa" w:w="2665"/>
          </w:tcPr>
          <w:p>
            <w:r/>
            <w:r>
              <w:rPr>
                <w:b/>
                <w:color w:val="1F3864"/>
                <w:sz w:val="17"/>
              </w:rPr>
              <w:t xml:space="preserve">[AAP] </w:t>
            </w:r>
            <w:r>
              <w:rPr>
                <w:b/>
                <w:sz w:val="19"/>
              </w:rPr>
              <w:t>Encrypted connection verify-full</w:t>
            </w:r>
          </w:p>
        </w:tc>
        <w:tc>
          <w:tcPr>
            <w:tcW w:type="dxa" w:w="5839"/>
          </w:tcPr>
          <w:p>
            <w:pPr>
              <w:spacing w:after="40"/>
            </w:pPr>
            <w:r/>
            <w:r>
              <w:rPr>
                <w:sz w:val="19"/>
              </w:rPr>
              <w:t>Strict server identity verification. The authority (CA) that issued the PostgreSQL server certificate, in PEM format (coordinate with PKI-01). Same PROD/QUAL CA if applicable.</w:t>
            </w:r>
          </w:p>
        </w:tc>
        <w:tc>
          <w:tcPr>
            <w:tcW w:type="dxa" w:w="737"/>
          </w:tcPr>
          <w:p>
            <w:pPr>
              <w:jc w:val="center"/>
            </w:pPr>
            <w:r/>
            <w:r>
              <w:rPr>
                <w:sz w:val="26"/>
              </w:rPr>
              <w:t>☐</w:t>
            </w:r>
          </w:p>
        </w:tc>
      </w:tr>
      <w:tr>
        <w:tc>
          <w:tcPr>
            <w:tcW w:type="dxa" w:w="2665"/>
          </w:tcPr>
          <w:p>
            <w:r/>
            <w:r>
              <w:rPr>
                <w:b/>
                <w:color w:val="1F3864"/>
                <w:sz w:val="17"/>
              </w:rPr>
              <w:t xml:space="preserve">[AAP] </w:t>
            </w:r>
            <w:r>
              <w:rPr>
                <w:b/>
                <w:sz w:val="19"/>
              </w:rPr>
              <w:t>QUESTION — database pre-creation</w:t>
            </w:r>
          </w:p>
        </w:tc>
        <w:tc>
          <w:tcPr>
            <w:tcW w:type="dxa" w:w="5839"/>
          </w:tcPr>
          <w:p>
            <w:pPr>
              <w:spacing w:after="40"/>
            </w:pPr>
            <w:r/>
            <w:r>
              <w:rPr>
                <w:sz w:val="19"/>
              </w:rPr>
              <w:t>Do you create the 4 databases and their roles yourselves, OR do you provide a PostgreSQL admin account for the installer to create them? If admin account: provide its username (password via secure channel).</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Why it matters — </w:t>
            </w:r>
            <w:r>
              <w:rPr>
                <w:i/>
                <w:color w:val="555555"/>
                <w:sz w:val="19"/>
              </w:rPr>
              <w:t xml:space="preserve"> Each AAP component stores its data in its own database; without them, installation cannot proceed. Under verify-full, without the server CA the connection is refused and installation fails.</w:t>
            </w:r>
          </w:p>
        </w:tc>
      </w:tr>
    </w:tbl>
    <w:p>
      <w:pPr>
        <w:spacing w:after="40"/>
      </w:pPr>
    </w:p>
    <w:p>
      <w:pPr>
        <w:spacing w:after="40" w:before="80"/>
      </w:pPr>
      <w:r>
        <w:rPr>
          <w:b/>
          <w:i w:val="0"/>
          <w:color w:val="1F3864"/>
          <w:sz w:val="19"/>
        </w:rPr>
        <w:t>Notes</w:t>
      </w:r>
    </w:p>
    <w:p>
      <w:pPr>
        <w:pStyle w:val="ListBullet"/>
        <w:spacing w:after="40"/>
      </w:pPr>
      <w:r>
        <w:rPr>
          <w:color w:val="555555"/>
          <w:sz w:val="19"/>
        </w:rPr>
        <w:t>Application and admin account passwords go through the secure channel, never through this document.</w:t>
      </w:r>
    </w:p>
    <w:p>
      <w:pPr>
        <w:pStyle w:val="ListBullet"/>
        <w:spacing w:after="40"/>
      </w:pPr>
      <w:r>
        <w:rPr>
          <w:color w:val="555555"/>
          <w:sz w:val="19"/>
        </w:rPr>
        <w:t>Associated network flow: AAP servers → databases on the PostgreSQL port (5432). To confirm with Network.</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SAT-01 · Satellite / Subscriptions</w:t>
            </w:r>
          </w:p>
        </w:tc>
      </w:tr>
    </w:tbl>
    <w:p>
      <w:pPr>
        <w:spacing w:after="20"/>
      </w:pPr>
    </w:p>
    <w:p>
      <w:pPr>
        <w:spacing w:after="80"/>
      </w:pPr>
      <w:r>
        <w:rPr>
          <w:color w:val="555555"/>
          <w:sz w:val="19"/>
        </w:rPr>
        <w:t>Contact: ______________________</w:t>
      </w:r>
      <w:r>
        <w:rPr>
          <w:b/>
          <w:color w:val="1F3864"/>
          <w:sz w:val="19"/>
        </w:rPr>
        <w:t xml:space="preserve">        Deadline: Satellite in Week 1; AAP part before G2</w:t>
      </w:r>
    </w:p>
    <w:p>
      <w:pPr>
        <w:spacing w:after="120" w:before="0"/>
      </w:pPr>
      <w:r>
        <w:rPr>
          <w:b w:val="0"/>
          <w:i/>
          <w:color w:val="555555"/>
          <w:sz w:val="20"/>
        </w:rPr>
        <w:t>Servers register with Satellite to receive packages and subscriptions. No AAP content view or activation key exists yet: their creation is part of the request.</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Requirement</w:t>
            </w:r>
          </w:p>
        </w:tc>
        <w:tc>
          <w:tcPr>
            <w:tcW w:type="dxa" w:w="5839"/>
            <w:shd w:val="clear" w:fill="1F3864"/>
          </w:tcPr>
          <w:p>
            <w:r/>
            <w:r>
              <w:rPr>
                <w:b/>
                <w:color w:val="FFFFFF"/>
                <w:sz w:val="19"/>
              </w:rPr>
              <w:t>Detail / expected value</w:t>
            </w:r>
          </w:p>
        </w:tc>
        <w:tc>
          <w:tcPr>
            <w:tcW w:type="dxa" w:w="737"/>
            <w:shd w:val="clear" w:fill="1F3864"/>
          </w:tcPr>
          <w:p>
            <w:r/>
            <w:r>
              <w:rPr>
                <w:b/>
                <w:color w:val="FFFFFF"/>
                <w:sz w:val="19"/>
              </w:rPr>
              <w:t>Done</w:t>
            </w:r>
          </w:p>
        </w:tc>
      </w:tr>
      <w:tr>
        <w:tc>
          <w:tcPr>
            <w:tcW w:type="dxa" w:w="2665"/>
          </w:tcPr>
          <w:p>
            <w:r/>
            <w:r>
              <w:rPr>
                <w:b/>
                <w:color w:val="1F3864"/>
                <w:sz w:val="17"/>
              </w:rPr>
              <w:t xml:space="preserve">[Satellite] </w:t>
            </w:r>
            <w:r>
              <w:rPr>
                <w:b/>
                <w:sz w:val="19"/>
              </w:rPr>
              <w:t>Red Hat subscription / manifest</w:t>
            </w:r>
          </w:p>
        </w:tc>
        <w:tc>
          <w:tcPr>
            <w:tcW w:type="dxa" w:w="5839"/>
          </w:tcPr>
          <w:p>
            <w:pPr>
              <w:spacing w:after="40"/>
            </w:pPr>
            <w:r/>
            <w:r>
              <w:rPr>
                <w:sz w:val="19"/>
              </w:rPr>
              <w:t>Manifest / subscription available for both Satellite servers. Decision: each environment subscribes to the Red Hat repo (no cross-dependency).</w:t>
            </w:r>
          </w:p>
        </w:tc>
        <w:tc>
          <w:tcPr>
            <w:tcW w:type="dxa" w:w="737"/>
          </w:tcPr>
          <w:p>
            <w:pPr>
              <w:jc w:val="center"/>
            </w:pPr>
            <w:r/>
            <w:r>
              <w:rPr>
                <w:sz w:val="26"/>
              </w:rPr>
              <w:t>☐</w:t>
            </w:r>
          </w:p>
        </w:tc>
      </w:tr>
      <w:tr>
        <w:tc>
          <w:tcPr>
            <w:tcW w:type="dxa" w:w="2665"/>
          </w:tcPr>
          <w:p>
            <w:r/>
            <w:r>
              <w:rPr>
                <w:b/>
                <w:color w:val="1F3864"/>
                <w:sz w:val="17"/>
              </w:rPr>
              <w:t xml:space="preserve">[Satellite] </w:t>
            </w:r>
            <w:r>
              <w:rPr>
                <w:b/>
                <w:sz w:val="19"/>
              </w:rPr>
              <w:t>Extended maintenance add-on</w:t>
            </w:r>
          </w:p>
        </w:tc>
        <w:tc>
          <w:tcPr>
            <w:tcW w:type="dxa" w:w="5839"/>
          </w:tcPr>
          <w:p>
            <w:pPr>
              <w:spacing w:after="40"/>
            </w:pPr>
            <w:r/>
            <w:r>
              <w:rPr>
                <w:sz w:val="19"/>
              </w:rPr>
              <w:t>Decision to validate: version 6.19 is the last of its generation — the extended support add-on avoids a forced migration.</w:t>
            </w:r>
          </w:p>
        </w:tc>
        <w:tc>
          <w:tcPr>
            <w:tcW w:type="dxa" w:w="737"/>
          </w:tcPr>
          <w:p>
            <w:pPr>
              <w:jc w:val="center"/>
            </w:pPr>
            <w:r/>
            <w:r>
              <w:rPr>
                <w:sz w:val="26"/>
              </w:rPr>
              <w:t>☐</w:t>
            </w:r>
          </w:p>
        </w:tc>
      </w:tr>
      <w:tr>
        <w:tc>
          <w:tcPr>
            <w:tcW w:type="dxa" w:w="2665"/>
          </w:tcPr>
          <w:p>
            <w:r/>
            <w:r>
              <w:rPr>
                <w:b/>
                <w:color w:val="1F3864"/>
                <w:sz w:val="17"/>
              </w:rPr>
              <w:t xml:space="preserve">[AAP] </w:t>
            </w:r>
            <w:r>
              <w:rPr>
                <w:b/>
                <w:sz w:val="19"/>
              </w:rPr>
              <w:t>AAP nodes attachment to Satellite</w:t>
            </w:r>
          </w:p>
        </w:tc>
        <w:tc>
          <w:tcPr>
            <w:tcW w:type="dxa" w:w="5839"/>
          </w:tcPr>
          <w:p>
            <w:pPr>
              <w:spacing w:after="40"/>
            </w:pPr>
            <w:r/>
            <w:r>
              <w:rPr>
                <w:sz w:val="19"/>
              </w:rPr>
              <w:t>Satellite FQDN; organization ID (org); an activation key to be CREATED for the AAP 2.6 nodes; Satellite CA certificate (PEM); and, if not carried by the activation key, the IDs of the required repos (RHEL BaseOS, AppStream, AAP 2.6). PROD and QUAL (organizations/keys likely distinct).</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Why it matters — </w:t>
            </w:r>
            <w:r>
              <w:rPr>
                <w:i/>
                <w:color w:val="555555"/>
                <w:sz w:val="19"/>
              </w:rPr>
              <w:t xml:space="preserve"> AAP servers attach to Satellite to install their packages; the activation key carries the required subscriptions and repos, and the CA establishes trust in Satellite. This attachment is what materialises the G1 → G2 dependency: Satellite must be in service before AAP can register.</w:t>
            </w:r>
          </w:p>
        </w:tc>
      </w:tr>
    </w:tbl>
    <w:p>
      <w:pPr>
        <w:spacing w:after="40"/>
      </w:pPr>
    </w:p>
    <w:p>
      <w:pPr>
        <w:spacing w:after="40" w:before="80"/>
      </w:pPr>
      <w:r>
        <w:rPr>
          <w:b/>
          <w:i w:val="0"/>
          <w:color w:val="1F3864"/>
          <w:sz w:val="19"/>
        </w:rPr>
        <w:t>Notes</w:t>
      </w:r>
    </w:p>
    <w:p>
      <w:pPr>
        <w:pStyle w:val="ListBullet"/>
        <w:spacing w:after="40"/>
      </w:pPr>
      <w:r>
        <w:rPr>
          <w:color w:val="555555"/>
          <w:sz w:val="19"/>
        </w:rPr>
        <w:t>The activation key secret is transmitted via the secure channel, not through this document.</w:t>
      </w:r>
    </w:p>
    <w:p>
      <w:pPr>
        <w:pStyle w:val="ListBullet"/>
        <w:spacing w:after="40"/>
      </w:pPr>
      <w:r>
        <w:rPr>
          <w:color w:val="555555"/>
          <w:sz w:val="19"/>
        </w:rPr>
        <w:t>The AAP activation key can only be created once Satellite is operational (after G1).</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SYS-01 · Provisioning / Systems</w:t>
            </w:r>
          </w:p>
        </w:tc>
      </w:tr>
    </w:tbl>
    <w:p>
      <w:pPr>
        <w:spacing w:after="20"/>
      </w:pPr>
    </w:p>
    <w:p>
      <w:pPr>
        <w:spacing w:after="80"/>
      </w:pPr>
      <w:r>
        <w:rPr>
          <w:color w:val="555555"/>
          <w:sz w:val="19"/>
        </w:rPr>
        <w:t>Contact: ______________________</w:t>
      </w:r>
      <w:r>
        <w:rPr>
          <w:b/>
          <w:color w:val="1F3864"/>
          <w:sz w:val="19"/>
        </w:rPr>
        <w:t xml:space="preserve">        Deadline: before milestone G2 (AAP installation)</w:t>
      </w:r>
    </w:p>
    <w:p>
      <w:pPr>
        <w:spacing w:after="120" w:before="0"/>
      </w:pPr>
      <w:r>
        <w:rPr>
          <w:b w:val="0"/>
          <w:i/>
          <w:color w:val="555555"/>
          <w:sz w:val="20"/>
        </w:rPr>
        <w:t>The AAP target VMs and the administration node ("seed") must meet size and content prerequisites. Values marked "requirement" are automatically checked by the installer; the others are orders of magnitude to confirm.</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Requirement</w:t>
            </w:r>
          </w:p>
        </w:tc>
        <w:tc>
          <w:tcPr>
            <w:tcW w:type="dxa" w:w="5839"/>
            <w:shd w:val="clear" w:fill="1F3864"/>
          </w:tcPr>
          <w:p>
            <w:r/>
            <w:r>
              <w:rPr>
                <w:b/>
                <w:color w:val="FFFFFF"/>
                <w:sz w:val="19"/>
              </w:rPr>
              <w:t>Detail / expected value</w:t>
            </w:r>
          </w:p>
        </w:tc>
        <w:tc>
          <w:tcPr>
            <w:tcW w:type="dxa" w:w="737"/>
            <w:shd w:val="clear" w:fill="1F3864"/>
          </w:tcPr>
          <w:p>
            <w:r/>
            <w:r>
              <w:rPr>
                <w:b/>
                <w:color w:val="FFFFFF"/>
                <w:sz w:val="19"/>
              </w:rPr>
              <w:t>Done</w:t>
            </w:r>
          </w:p>
        </w:tc>
      </w:tr>
      <w:tr>
        <w:tc>
          <w:tcPr>
            <w:tcW w:type="dxa" w:w="2665"/>
          </w:tcPr>
          <w:p>
            <w:r/>
            <w:r>
              <w:rPr>
                <w:b/>
                <w:color w:val="1F3864"/>
                <w:sz w:val="17"/>
              </w:rPr>
              <w:t xml:space="preserve">[AAP] </w:t>
            </w:r>
            <w:r>
              <w:rPr>
                <w:b/>
                <w:sz w:val="19"/>
              </w:rPr>
              <w:t>AAP installation bundle on the seed</w:t>
            </w:r>
          </w:p>
        </w:tc>
        <w:tc>
          <w:tcPr>
            <w:tcW w:type="dxa" w:w="5839"/>
          </w:tcPr>
          <w:p>
            <w:pPr>
              <w:spacing w:after="40"/>
            </w:pPr>
            <w:r/>
            <w:r>
              <w:rPr>
                <w:sz w:val="19"/>
              </w:rPr>
              <w:t>The AAP 2.6 bundle must be extracted locally on the seed node(s); provide the absolute path of the extracted directory (it must end with "/bundle"). PROD and QUAL.</w:t>
            </w:r>
          </w:p>
        </w:tc>
        <w:tc>
          <w:tcPr>
            <w:tcW w:type="dxa" w:w="737"/>
          </w:tcPr>
          <w:p>
            <w:pPr>
              <w:jc w:val="center"/>
            </w:pPr>
            <w:r/>
            <w:r>
              <w:rPr>
                <w:sz w:val="26"/>
              </w:rPr>
              <w:t>☐</w:t>
            </w:r>
          </w:p>
        </w:tc>
      </w:tr>
      <w:tr>
        <w:tc>
          <w:tcPr>
            <w:tcW w:type="dxa" w:w="2665"/>
          </w:tcPr>
          <w:p>
            <w:r/>
            <w:r>
              <w:rPr>
                <w:b/>
                <w:color w:val="1F3864"/>
                <w:sz w:val="17"/>
              </w:rPr>
              <w:t xml:space="preserve">[AAP] </w:t>
            </w:r>
            <w:r>
              <w:rPr>
                <w:b/>
                <w:sz w:val="19"/>
              </w:rPr>
              <w:t>REQUIREMENT — Base OS</w:t>
            </w:r>
          </w:p>
        </w:tc>
        <w:tc>
          <w:tcPr>
            <w:tcW w:type="dxa" w:w="5839"/>
          </w:tcPr>
          <w:p>
            <w:pPr>
              <w:spacing w:after="40"/>
            </w:pPr>
            <w:r/>
            <w:r>
              <w:rPr>
                <w:sz w:val="19"/>
              </w:rPr>
              <w:t>RHEL 9.6+ (or RHEL 10 with ansible-core 2.16), with chrony present in the image. Checked by an installer assert (refusal if &lt; 9.6).</w:t>
            </w:r>
          </w:p>
        </w:tc>
        <w:tc>
          <w:tcPr>
            <w:tcW w:type="dxa" w:w="737"/>
          </w:tcPr>
          <w:p>
            <w:pPr>
              <w:jc w:val="center"/>
            </w:pPr>
            <w:r/>
            <w:r>
              <w:rPr>
                <w:sz w:val="26"/>
              </w:rPr>
              <w:t>☐</w:t>
            </w:r>
          </w:p>
        </w:tc>
      </w:tr>
      <w:tr>
        <w:tc>
          <w:tcPr>
            <w:tcW w:type="dxa" w:w="2665"/>
          </w:tcPr>
          <w:p>
            <w:r/>
            <w:r>
              <w:rPr>
                <w:b/>
                <w:color w:val="1F3864"/>
                <w:sz w:val="17"/>
              </w:rPr>
              <w:t xml:space="preserve">[AAP] </w:t>
            </w:r>
            <w:r>
              <w:rPr>
                <w:b/>
                <w:sz w:val="19"/>
              </w:rPr>
              <w:t>REQUIREMENT — Memory</w:t>
            </w:r>
          </w:p>
        </w:tc>
        <w:tc>
          <w:tcPr>
            <w:tcW w:type="dxa" w:w="5839"/>
          </w:tcPr>
          <w:p>
            <w:pPr>
              <w:spacing w:after="40"/>
            </w:pPr>
            <w:r/>
            <w:r>
              <w:rPr>
                <w:sz w:val="19"/>
              </w:rPr>
              <w:t>16 GB RAM per node (except pure hop node, exempt). Checked by an installer assert.</w:t>
            </w:r>
          </w:p>
        </w:tc>
        <w:tc>
          <w:tcPr>
            <w:tcW w:type="dxa" w:w="737"/>
          </w:tcPr>
          <w:p>
            <w:pPr>
              <w:jc w:val="center"/>
            </w:pPr>
            <w:r/>
            <w:r>
              <w:rPr>
                <w:sz w:val="26"/>
              </w:rPr>
              <w:t>☐</w:t>
            </w:r>
          </w:p>
        </w:tc>
      </w:tr>
      <w:tr>
        <w:tc>
          <w:tcPr>
            <w:tcW w:type="dxa" w:w="2665"/>
          </w:tcPr>
          <w:p>
            <w:r/>
            <w:r>
              <w:rPr>
                <w:b/>
                <w:color w:val="1F3864"/>
                <w:sz w:val="17"/>
              </w:rPr>
              <w:t xml:space="preserve">[AAP] </w:t>
            </w:r>
            <w:r>
              <w:rPr>
                <w:b/>
                <w:sz w:val="19"/>
              </w:rPr>
              <w:t>REQUIREMENT — Disk</w:t>
            </w:r>
          </w:p>
        </w:tc>
        <w:tc>
          <w:tcPr>
            <w:tcW w:type="dxa" w:w="5839"/>
          </w:tcPr>
          <w:p>
            <w:pPr>
              <w:spacing w:after="40"/>
            </w:pPr>
            <w:r/>
            <w:r>
              <w:rPr>
                <w:sz w:val="19"/>
              </w:rPr>
              <w:t>60 GB total disk, of which ≥ 15 GB for the installation directory and ≥ 10 GB free on /tmp (bundle extraction). Checked by the preparation step. Same PROD/QUAL.</w:t>
            </w:r>
          </w:p>
        </w:tc>
        <w:tc>
          <w:tcPr>
            <w:tcW w:type="dxa" w:w="737"/>
          </w:tcPr>
          <w:p>
            <w:pPr>
              <w:jc w:val="center"/>
            </w:pPr>
            <w:r/>
            <w:r>
              <w:rPr>
                <w:sz w:val="26"/>
              </w:rPr>
              <w:t>☐</w:t>
            </w:r>
          </w:p>
        </w:tc>
      </w:tr>
      <w:tr>
        <w:tc>
          <w:tcPr>
            <w:tcW w:type="dxa" w:w="2665"/>
          </w:tcPr>
          <w:p>
            <w:r/>
            <w:r>
              <w:rPr>
                <w:b/>
                <w:color w:val="1F3864"/>
                <w:sz w:val="17"/>
              </w:rPr>
              <w:t xml:space="preserve">[AAP] </w:t>
            </w:r>
            <w:r>
              <w:rPr>
                <w:b/>
                <w:sz w:val="19"/>
              </w:rPr>
              <w:t>Recommended — CPU / IOPS</w:t>
            </w:r>
          </w:p>
        </w:tc>
        <w:tc>
          <w:tcPr>
            <w:tcW w:type="dxa" w:w="5839"/>
          </w:tcPr>
          <w:p>
            <w:pPr>
              <w:spacing w:after="40"/>
            </w:pPr>
            <w:r/>
            <w:r>
              <w:rPr>
                <w:sz w:val="19"/>
              </w:rPr>
              <w:t>~4 vCPU and ~3000 IOPS per node — order of magnitude to confirm with Red Hat (no corresponding installer assert).</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Why it matters — </w:t>
            </w:r>
            <w:r>
              <w:rPr>
                <w:i/>
                <w:color w:val="555555"/>
                <w:sz w:val="19"/>
              </w:rPr>
              <w:t xml:space="preserve"> An undersized disk or /tmp, insufficient RAM or too-old RHEL make the installation fail — the installer refuses to start via explicit checks. The values marked "requirement" are therefore hard minima, not recommendations.</w:t>
            </w:r>
          </w:p>
        </w:tc>
      </w:tr>
    </w:tbl>
    <w:p>
      <w:pPr>
        <w:spacing w:after="40"/>
      </w:pPr>
    </w:p>
    <w:p>
      <w:pPr>
        <w:spacing w:after="40" w:before="80"/>
      </w:pPr>
      <w:r>
        <w:rPr>
          <w:b/>
          <w:i w:val="0"/>
          <w:color w:val="1F3864"/>
          <w:sz w:val="19"/>
        </w:rPr>
        <w:t>Notes</w:t>
      </w:r>
    </w:p>
    <w:p>
      <w:pPr>
        <w:pStyle w:val="ListBullet"/>
        <w:spacing w:after="40"/>
      </w:pPr>
      <w:r>
        <w:rPr>
          <w:color w:val="555555"/>
          <w:sz w:val="19"/>
        </w:rPr>
        <w:t>The application account and containers are set up by the installation; only chrony must pre-exist (it cannot be installed before Satellite registration).</w:t>
      </w:r>
    </w:p>
    <w:p>
      <w:pPr>
        <w:pStyle w:val="ListBullet"/>
        <w:spacing w:after="40"/>
      </w:pPr>
      <w:r>
        <w:rPr>
          <w:color w:val="555555"/>
          <w:sz w:val="19"/>
        </w:rPr>
        <w:t>The bundle is read offline: installation does not depend on direct Internet access.</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QA-01 · Qualification (QA)</w:t>
            </w:r>
          </w:p>
        </w:tc>
      </w:tr>
    </w:tbl>
    <w:p>
      <w:pPr>
        <w:spacing w:after="20"/>
      </w:pPr>
    </w:p>
    <w:p>
      <w:pPr>
        <w:spacing w:after="80"/>
      </w:pPr>
      <w:r>
        <w:rPr>
          <w:color w:val="555555"/>
          <w:sz w:val="19"/>
        </w:rPr>
        <w:t>Contact: ______________________</w:t>
      </w:r>
      <w:r>
        <w:rPr>
          <w:b/>
          <w:color w:val="1F3864"/>
          <w:sz w:val="19"/>
        </w:rPr>
        <w:t xml:space="preserve">        Deadline: before milestone G2 (AAP installation)</w:t>
      </w:r>
    </w:p>
    <w:p>
      <w:pPr>
        <w:spacing w:after="120" w:before="0"/>
      </w:pPr>
      <w:r>
        <w:rPr>
          <w:b w:val="0"/>
          <w:i/>
          <w:color w:val="555555"/>
          <w:sz w:val="20"/>
        </w:rPr>
        <w:t>The qualification (QUAL) environment is strictly separated from production: no production value may be reused there, and vice versa.</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Requirement</w:t>
            </w:r>
          </w:p>
        </w:tc>
        <w:tc>
          <w:tcPr>
            <w:tcW w:type="dxa" w:w="5839"/>
            <w:shd w:val="clear" w:fill="1F3864"/>
          </w:tcPr>
          <w:p>
            <w:r/>
            <w:r>
              <w:rPr>
                <w:b/>
                <w:color w:val="FFFFFF"/>
                <w:sz w:val="19"/>
              </w:rPr>
              <w:t>Detail / expected value</w:t>
            </w:r>
          </w:p>
        </w:tc>
        <w:tc>
          <w:tcPr>
            <w:tcW w:type="dxa" w:w="737"/>
            <w:shd w:val="clear" w:fill="1F3864"/>
          </w:tcPr>
          <w:p>
            <w:r/>
            <w:r>
              <w:rPr>
                <w:b/>
                <w:color w:val="FFFFFF"/>
                <w:sz w:val="19"/>
              </w:rPr>
              <w:t>Done</w:t>
            </w:r>
          </w:p>
        </w:tc>
      </w:tr>
      <w:tr>
        <w:tc>
          <w:tcPr>
            <w:tcW w:type="dxa" w:w="2665"/>
          </w:tcPr>
          <w:p>
            <w:r/>
            <w:r>
              <w:rPr>
                <w:b/>
                <w:color w:val="1F3864"/>
                <w:sz w:val="17"/>
              </w:rPr>
              <w:t xml:space="preserve">[AAP] </w:t>
            </w:r>
            <w:r>
              <w:rPr>
                <w:b/>
                <w:sz w:val="19"/>
              </w:rPr>
              <w:t>QUAL equivalent of all items</w:t>
            </w:r>
          </w:p>
        </w:tc>
        <w:tc>
          <w:tcPr>
            <w:tcW w:type="dxa" w:w="5839"/>
          </w:tcPr>
          <w:p>
            <w:pPr>
              <w:spacing w:after="40"/>
            </w:pPr>
            <w:r/>
            <w:r>
              <w:rPr>
                <w:sz w:val="19"/>
              </w:rPr>
              <w:t>PostgreSQL databases (hosts/ports/dbs/roles), access VIP, hub NFS export, NTP servers, service certificates, Satellite attachment (qual organization / activation key) — clearly labelled "QUAL".</w:t>
            </w:r>
          </w:p>
        </w:tc>
        <w:tc>
          <w:tcPr>
            <w:tcW w:type="dxa" w:w="737"/>
          </w:tcPr>
          <w:p>
            <w:pPr>
              <w:jc w:val="center"/>
            </w:pPr>
            <w:r/>
            <w:r>
              <w:rPr>
                <w:sz w:val="26"/>
              </w:rPr>
              <w:t>☐</w:t>
            </w:r>
          </w:p>
        </w:tc>
      </w:tr>
      <w:tr>
        <w:tc>
          <w:tcPr>
            <w:tcW w:type="dxa" w:w="2665"/>
          </w:tcPr>
          <w:p>
            <w:r/>
            <w:r>
              <w:rPr>
                <w:b/>
                <w:color w:val="1F3864"/>
                <w:sz w:val="17"/>
              </w:rPr>
              <w:t xml:space="preserve">[AAP] </w:t>
            </w:r>
            <w:r>
              <w:rPr>
                <w:b/>
                <w:sz w:val="19"/>
              </w:rPr>
              <w:t>Qualification test-harness points</w:t>
            </w:r>
          </w:p>
        </w:tc>
        <w:tc>
          <w:tcPr>
            <w:tcW w:type="dxa" w:w="5839"/>
          </w:tcPr>
          <w:p>
            <w:pPr>
              <w:spacing w:after="40"/>
            </w:pPr>
            <w:r/>
            <w:r>
              <w:rPr>
                <w:sz w:val="19"/>
              </w:rPr>
              <w:t>Any endpoints or test accounts used only in QUAL. The configuration explicitly forbids their presence in production.</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Why it matters — </w:t>
            </w:r>
            <w:r>
              <w:rPr>
                <w:i/>
                <w:color w:val="555555"/>
                <w:sz w:val="19"/>
              </w:rPr>
              <w:t xml:space="preserve"> Qualification serves to validate before production; it must be self-contained and isolated. Test elements exist only in qualification and must never land in production — the automation checks this and blocks otherwise.</w:t>
            </w:r>
          </w:p>
        </w:tc>
      </w:tr>
    </w:tbl>
    <w:p>
      <w:pPr>
        <w:spacing w:after="40"/>
      </w:pPr>
    </w:p>
    <w:p>
      <w:pPr>
        <w:spacing w:after="40" w:before="80"/>
      </w:pPr>
      <w:r>
        <w:rPr>
          <w:b/>
          <w:i w:val="0"/>
          <w:color w:val="1F3864"/>
          <w:sz w:val="19"/>
        </w:rPr>
        <w:t>Notes</w:t>
      </w:r>
    </w:p>
    <w:p>
      <w:pPr>
        <w:pStyle w:val="ListBullet"/>
        <w:spacing w:after="40"/>
      </w:pPr>
      <w:r>
        <w:rPr>
          <w:color w:val="555555"/>
          <w:sz w:val="19"/>
        </w:rPr>
        <w:t>Deploy and validate qualification first, production next (see LNX-01).</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LNX-01 · Satellite / Linux team (issuer)</w:t>
            </w:r>
          </w:p>
        </w:tc>
      </w:tr>
    </w:tbl>
    <w:p>
      <w:pPr>
        <w:spacing w:after="20"/>
      </w:pPr>
    </w:p>
    <w:p>
      <w:pPr>
        <w:spacing w:after="80"/>
      </w:pPr>
      <w:r>
        <w:rPr>
          <w:color w:val="555555"/>
          <w:sz w:val="19"/>
        </w:rPr>
        <w:t>Contact: ______________________</w:t>
      </w:r>
      <w:r>
        <w:rPr>
          <w:b/>
          <w:color w:val="1F3864"/>
          <w:sz w:val="19"/>
        </w:rPr>
        <w:t xml:space="preserve">        Deadline: ongoing (convergence G1 then G2)</w:t>
      </w:r>
    </w:p>
    <w:p>
      <w:pPr>
        <w:spacing w:after="120" w:before="0"/>
      </w:pPr>
      <w:r>
        <w:rPr>
          <w:b w:val="0"/>
          <w:i/>
          <w:color w:val="555555"/>
          <w:sz w:val="20"/>
        </w:rPr>
        <w:t>This team consolidates the other teams' deliveries and performs the installation. It moves at the pace of the most-delayed prerequisite and follows up on unchecked items.</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Requirement</w:t>
            </w:r>
          </w:p>
        </w:tc>
        <w:tc>
          <w:tcPr>
            <w:tcW w:type="dxa" w:w="5839"/>
            <w:shd w:val="clear" w:fill="1F3864"/>
          </w:tcPr>
          <w:p>
            <w:r/>
            <w:r>
              <w:rPr>
                <w:b/>
                <w:color w:val="FFFFFF"/>
                <w:sz w:val="19"/>
              </w:rPr>
              <w:t>Detail / expected value</w:t>
            </w:r>
          </w:p>
        </w:tc>
        <w:tc>
          <w:tcPr>
            <w:tcW w:type="dxa" w:w="737"/>
            <w:shd w:val="clear" w:fill="1F3864"/>
          </w:tcPr>
          <w:p>
            <w:r/>
            <w:r>
              <w:rPr>
                <w:b/>
                <w:color w:val="FFFFFF"/>
                <w:sz w:val="19"/>
              </w:rPr>
              <w:t>Done</w:t>
            </w:r>
          </w:p>
        </w:tc>
      </w:tr>
      <w:tr>
        <w:tc>
          <w:tcPr>
            <w:tcW w:type="dxa" w:w="2665"/>
          </w:tcPr>
          <w:p>
            <w:r/>
            <w:r>
              <w:rPr>
                <w:b/>
                <w:color w:val="1F3864"/>
                <w:sz w:val="17"/>
              </w:rPr>
              <w:t xml:space="preserve">[Satellite] </w:t>
            </w:r>
            <w:r>
              <w:rPr>
                <w:b/>
                <w:sz w:val="19"/>
              </w:rPr>
              <w:t>Prerequisites received (milestone G1)</w:t>
            </w:r>
          </w:p>
        </w:tc>
        <w:tc>
          <w:tcPr>
            <w:tcW w:type="dxa" w:w="5839"/>
          </w:tcPr>
          <w:p>
            <w:pPr>
              <w:spacing w:after="40"/>
            </w:pPr>
            <w:r/>
            <w:r>
              <w:rPr>
                <w:sz w:val="19"/>
              </w:rPr>
              <w:t>Verify that PKI, AD and Network have delivered and ticked their Satellite items.</w:t>
            </w:r>
          </w:p>
        </w:tc>
        <w:tc>
          <w:tcPr>
            <w:tcW w:type="dxa" w:w="737"/>
          </w:tcPr>
          <w:p>
            <w:pPr>
              <w:jc w:val="center"/>
            </w:pPr>
            <w:r/>
            <w:r>
              <w:rPr>
                <w:sz w:val="26"/>
              </w:rPr>
              <w:t>☐</w:t>
            </w:r>
          </w:p>
        </w:tc>
      </w:tr>
      <w:tr>
        <w:tc>
          <w:tcPr>
            <w:tcW w:type="dxa" w:w="2665"/>
          </w:tcPr>
          <w:p>
            <w:r/>
            <w:r>
              <w:rPr>
                <w:b/>
                <w:color w:val="1F3864"/>
                <w:sz w:val="17"/>
              </w:rPr>
              <w:t xml:space="preserve">[Les deux] </w:t>
            </w:r>
            <w:r>
              <w:rPr>
                <w:b/>
                <w:sz w:val="19"/>
              </w:rPr>
              <w:t>Satellite install then G2 hand-off</w:t>
            </w:r>
          </w:p>
        </w:tc>
        <w:tc>
          <w:tcPr>
            <w:tcW w:type="dxa" w:w="5839"/>
          </w:tcPr>
          <w:p>
            <w:pPr>
              <w:spacing w:after="40"/>
            </w:pPr>
            <w:r/>
            <w:r>
              <w:rPr>
                <w:sz w:val="19"/>
              </w:rPr>
              <w:t>Install Satellite (qual then prod), then create the AAP activation key and confirm AAP prerequisites are gathered before starting AAP.</w:t>
            </w:r>
          </w:p>
        </w:tc>
        <w:tc>
          <w:tcPr>
            <w:tcW w:type="dxa" w:w="737"/>
          </w:tcPr>
          <w:p>
            <w:pPr>
              <w:jc w:val="center"/>
            </w:pPr>
            <w:r/>
            <w:r>
              <w:rPr>
                <w:sz w:val="26"/>
              </w:rPr>
              <w:t>☐</w:t>
            </w:r>
          </w:p>
        </w:tc>
      </w:tr>
      <w:tr>
        <w:tc>
          <w:tcPr>
            <w:tcW w:type="dxa" w:w="2665"/>
          </w:tcPr>
          <w:p>
            <w:r/>
            <w:r>
              <w:rPr>
                <w:b/>
                <w:color w:val="1F3864"/>
                <w:sz w:val="17"/>
              </w:rPr>
              <w:t xml:space="preserve">[Les deux] </w:t>
            </w:r>
            <w:r>
              <w:rPr>
                <w:b/>
                <w:sz w:val="19"/>
              </w:rPr>
              <w:t>Qualification before production</w:t>
            </w:r>
          </w:p>
        </w:tc>
        <w:tc>
          <w:tcPr>
            <w:tcW w:type="dxa" w:w="5839"/>
          </w:tcPr>
          <w:p>
            <w:pPr>
              <w:spacing w:after="40"/>
            </w:pPr>
            <w:r/>
            <w:r>
              <w:rPr>
                <w:sz w:val="19"/>
              </w:rPr>
              <w:t>Deploy and validate the qualification environment first, production next (both Satellite and AAP).</w:t>
            </w:r>
          </w:p>
        </w:tc>
        <w:tc>
          <w:tcPr>
            <w:tcW w:type="dxa" w:w="737"/>
          </w:tcPr>
          <w:p>
            <w:pPr>
              <w:jc w:val="center"/>
            </w:pPr>
            <w:r/>
            <w:r>
              <w:rPr>
                <w:sz w:val="26"/>
              </w:rPr>
              <w:t>☐</w:t>
            </w:r>
          </w:p>
        </w:tc>
      </w:tr>
      <w:tr>
        <w:tc>
          <w:tcPr>
            <w:tcW w:type="dxa" w:w="2665"/>
          </w:tcPr>
          <w:p>
            <w:r/>
            <w:r>
              <w:rPr>
                <w:b/>
                <w:color w:val="1F3864"/>
                <w:sz w:val="17"/>
              </w:rPr>
              <w:t xml:space="preserve">[Les deux] </w:t>
            </w:r>
            <w:r>
              <w:rPr>
                <w:b/>
                <w:sz w:val="19"/>
              </w:rPr>
              <w:t>Installation options verification</w:t>
            </w:r>
          </w:p>
        </w:tc>
        <w:tc>
          <w:tcPr>
            <w:tcW w:type="dxa" w:w="5839"/>
          </w:tcPr>
          <w:p>
            <w:pPr>
              <w:spacing w:after="40"/>
            </w:pPr>
            <w:r/>
            <w:r>
              <w:rPr>
                <w:sz w:val="19"/>
              </w:rPr>
              <w:t>Confirm technical options against the real versions (Satellite 6.19, AAP 2.6) in qualification, before production.</w:t>
            </w:r>
          </w:p>
        </w:tc>
        <w:tc>
          <w:tcPr>
            <w:tcW w:type="dxa" w:w="737"/>
          </w:tcPr>
          <w:p>
            <w:pPr>
              <w:jc w:val="center"/>
            </w:pPr>
            <w:r/>
            <w:r>
              <w:rPr>
                <w:sz w:val="26"/>
              </w:rPr>
              <w:t>☐</w:t>
            </w:r>
          </w:p>
        </w:tc>
      </w:tr>
      <w:tr>
        <w:tc>
          <w:tcPr>
            <w:tcW w:type="dxa" w:w="2665"/>
          </w:tcPr>
          <w:p>
            <w:r/>
            <w:r>
              <w:rPr>
                <w:b/>
                <w:color w:val="1F3864"/>
                <w:sz w:val="17"/>
              </w:rPr>
              <w:t xml:space="preserve">[Les deux] </w:t>
            </w:r>
            <w:r>
              <w:rPr>
                <w:b/>
                <w:sz w:val="19"/>
              </w:rPr>
              <w:t>Backup and restore test</w:t>
            </w:r>
          </w:p>
        </w:tc>
        <w:tc>
          <w:tcPr>
            <w:tcW w:type="dxa" w:w="5839"/>
          </w:tcPr>
          <w:p>
            <w:pPr>
              <w:spacing w:after="40"/>
            </w:pPr>
            <w:r/>
            <w:r>
              <w:rPr>
                <w:sz w:val="19"/>
              </w:rPr>
              <w:t>Set up backups from go-live and schedule a restore test (Satellite and AAP).</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Why it matters — </w:t>
            </w:r>
            <w:r>
              <w:rPr>
                <w:i/>
                <w:color w:val="555555"/>
                <w:sz w:val="19"/>
              </w:rPr>
              <w:t xml:space="preserve"> This team is the convergence point: it can only advance at the pace of the most-delayed prerequisite. It is the one that follows up on unchecked items, hence the "Done" column returned by each section.</w:t>
            </w:r>
          </w:p>
        </w:tc>
      </w:tr>
    </w:tbl>
    <w:p>
      <w:pPr>
        <w:spacing w:after="40"/>
      </w:pPr>
    </w:p>
    <w:p>
      <w:pPr>
        <w:spacing w:after="80" w:before="40"/>
        <w:pBdr>
          <w:bottom w:val="single" w:sz="6" w:space="1" w:color="1F3864"/>
        </w:pBdr>
      </w:pPr>
    </w:p>
    <w:p>
      <w:pPr>
        <w:spacing w:after="40" w:before="120"/>
      </w:pPr>
      <w:r>
        <w:rPr>
          <w:b/>
          <w:i w:val="0"/>
          <w:color w:val="1F3864"/>
          <w:sz w:val="24"/>
        </w:rPr>
        <w:t>Summary — global tracking</w:t>
      </w:r>
    </w:p>
    <w:p>
      <w:pPr>
        <w:spacing w:after="80" w:before="0"/>
      </w:pPr>
      <w:r>
        <w:rPr>
          <w:b w:val="0"/>
          <w:i/>
          <w:color w:val="555555"/>
          <w:sz w:val="19"/>
        </w:rPr>
        <w:t>Overview to tick as responses arrive. G1 (Satellite install entry) is reached when the Satellite items of PKI, AD and Network are complete. G2 (AAP install entry) is reached once Satellite is in service and the AAP prerequisites are gathered.</w:t>
      </w:r>
    </w:p>
    <w:tbl>
      <w:tblPr>
        <w:tblStyle w:val="TableGrid"/>
        <w:tblW w:type="auto" w:w="0"/>
        <w:tblLayout w:type="fixed"/>
        <w:tblLook w:firstColumn="1" w:firstRow="1" w:lastColumn="0" w:lastRow="0" w:noHBand="0" w:noVBand="1" w:val="04A0"/>
      </w:tblPr>
      <w:tblGrid>
        <w:gridCol w:w="2040"/>
        <w:gridCol w:w="2040"/>
        <w:gridCol w:w="2040"/>
        <w:gridCol w:w="2040"/>
        <w:gridCol w:w="2040"/>
      </w:tblGrid>
      <w:tr>
        <w:tc>
          <w:tcPr>
            <w:tcW w:type="dxa" w:w="1247"/>
            <w:shd w:val="clear" w:fill="1F3864"/>
          </w:tcPr>
          <w:p>
            <w:r/>
            <w:r>
              <w:rPr>
                <w:b/>
                <w:color w:val="FFFFFF"/>
                <w:sz w:val="19"/>
              </w:rPr>
              <w:t>Ref.</w:t>
            </w:r>
          </w:p>
        </w:tc>
        <w:tc>
          <w:tcPr>
            <w:tcW w:type="dxa" w:w="2948"/>
            <w:shd w:val="clear" w:fill="1F3864"/>
          </w:tcPr>
          <w:p>
            <w:r/>
            <w:r>
              <w:rPr>
                <w:b/>
                <w:color w:val="FFFFFF"/>
                <w:sz w:val="19"/>
              </w:rPr>
              <w:t>Team</w:t>
            </w:r>
          </w:p>
        </w:tc>
        <w:tc>
          <w:tcPr>
            <w:tcW w:type="dxa" w:w="1814"/>
            <w:shd w:val="clear" w:fill="1F3864"/>
          </w:tcPr>
          <w:p>
            <w:r/>
            <w:r>
              <w:rPr>
                <w:b/>
                <w:color w:val="FFFFFF"/>
                <w:sz w:val="19"/>
              </w:rPr>
              <w:t>Deadline</w:t>
            </w:r>
          </w:p>
        </w:tc>
        <w:tc>
          <w:tcPr>
            <w:tcW w:type="dxa" w:w="1701"/>
            <w:shd w:val="clear" w:fill="1F3864"/>
          </w:tcPr>
          <w:p>
            <w:r/>
            <w:r>
              <w:rPr>
                <w:b/>
                <w:color w:val="FFFFFF"/>
                <w:sz w:val="19"/>
              </w:rPr>
              <w:t>Milestone</w:t>
            </w:r>
          </w:p>
        </w:tc>
        <w:tc>
          <w:tcPr>
            <w:tcW w:type="dxa" w:w="964"/>
            <w:shd w:val="clear" w:fill="1F3864"/>
          </w:tcPr>
          <w:p>
            <w:r/>
            <w:r>
              <w:rPr>
                <w:b/>
                <w:color w:val="FFFFFF"/>
                <w:sz w:val="19"/>
              </w:rPr>
              <w:t>Done</w:t>
            </w:r>
          </w:p>
        </w:tc>
      </w:tr>
      <w:tr>
        <w:tc>
          <w:tcPr>
            <w:tcW w:type="dxa" w:w="1247"/>
          </w:tcPr>
          <w:p>
            <w:r/>
            <w:r>
              <w:rPr>
                <w:b/>
                <w:sz w:val="19"/>
              </w:rPr>
              <w:t>PKI-01</w:t>
            </w:r>
          </w:p>
        </w:tc>
        <w:tc>
          <w:tcPr>
            <w:tcW w:type="dxa" w:w="2948"/>
          </w:tcPr>
          <w:p>
            <w:r/>
            <w:r>
              <w:rPr>
                <w:sz w:val="19"/>
              </w:rPr>
              <w:t>PKI / Security</w:t>
            </w:r>
          </w:p>
        </w:tc>
        <w:tc>
          <w:tcPr>
            <w:tcW w:type="dxa" w:w="1814"/>
          </w:tcPr>
          <w:p>
            <w:r/>
            <w:r>
              <w:rPr>
                <w:sz w:val="19"/>
              </w:rPr>
              <w:t>Week 1</w:t>
            </w:r>
          </w:p>
        </w:tc>
        <w:tc>
          <w:tcPr>
            <w:tcW w:type="dxa" w:w="1701"/>
          </w:tcPr>
          <w:p>
            <w:r/>
            <w:r>
              <w:rPr>
                <w:sz w:val="19"/>
              </w:rPr>
              <w:t>G1</w:t>
            </w:r>
          </w:p>
        </w:tc>
        <w:tc>
          <w:tcPr>
            <w:tcW w:type="dxa" w:w="964"/>
          </w:tcPr>
          <w:p>
            <w:pPr>
              <w:jc w:val="center"/>
            </w:pPr>
            <w:r/>
            <w:r>
              <w:rPr>
                <w:sz w:val="26"/>
              </w:rPr>
              <w:t>☐</w:t>
            </w:r>
          </w:p>
        </w:tc>
      </w:tr>
      <w:tr>
        <w:tc>
          <w:tcPr>
            <w:tcW w:type="dxa" w:w="1247"/>
          </w:tcPr>
          <w:p>
            <w:r/>
            <w:r>
              <w:rPr>
                <w:b/>
                <w:sz w:val="19"/>
              </w:rPr>
              <w:t>AD-01</w:t>
            </w:r>
          </w:p>
        </w:tc>
        <w:tc>
          <w:tcPr>
            <w:tcW w:type="dxa" w:w="2948"/>
          </w:tcPr>
          <w:p>
            <w:r/>
            <w:r>
              <w:rPr>
                <w:sz w:val="19"/>
              </w:rPr>
              <w:t>Active Directory</w:t>
            </w:r>
          </w:p>
        </w:tc>
        <w:tc>
          <w:tcPr>
            <w:tcW w:type="dxa" w:w="1814"/>
          </w:tcPr>
          <w:p>
            <w:r/>
            <w:r>
              <w:rPr>
                <w:sz w:val="19"/>
              </w:rPr>
              <w:t>Week 1</w:t>
            </w:r>
          </w:p>
        </w:tc>
        <w:tc>
          <w:tcPr>
            <w:tcW w:type="dxa" w:w="1701"/>
          </w:tcPr>
          <w:p>
            <w:r/>
            <w:r>
              <w:rPr>
                <w:sz w:val="19"/>
              </w:rPr>
              <w:t>G1</w:t>
            </w:r>
          </w:p>
        </w:tc>
        <w:tc>
          <w:tcPr>
            <w:tcW w:type="dxa" w:w="964"/>
          </w:tcPr>
          <w:p>
            <w:pPr>
              <w:jc w:val="center"/>
            </w:pPr>
            <w:r/>
            <w:r>
              <w:rPr>
                <w:sz w:val="26"/>
              </w:rPr>
              <w:t>☐</w:t>
            </w:r>
          </w:p>
        </w:tc>
      </w:tr>
      <w:tr>
        <w:tc>
          <w:tcPr>
            <w:tcW w:type="dxa" w:w="1247"/>
          </w:tcPr>
          <w:p>
            <w:r/>
            <w:r>
              <w:rPr>
                <w:b/>
                <w:sz w:val="19"/>
              </w:rPr>
              <w:t>NET-01</w:t>
            </w:r>
          </w:p>
        </w:tc>
        <w:tc>
          <w:tcPr>
            <w:tcW w:type="dxa" w:w="2948"/>
          </w:tcPr>
          <w:p>
            <w:r/>
            <w:r>
              <w:rPr>
                <w:sz w:val="19"/>
              </w:rPr>
              <w:t>Network / DHCP-DNS</w:t>
            </w:r>
          </w:p>
        </w:tc>
        <w:tc>
          <w:tcPr>
            <w:tcW w:type="dxa" w:w="1814"/>
          </w:tcPr>
          <w:p>
            <w:r/>
            <w:r>
              <w:rPr>
                <w:sz w:val="19"/>
              </w:rPr>
              <w:t>Week 1</w:t>
            </w:r>
          </w:p>
        </w:tc>
        <w:tc>
          <w:tcPr>
            <w:tcW w:type="dxa" w:w="1701"/>
          </w:tcPr>
          <w:p>
            <w:r/>
            <w:r>
              <w:rPr>
                <w:sz w:val="19"/>
              </w:rPr>
              <w:t>G1</w:t>
            </w:r>
          </w:p>
        </w:tc>
        <w:tc>
          <w:tcPr>
            <w:tcW w:type="dxa" w:w="964"/>
          </w:tcPr>
          <w:p>
            <w:pPr>
              <w:jc w:val="center"/>
            </w:pPr>
            <w:r/>
            <w:r>
              <w:rPr>
                <w:sz w:val="26"/>
              </w:rPr>
              <w:t>☐</w:t>
            </w:r>
          </w:p>
        </w:tc>
      </w:tr>
      <w:tr>
        <w:tc>
          <w:tcPr>
            <w:tcW w:type="dxa" w:w="1247"/>
          </w:tcPr>
          <w:p>
            <w:r/>
            <w:r>
              <w:rPr>
                <w:b/>
                <w:sz w:val="19"/>
              </w:rPr>
              <w:t>HV-01</w:t>
            </w:r>
          </w:p>
        </w:tc>
        <w:tc>
          <w:tcPr>
            <w:tcW w:type="dxa" w:w="2948"/>
          </w:tcPr>
          <w:p>
            <w:r/>
            <w:r>
              <w:rPr>
                <w:sz w:val="19"/>
              </w:rPr>
              <w:t>Hyper-V virtualisation</w:t>
            </w:r>
          </w:p>
        </w:tc>
        <w:tc>
          <w:tcPr>
            <w:tcW w:type="dxa" w:w="1814"/>
          </w:tcPr>
          <w:p>
            <w:r/>
            <w:r>
              <w:rPr>
                <w:sz w:val="19"/>
              </w:rPr>
              <w:t>Weeks 2–4</w:t>
            </w:r>
          </w:p>
        </w:tc>
        <w:tc>
          <w:tcPr>
            <w:tcW w:type="dxa" w:w="1701"/>
          </w:tcPr>
          <w:p>
            <w:r/>
            <w:r>
              <w:rPr>
                <w:sz w:val="19"/>
              </w:rPr>
              <w:t>—</w:t>
            </w:r>
          </w:p>
        </w:tc>
        <w:tc>
          <w:tcPr>
            <w:tcW w:type="dxa" w:w="964"/>
          </w:tcPr>
          <w:p>
            <w:pPr>
              <w:jc w:val="center"/>
            </w:pPr>
            <w:r/>
            <w:r>
              <w:rPr>
                <w:sz w:val="26"/>
              </w:rPr>
              <w:t>☐</w:t>
            </w:r>
          </w:p>
        </w:tc>
      </w:tr>
      <w:tr>
        <w:tc>
          <w:tcPr>
            <w:tcW w:type="dxa" w:w="1247"/>
          </w:tcPr>
          <w:p>
            <w:r/>
            <w:r>
              <w:rPr>
                <w:b/>
                <w:sz w:val="19"/>
              </w:rPr>
              <w:t>STO-01</w:t>
            </w:r>
          </w:p>
        </w:tc>
        <w:tc>
          <w:tcPr>
            <w:tcW w:type="dxa" w:w="2948"/>
          </w:tcPr>
          <w:p>
            <w:r/>
            <w:r>
              <w:rPr>
                <w:sz w:val="19"/>
              </w:rPr>
              <w:t>Storage</w:t>
            </w:r>
          </w:p>
        </w:tc>
        <w:tc>
          <w:tcPr>
            <w:tcW w:type="dxa" w:w="1814"/>
          </w:tcPr>
          <w:p>
            <w:r/>
            <w:r>
              <w:rPr>
                <w:sz w:val="19"/>
              </w:rPr>
              <w:t>Weeks 2–4</w:t>
            </w:r>
          </w:p>
        </w:tc>
        <w:tc>
          <w:tcPr>
            <w:tcW w:type="dxa" w:w="1701"/>
          </w:tcPr>
          <w:p>
            <w:r/>
            <w:r>
              <w:rPr>
                <w:sz w:val="19"/>
              </w:rPr>
              <w:t>G1/G2</w:t>
            </w:r>
          </w:p>
        </w:tc>
        <w:tc>
          <w:tcPr>
            <w:tcW w:type="dxa" w:w="964"/>
          </w:tcPr>
          <w:p>
            <w:pPr>
              <w:jc w:val="center"/>
            </w:pPr>
            <w:r/>
            <w:r>
              <w:rPr>
                <w:sz w:val="26"/>
              </w:rPr>
              <w:t>☐</w:t>
            </w:r>
          </w:p>
        </w:tc>
      </w:tr>
      <w:tr>
        <w:tc>
          <w:tcPr>
            <w:tcW w:type="dxa" w:w="1247"/>
          </w:tcPr>
          <w:p>
            <w:r/>
            <w:r>
              <w:rPr>
                <w:b/>
                <w:sz w:val="19"/>
              </w:rPr>
              <w:t>DBA-01</w:t>
            </w:r>
          </w:p>
        </w:tc>
        <w:tc>
          <w:tcPr>
            <w:tcW w:type="dxa" w:w="2948"/>
          </w:tcPr>
          <w:p>
            <w:r/>
            <w:r>
              <w:rPr>
                <w:sz w:val="19"/>
              </w:rPr>
              <w:t>Databases</w:t>
            </w:r>
          </w:p>
        </w:tc>
        <w:tc>
          <w:tcPr>
            <w:tcW w:type="dxa" w:w="1814"/>
          </w:tcPr>
          <w:p>
            <w:r/>
            <w:r>
              <w:rPr>
                <w:sz w:val="19"/>
              </w:rPr>
              <w:t>Before G2</w:t>
            </w:r>
          </w:p>
        </w:tc>
        <w:tc>
          <w:tcPr>
            <w:tcW w:type="dxa" w:w="1701"/>
          </w:tcPr>
          <w:p>
            <w:r/>
            <w:r>
              <w:rPr>
                <w:sz w:val="19"/>
              </w:rPr>
              <w:t>G2</w:t>
            </w:r>
          </w:p>
        </w:tc>
        <w:tc>
          <w:tcPr>
            <w:tcW w:type="dxa" w:w="964"/>
          </w:tcPr>
          <w:p>
            <w:pPr>
              <w:jc w:val="center"/>
            </w:pPr>
            <w:r/>
            <w:r>
              <w:rPr>
                <w:sz w:val="26"/>
              </w:rPr>
              <w:t>☐</w:t>
            </w:r>
          </w:p>
        </w:tc>
      </w:tr>
      <w:tr>
        <w:tc>
          <w:tcPr>
            <w:tcW w:type="dxa" w:w="1247"/>
          </w:tcPr>
          <w:p>
            <w:r/>
            <w:r>
              <w:rPr>
                <w:b/>
                <w:sz w:val="19"/>
              </w:rPr>
              <w:t>SAT-01</w:t>
            </w:r>
          </w:p>
        </w:tc>
        <w:tc>
          <w:tcPr>
            <w:tcW w:type="dxa" w:w="2948"/>
          </w:tcPr>
          <w:p>
            <w:r/>
            <w:r>
              <w:rPr>
                <w:sz w:val="19"/>
              </w:rPr>
              <w:t>Satellite / Subscriptions</w:t>
            </w:r>
          </w:p>
        </w:tc>
        <w:tc>
          <w:tcPr>
            <w:tcW w:type="dxa" w:w="1814"/>
          </w:tcPr>
          <w:p>
            <w:r/>
            <w:r>
              <w:rPr>
                <w:sz w:val="19"/>
              </w:rPr>
              <w:t>W1 + before G2</w:t>
            </w:r>
          </w:p>
        </w:tc>
        <w:tc>
          <w:tcPr>
            <w:tcW w:type="dxa" w:w="1701"/>
          </w:tcPr>
          <w:p>
            <w:r/>
            <w:r>
              <w:rPr>
                <w:sz w:val="19"/>
              </w:rPr>
              <w:t>G1/G2</w:t>
            </w:r>
          </w:p>
        </w:tc>
        <w:tc>
          <w:tcPr>
            <w:tcW w:type="dxa" w:w="964"/>
          </w:tcPr>
          <w:p>
            <w:pPr>
              <w:jc w:val="center"/>
            </w:pPr>
            <w:r/>
            <w:r>
              <w:rPr>
                <w:sz w:val="26"/>
              </w:rPr>
              <w:t>☐</w:t>
            </w:r>
          </w:p>
        </w:tc>
      </w:tr>
      <w:tr>
        <w:tc>
          <w:tcPr>
            <w:tcW w:type="dxa" w:w="1247"/>
          </w:tcPr>
          <w:p>
            <w:r/>
            <w:r>
              <w:rPr>
                <w:b/>
                <w:sz w:val="19"/>
              </w:rPr>
              <w:t>SYS-01</w:t>
            </w:r>
          </w:p>
        </w:tc>
        <w:tc>
          <w:tcPr>
            <w:tcW w:type="dxa" w:w="2948"/>
          </w:tcPr>
          <w:p>
            <w:r/>
            <w:r>
              <w:rPr>
                <w:sz w:val="19"/>
              </w:rPr>
              <w:t>Provisioning / Systems</w:t>
            </w:r>
          </w:p>
        </w:tc>
        <w:tc>
          <w:tcPr>
            <w:tcW w:type="dxa" w:w="1814"/>
          </w:tcPr>
          <w:p>
            <w:r/>
            <w:r>
              <w:rPr>
                <w:sz w:val="19"/>
              </w:rPr>
              <w:t>Before G2</w:t>
            </w:r>
          </w:p>
        </w:tc>
        <w:tc>
          <w:tcPr>
            <w:tcW w:type="dxa" w:w="1701"/>
          </w:tcPr>
          <w:p>
            <w:r/>
            <w:r>
              <w:rPr>
                <w:sz w:val="19"/>
              </w:rPr>
              <w:t>G2</w:t>
            </w:r>
          </w:p>
        </w:tc>
        <w:tc>
          <w:tcPr>
            <w:tcW w:type="dxa" w:w="964"/>
          </w:tcPr>
          <w:p>
            <w:pPr>
              <w:jc w:val="center"/>
            </w:pPr>
            <w:r/>
            <w:r>
              <w:rPr>
                <w:sz w:val="26"/>
              </w:rPr>
              <w:t>☐</w:t>
            </w:r>
          </w:p>
        </w:tc>
      </w:tr>
      <w:tr>
        <w:tc>
          <w:tcPr>
            <w:tcW w:type="dxa" w:w="1247"/>
          </w:tcPr>
          <w:p>
            <w:r/>
            <w:r>
              <w:rPr>
                <w:b/>
                <w:sz w:val="19"/>
              </w:rPr>
              <w:t>QA-01</w:t>
            </w:r>
          </w:p>
        </w:tc>
        <w:tc>
          <w:tcPr>
            <w:tcW w:type="dxa" w:w="2948"/>
          </w:tcPr>
          <w:p>
            <w:r/>
            <w:r>
              <w:rPr>
                <w:sz w:val="19"/>
              </w:rPr>
              <w:t>Qualification</w:t>
            </w:r>
          </w:p>
        </w:tc>
        <w:tc>
          <w:tcPr>
            <w:tcW w:type="dxa" w:w="1814"/>
          </w:tcPr>
          <w:p>
            <w:r/>
            <w:r>
              <w:rPr>
                <w:sz w:val="19"/>
              </w:rPr>
              <w:t>Before G2</w:t>
            </w:r>
          </w:p>
        </w:tc>
        <w:tc>
          <w:tcPr>
            <w:tcW w:type="dxa" w:w="1701"/>
          </w:tcPr>
          <w:p>
            <w:r/>
            <w:r>
              <w:rPr>
                <w:sz w:val="19"/>
              </w:rPr>
              <w:t>G2</w:t>
            </w:r>
          </w:p>
        </w:tc>
        <w:tc>
          <w:tcPr>
            <w:tcW w:type="dxa" w:w="964"/>
          </w:tcPr>
          <w:p>
            <w:pPr>
              <w:jc w:val="center"/>
            </w:pPr>
            <w:r/>
            <w:r>
              <w:rPr>
                <w:sz w:val="26"/>
              </w:rPr>
              <w:t>☐</w:t>
            </w:r>
          </w:p>
        </w:tc>
      </w:tr>
      <w:tr>
        <w:tc>
          <w:tcPr>
            <w:tcW w:type="dxa" w:w="1247"/>
          </w:tcPr>
          <w:p>
            <w:r/>
            <w:r>
              <w:rPr>
                <w:b/>
                <w:sz w:val="19"/>
              </w:rPr>
              <w:t>LNX-01</w:t>
            </w:r>
          </w:p>
        </w:tc>
        <w:tc>
          <w:tcPr>
            <w:tcW w:type="dxa" w:w="2948"/>
          </w:tcPr>
          <w:p>
            <w:r/>
            <w:r>
              <w:rPr>
                <w:sz w:val="19"/>
              </w:rPr>
              <w:t>Satellite / Linux</w:t>
            </w:r>
          </w:p>
        </w:tc>
        <w:tc>
          <w:tcPr>
            <w:tcW w:type="dxa" w:w="1814"/>
          </w:tcPr>
          <w:p>
            <w:r/>
            <w:r>
              <w:rPr>
                <w:sz w:val="19"/>
              </w:rPr>
              <w:t>Ongoing</w:t>
            </w:r>
          </w:p>
        </w:tc>
        <w:tc>
          <w:tcPr>
            <w:tcW w:type="dxa" w:w="1701"/>
          </w:tcPr>
          <w:p>
            <w:r/>
            <w:r>
              <w:rPr>
                <w:sz w:val="19"/>
              </w:rPr>
              <w:t>Convergence</w:t>
            </w:r>
          </w:p>
        </w:tc>
        <w:tc>
          <w:tcPr>
            <w:tcW w:type="dxa" w:w="964"/>
          </w:tcPr>
          <w:p>
            <w:pPr>
              <w:jc w:val="center"/>
            </w:pPr>
            <w:r/>
            <w:r>
              <w:rPr>
                <w:sz w:val="26"/>
              </w:rPr>
              <w:t>☐</w:t>
            </w:r>
          </w:p>
        </w:tc>
      </w:tr>
    </w:tbl>
    <w:p>
      <w:pPr>
        <w:spacing w:after="80"/>
      </w:pPr>
    </w:p>
    <w:p>
      <w:pPr>
        <w:spacing w:after="120" w:before="80"/>
      </w:pPr>
      <w:r>
        <w:rPr>
          <w:b w:val="0"/>
          <w:i w:val="0"/>
          <w:sz w:val="19"/>
        </w:rPr>
        <w:t>Project contact: ____________________     Response due by: ____________</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