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color w:val="1F3864"/>
          <w:sz w:val="30"/>
        </w:rPr>
        <w:t>DÉPLOIEMENT RED HAT SATELLITE 6.19 + ANSIBLE AUTOMATION PLATFORM 2.6</w:t>
      </w:r>
    </w:p>
    <w:p>
      <w:pPr>
        <w:spacing w:after="20" w:before="0"/>
        <w:jc w:val="center"/>
      </w:pPr>
      <w:r>
        <w:rPr>
          <w:b w:val="0"/>
          <w:i w:val="0"/>
          <w:color w:val="555555"/>
          <w:sz w:val="24"/>
        </w:rPr>
        <w:t>Check-list des prérequis par équipe</w:t>
      </w:r>
    </w:p>
    <w:p>
      <w:pPr>
        <w:spacing w:after="160" w:before="0"/>
        <w:jc w:val="center"/>
      </w:pPr>
      <w:r>
        <w:rPr>
          <w:b w:val="0"/>
          <w:i/>
          <w:color w:val="555555"/>
          <w:sz w:val="19"/>
        </w:rPr>
        <w:t>RHEL 9.6+ · mono-site · cluster Hyper-V · Active Directory · PostgreSQL externe</w:t>
      </w:r>
    </w:p>
    <w:tbl>
      <w:tblPr>
        <w:tblStyle w:val="TableGrid"/>
        <w:tblW w:type="auto" w:w="0"/>
        <w:tblLook w:firstColumn="1" w:firstRow="1" w:lastColumn="0" w:lastRow="0" w:noHBand="0" w:noVBand="1" w:val="04A0"/>
      </w:tblPr>
      <w:tblGrid>
        <w:gridCol w:w="10200"/>
      </w:tblGrid>
      <w:tr>
        <w:tc>
          <w:tcPr>
            <w:tcW w:type="dxa" w:w="10200"/>
            <w:shd w:val="clear" w:fill="F4F6FA"/>
          </w:tcPr>
          <w:p>
            <w:pPr>
              <w:spacing w:after="40"/>
            </w:pPr>
            <w:r>
              <w:rPr>
                <w:b/>
                <w:color w:val="1F3864"/>
                <w:sz w:val="19"/>
              </w:rPr>
              <w:t>Objet : prérequis de mise en service à fournir avant installation.</w:t>
            </w:r>
          </w:p>
          <w:p>
            <w:pPr>
              <w:spacing w:after="40"/>
            </w:pPr>
            <w:r>
              <w:rPr>
                <w:sz w:val="19"/>
              </w:rPr>
              <w:t>Destinataires : PKI/Sécurité · Active Directory · Réseau · Hyper-V · Stockage · DBA · Systèmes · Satellite/Abonnements · QA · Linux</w:t>
            </w:r>
          </w:p>
          <w:p>
            <w:pPr>
              <w:spacing w:after="40"/>
            </w:pPr>
            <w:r>
              <w:rPr>
                <w:sz w:val="19"/>
              </w:rPr>
              <w:t>Émis par : Équipe Satellite / Linux</w:t>
            </w:r>
          </w:p>
          <w:p>
            <w:pPr>
              <w:spacing w:after="40"/>
            </w:pPr>
            <w:r>
              <w:rPr>
                <w:sz w:val="19"/>
              </w:rPr>
              <w:t>Version : ________   Date : ________   Retour attendu pour : ________</w:t>
            </w:r>
          </w:p>
        </w:tc>
      </w:tr>
    </w:tbl>
    <w:p>
      <w:pPr>
        <w:spacing w:after="40"/>
      </w:pPr>
    </w:p>
    <w:p>
      <w:pPr>
        <w:spacing w:after="40" w:before="80"/>
      </w:pPr>
      <w:r>
        <w:rPr>
          <w:b/>
          <w:i w:val="0"/>
          <w:color w:val="1F3864"/>
          <w:sz w:val="22"/>
        </w:rPr>
        <w:t>Comment utiliser ce document</w:t>
      </w:r>
    </w:p>
    <w:p>
      <w:pPr>
        <w:spacing w:after="120" w:before="0"/>
      </w:pPr>
      <w:r>
        <w:rPr>
          <w:b w:val="0"/>
          <w:i w:val="0"/>
          <w:sz w:val="19"/>
        </w:rPr>
        <w:t>Ce déploiement combine deux plateformes (Satellite 6.19 puis AAP 2.6) et plusieurs domaines d'infrastructure. Chaque section est autonome : transmettez-la à l'équipe correspondante, elle coche sa colonne « Fait » et la renvoie. Une version « une équipe par fichier » est fournie en parallèle pour l'envoi individuel.</w:t>
      </w:r>
    </w:p>
    <w:p>
      <w:pPr>
        <w:spacing w:after="40" w:before="40"/>
      </w:pPr>
      <w:r>
        <w:rPr>
          <w:b/>
          <w:i w:val="0"/>
          <w:color w:val="1F3864"/>
          <w:sz w:val="22"/>
        </w:rPr>
        <w:t>Ordre de dépendance — deux jalons</w:t>
      </w:r>
    </w:p>
    <w:p>
      <w:pPr>
        <w:pStyle w:val="ListBullet"/>
        <w:spacing w:after="40"/>
      </w:pPr>
      <w:r>
        <w:rPr>
          <w:sz w:val="19"/>
        </w:rPr>
        <w:t>Semaine 1 — PKI, Active Directory et Réseau démarrent en parallèle (chemin critique Satellite). Aucune ne dépend des autres.</w:t>
      </w:r>
    </w:p>
    <w:p>
      <w:pPr>
        <w:pStyle w:val="ListBullet"/>
        <w:spacing w:after="40"/>
      </w:pPr>
      <w:r>
        <w:rPr>
          <w:sz w:val="19"/>
        </w:rPr>
        <w:t>Semaines 2 à 4 — Hyper-V et Stockage préparent les gabarits de VM une fois le VLAN défini par le Réseau.</w:t>
      </w:r>
    </w:p>
    <w:p>
      <w:pPr>
        <w:pStyle w:val="ListBullet"/>
        <w:spacing w:after="40"/>
      </w:pPr>
      <w:r>
        <w:rPr>
          <w:sz w:val="19"/>
        </w:rPr>
        <w:t>Jalon G1 — Toutes les cases Satellite de PKI, AD et Réseau cochées. Condition d'entrée pour l'installation du Satellite. Aucune installation Satellite ne démarre avant.</w:t>
      </w:r>
    </w:p>
    <w:p>
      <w:pPr>
        <w:pStyle w:val="ListBullet"/>
        <w:spacing w:after="40"/>
      </w:pPr>
      <w:r>
        <w:rPr>
          <w:sz w:val="19"/>
        </w:rPr>
        <w:t>Satellite en service — une fois le Satellite opérationnel, il fournit l'enregistrement, les dépôts et l'activation key nécessaires aux nœuds AAP.</w:t>
      </w:r>
    </w:p>
    <w:p>
      <w:pPr>
        <w:pStyle w:val="ListBullet"/>
        <w:spacing w:after="40"/>
      </w:pPr>
      <w:r>
        <w:rPr>
          <w:sz w:val="19"/>
        </w:rPr>
        <w:t>Jalon G2 — Satellite opérationnel + prérequis AAP réunis (DBA, certificats de service AAP, VIP/NTP, bundle &amp; dimensionnement, activation key). Condition d'entrée pour l'installation d'AAP.</w:t>
      </w: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Pourquoi ça compte — Un seul prérequis manquant peut décaler tout le déploiement de plusieurs semaines. Un certificat en retard, une délégation Kerberos oubliée, un VLAN non tranché ou un host PostgreSQL manquant bloque le chemin critique. D'où cette check-list explicite plutôt qu'un échange informel.</w:t>
            </w:r>
          </w:p>
        </w:tc>
      </w:tr>
    </w:tbl>
    <w:p>
      <w:pPr>
        <w:spacing w:after="40"/>
      </w:pPr>
    </w:p>
    <w:p>
      <w:pPr>
        <w:spacing w:after="80" w:before="0"/>
      </w:pPr>
      <w:r>
        <w:rPr>
          <w:b w:val="0"/>
          <w:i/>
          <w:color w:val="555555"/>
          <w:sz w:val="18"/>
        </w:rPr>
        <w:t>Convention : les valeurs à renseigner apparaissent sous forme de champs « ________ ». Les FQDN, plages d'adresses, noms de domaine et secrets réels ne figurent PAS dans ce document ; ils sont échangés séparément par canal sécurisé.</w:t>
      </w:r>
    </w:p>
    <w:tbl>
      <w:tblPr>
        <w:tblStyle w:val="TableGrid"/>
        <w:tblW w:type="auto" w:w="0"/>
        <w:tblLook w:firstColumn="1" w:firstRow="1" w:lastColumn="0" w:lastRow="0" w:noHBand="0" w:noVBand="1" w:val="04A0"/>
      </w:tblPr>
      <w:tblGrid>
        <w:gridCol w:w="10200"/>
      </w:tblGrid>
      <w:tr>
        <w:tc>
          <w:tcPr>
            <w:tcW w:type="dxa" w:w="10200"/>
            <w:shd w:val="clear" w:fill="FBE9E7"/>
          </w:tcPr>
          <w:p>
            <w:r>
              <w:rPr>
                <w:b w:val="0"/>
                <w:color w:val="8A2B06"/>
                <w:sz w:val="19"/>
              </w:rPr>
              <w:t>⚠ Sécurité — ne transmettez AUCUN secret via ce document. Mots de passe (bases, comptes de service), clés privées de certificats et secret d'activation key NE doivent PAS y figurer. Fournissez-les par un canal sécurisé séparé (coffre-fort/vault, transfert chiffré). Ici, on ne demande que des structures (hôtes, ports, noms), des certificats PUBLICS et des autorités de certification (CA).</w:t>
            </w:r>
          </w:p>
        </w:tc>
      </w:tr>
    </w:tbl>
    <w:p>
      <w:pPr>
        <w:spacing w:after="80"/>
      </w:pPr>
    </w:p>
    <w:p>
      <w:r>
        <w:br w:type="page"/>
      </w: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PKI-01 · PKI / Sécurité</w:t>
            </w:r>
          </w:p>
        </w:tc>
      </w:tr>
    </w:tbl>
    <w:p>
      <w:pPr>
        <w:spacing w:after="20"/>
      </w:pPr>
    </w:p>
    <w:p>
      <w:pPr>
        <w:spacing w:after="80"/>
      </w:pPr>
      <w:r>
        <w:rPr>
          <w:color w:val="555555"/>
          <w:sz w:val="19"/>
        </w:rPr>
        <w:t>Interlocuteur : ______________________</w:t>
      </w:r>
      <w:r>
        <w:rPr>
          <w:b/>
          <w:color w:val="1F3864"/>
          <w:sz w:val="19"/>
        </w:rPr>
        <w:t xml:space="preserve">        Échéance : Semaine 1 (chemin critique — jalon G1)</w:t>
      </w:r>
    </w:p>
    <w:p>
      <w:pPr>
        <w:spacing w:after="120" w:before="0"/>
      </w:pPr>
      <w:r>
        <w:rPr>
          <w:b w:val="0"/>
          <w:i/>
          <w:color w:val="555555"/>
          <w:sz w:val="20"/>
        </w:rPr>
        <w:t>La PKI d'entreprise émet les certificats des deux Satellite ET des services AAP. Certificats auto-signés interdits.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Certificat serveur Satellite — Production</w:t>
            </w:r>
          </w:p>
        </w:tc>
        <w:tc>
          <w:tcPr>
            <w:tcW w:type="dxa" w:w="5839"/>
          </w:tcPr>
          <w:p>
            <w:pPr>
              <w:spacing w:after="40"/>
            </w:pPr>
            <w:r/>
            <w:r>
              <w:rPr>
                <w:sz w:val="19"/>
              </w:rPr>
              <w:t>X.509 signé par la PKI d'entreprise. CN et SAN = FQDN exact du Satellite de production.</w:t>
            </w:r>
          </w:p>
          <w:p>
            <w:pPr>
              <w:spacing w:after="40"/>
            </w:pPr>
            <w:r>
              <w:rPr>
                <w:sz w:val="19"/>
              </w:rPr>
              <w:t>Fichiers : server.crt, server.key, chaîne ca-bundle.crt.</w:t>
            </w:r>
          </w:p>
        </w:tc>
        <w:tc>
          <w:tcPr>
            <w:tcW w:type="dxa" w:w="737"/>
          </w:tcPr>
          <w:p>
            <w:pPr>
              <w:jc w:val="center"/>
            </w:pPr>
            <w:r/>
            <w:r>
              <w:rPr>
                <w:sz w:val="26"/>
              </w:rPr>
              <w:t>☐</w:t>
            </w:r>
          </w:p>
        </w:tc>
      </w:tr>
      <w:tr>
        <w:tc>
          <w:tcPr>
            <w:tcW w:type="dxa" w:w="2665"/>
          </w:tcPr>
          <w:p>
            <w:r/>
            <w:r>
              <w:rPr>
                <w:b/>
                <w:color w:val="1F3864"/>
                <w:sz w:val="17"/>
              </w:rPr>
              <w:t xml:space="preserve">[Satellite] </w:t>
            </w:r>
            <w:r>
              <w:rPr>
                <w:b/>
                <w:sz w:val="19"/>
              </w:rPr>
              <w:t>Certificat serveur Satellite — Qualification</w:t>
            </w:r>
          </w:p>
        </w:tc>
        <w:tc>
          <w:tcPr>
            <w:tcW w:type="dxa" w:w="5839"/>
          </w:tcPr>
          <w:p>
            <w:pPr>
              <w:spacing w:after="40"/>
            </w:pPr>
            <w:r/>
            <w:r>
              <w:rPr>
                <w:sz w:val="19"/>
              </w:rPr>
              <w:t>Certificat distinct, CN et SAN = FQDN du Satellite de qualification. Ne pas réutiliser le certificat de production.</w:t>
            </w:r>
          </w:p>
        </w:tc>
        <w:tc>
          <w:tcPr>
            <w:tcW w:type="dxa" w:w="737"/>
          </w:tcPr>
          <w:p>
            <w:pPr>
              <w:jc w:val="center"/>
            </w:pPr>
            <w:r/>
            <w:r>
              <w:rPr>
                <w:sz w:val="26"/>
              </w:rPr>
              <w:t>☐</w:t>
            </w:r>
          </w:p>
        </w:tc>
      </w:tr>
      <w:tr>
        <w:tc>
          <w:tcPr>
            <w:tcW w:type="dxa" w:w="2665"/>
          </w:tcPr>
          <w:p>
            <w:r/>
            <w:r>
              <w:rPr>
                <w:b/>
                <w:color w:val="1F3864"/>
                <w:sz w:val="17"/>
              </w:rPr>
              <w:t xml:space="preserve">[AAP] </w:t>
            </w:r>
            <w:r>
              <w:rPr>
                <w:b/>
                <w:sz w:val="19"/>
              </w:rPr>
              <w:t>Certificats de service AAP (passerelle, contrôleur, hub, EDA)</w:t>
            </w:r>
          </w:p>
        </w:tc>
        <w:tc>
          <w:tcPr>
            <w:tcW w:type="dxa" w:w="5839"/>
          </w:tcPr>
          <w:p>
            <w:pPr>
              <w:spacing w:after="40"/>
            </w:pPr>
            <w:r/>
            <w:r>
              <w:rPr>
                <w:sz w:val="19"/>
              </w:rPr>
              <w:t>Émis par la PKI d'entreprise. Chaque certificat porte les bons SAN. IMPORTANT : le certificat de la PASSERELLE doit inclure en SAN le nom public d'accès (la VIP fournie par le Réseau). PROD et QUAL.</w:t>
            </w:r>
          </w:p>
        </w:tc>
        <w:tc>
          <w:tcPr>
            <w:tcW w:type="dxa" w:w="737"/>
          </w:tcPr>
          <w:p>
            <w:pPr>
              <w:jc w:val="center"/>
            </w:pPr>
            <w:r/>
            <w:r>
              <w:rPr>
                <w:sz w:val="26"/>
              </w:rPr>
              <w:t>☐</w:t>
            </w:r>
          </w:p>
        </w:tc>
      </w:tr>
      <w:tr>
        <w:tc>
          <w:tcPr>
            <w:tcW w:type="dxa" w:w="2665"/>
          </w:tcPr>
          <w:p>
            <w:r/>
            <w:r>
              <w:rPr>
                <w:b/>
                <w:color w:val="1F3864"/>
                <w:sz w:val="17"/>
              </w:rPr>
              <w:t xml:space="preserve">[Les deux] </w:t>
            </w:r>
            <w:r>
              <w:rPr>
                <w:b/>
                <w:sz w:val="19"/>
              </w:rPr>
              <w:t>CA d'entreprise (bundle PEM)</w:t>
            </w:r>
          </w:p>
        </w:tc>
        <w:tc>
          <w:tcPr>
            <w:tcW w:type="dxa" w:w="5839"/>
          </w:tcPr>
          <w:p>
            <w:pPr>
              <w:spacing w:after="40"/>
            </w:pPr>
            <w:r/>
            <w:r>
              <w:rPr>
                <w:sz w:val="19"/>
              </w:rPr>
              <w:t>Bundle PEM complet : CA intermédiaires + racine, pour la validation de la chaîne (Satellite et services AAP).</w:t>
            </w:r>
          </w:p>
        </w:tc>
        <w:tc>
          <w:tcPr>
            <w:tcW w:type="dxa" w:w="737"/>
          </w:tcPr>
          <w:p>
            <w:pPr>
              <w:jc w:val="center"/>
            </w:pPr>
            <w:r/>
            <w:r>
              <w:rPr>
                <w:sz w:val="26"/>
              </w:rPr>
              <w:t>☐</w:t>
            </w:r>
          </w:p>
        </w:tc>
      </w:tr>
      <w:tr>
        <w:tc>
          <w:tcPr>
            <w:tcW w:type="dxa" w:w="2665"/>
          </w:tcPr>
          <w:p>
            <w:r/>
            <w:r>
              <w:rPr>
                <w:b/>
                <w:color w:val="1F3864"/>
                <w:sz w:val="17"/>
              </w:rPr>
              <w:t xml:space="preserve">[AAP] </w:t>
            </w:r>
            <w:r>
              <w:rPr>
                <w:b/>
                <w:sz w:val="19"/>
              </w:rPr>
              <w:t>CA du serveur PostgreSQL (verify-full)</w:t>
            </w:r>
          </w:p>
        </w:tc>
        <w:tc>
          <w:tcPr>
            <w:tcW w:type="dxa" w:w="5839"/>
          </w:tcPr>
          <w:p>
            <w:pPr>
              <w:spacing w:after="40"/>
            </w:pPr>
            <w:r/>
            <w:r>
              <w:rPr>
                <w:sz w:val="19"/>
              </w:rPr>
              <w:t>L'autorité ayant émis le certificat du SERVEUR PostgreSQL externe, au format PEM. Requise car les serveurs AAP vérifient strictement l'identité de la base. (À coordonner avec l'équipe DBA.)</w:t>
            </w:r>
          </w:p>
        </w:tc>
        <w:tc>
          <w:tcPr>
            <w:tcW w:type="dxa" w:w="737"/>
          </w:tcPr>
          <w:p>
            <w:pPr>
              <w:jc w:val="center"/>
            </w:pPr>
            <w:r/>
            <w:r>
              <w:rPr>
                <w:sz w:val="26"/>
              </w:rPr>
              <w:t>☐</w:t>
            </w:r>
          </w:p>
        </w:tc>
      </w:tr>
      <w:tr>
        <w:tc>
          <w:tcPr>
            <w:tcW w:type="dxa" w:w="2665"/>
          </w:tcPr>
          <w:p>
            <w:r/>
            <w:r>
              <w:rPr>
                <w:b/>
                <w:color w:val="1F3864"/>
                <w:sz w:val="17"/>
              </w:rPr>
              <w:t xml:space="preserve">[Les deux] </w:t>
            </w:r>
            <w:r>
              <w:rPr>
                <w:b/>
                <w:sz w:val="19"/>
              </w:rPr>
              <w:t>Clés privées</w:t>
            </w:r>
          </w:p>
        </w:tc>
        <w:tc>
          <w:tcPr>
            <w:tcW w:type="dxa" w:w="5839"/>
          </w:tcPr>
          <w:p>
            <w:pPr>
              <w:spacing w:after="40"/>
            </w:pPr>
            <w:r/>
            <w:r>
              <w:rPr>
                <w:sz w:val="19"/>
              </w:rPr>
              <w:t>Transmises par canal sécurisé (jamais par e-mail). Stockées en 0600 root, hors dépôt de code.</w:t>
            </w:r>
          </w:p>
        </w:tc>
        <w:tc>
          <w:tcPr>
            <w:tcW w:type="dxa" w:w="737"/>
          </w:tcPr>
          <w:p>
            <w:pPr>
              <w:jc w:val="center"/>
            </w:pPr>
            <w:r/>
            <w:r>
              <w:rPr>
                <w:sz w:val="26"/>
              </w:rPr>
              <w:t>☐</w:t>
            </w:r>
          </w:p>
        </w:tc>
      </w:tr>
      <w:tr>
        <w:tc>
          <w:tcPr>
            <w:tcW w:type="dxa" w:w="2665"/>
          </w:tcPr>
          <w:p>
            <w:r/>
            <w:r>
              <w:rPr>
                <w:b/>
                <w:color w:val="1F3864"/>
                <w:sz w:val="17"/>
              </w:rPr>
              <w:t xml:space="preserve">[Les deux] </w:t>
            </w:r>
            <w:r>
              <w:rPr>
                <w:b/>
                <w:sz w:val="19"/>
              </w:rPr>
              <w:t>Renouvellement</w:t>
            </w:r>
          </w:p>
        </w:tc>
        <w:tc>
          <w:tcPr>
            <w:tcW w:type="dxa" w:w="5839"/>
          </w:tcPr>
          <w:p>
            <w:pPr>
              <w:spacing w:after="40"/>
            </w:pPr>
            <w:r/>
            <w:r>
              <w:rPr>
                <w:sz w:val="19"/>
              </w:rPr>
              <w:t>Durée de validité et procédure de renouvellement communiquées.</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Les certificats sont posés dès la première installation. Les remplacer ensuite impose de régénérer les certificats de centaines de clients enregistrés. Un CN qui ne correspond pas exactement au FQDN casse la connexion, sans message explicite. Côté AAP, l'absence de la CA du serveur PostgreSQL fait échouer l'installation en verify-full.</w:t>
            </w:r>
          </w:p>
        </w:tc>
      </w:tr>
    </w:tbl>
    <w:p>
      <w:pPr>
        <w:spacing w:after="40"/>
      </w:pPr>
    </w:p>
    <w:p>
      <w:pPr>
        <w:spacing w:after="40" w:before="80"/>
      </w:pPr>
      <w:r>
        <w:rPr>
          <w:b/>
          <w:i w:val="0"/>
          <w:color w:val="1F3864"/>
          <w:sz w:val="19"/>
        </w:rPr>
        <w:t>À noter</w:t>
      </w:r>
    </w:p>
    <w:p>
      <w:pPr>
        <w:pStyle w:val="ListBullet"/>
        <w:spacing w:after="40"/>
      </w:pPr>
      <w:r>
        <w:rPr>
          <w:color w:val="555555"/>
          <w:sz w:val="19"/>
        </w:rPr>
        <w:t>Le CN et le SAN doivent correspondre au FQDN au caractère près — un certificat de qualification posé en production est une panne silencieuse.</w:t>
      </w:r>
    </w:p>
    <w:p>
      <w:pPr>
        <w:pStyle w:val="ListBullet"/>
        <w:spacing w:after="40"/>
      </w:pPr>
      <w:r>
        <w:rPr>
          <w:color w:val="555555"/>
          <w:sz w:val="19"/>
        </w:rPr>
        <w:t>Chaque certificat Satellite est validé automatiquement (katello-certs-check) avant l'installation.</w:t>
      </w:r>
    </w:p>
    <w:p>
      <w:pPr>
        <w:pStyle w:val="ListBullet"/>
        <w:spacing w:after="40"/>
      </w:pPr>
      <w:r>
        <w:rPr>
          <w:color w:val="555555"/>
          <w:sz w:val="19"/>
        </w:rPr>
        <w:t>Le nom de la VIP (Réseau) doit figurer en SAN sur le certificat de la passerelle AAP.</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AD-01 · Active Directory</w:t>
            </w:r>
          </w:p>
        </w:tc>
      </w:tr>
    </w:tbl>
    <w:p>
      <w:pPr>
        <w:spacing w:after="20"/>
      </w:pPr>
    </w:p>
    <w:p>
      <w:pPr>
        <w:spacing w:after="80"/>
      </w:pPr>
      <w:r>
        <w:rPr>
          <w:color w:val="555555"/>
          <w:sz w:val="19"/>
        </w:rPr>
        <w:t>Interlocuteur : ______________________</w:t>
      </w:r>
      <w:r>
        <w:rPr>
          <w:b/>
          <w:color w:val="1F3864"/>
          <w:sz w:val="19"/>
        </w:rPr>
        <w:t xml:space="preserve">        Échéance : Semaine 1 (chemin critique — jalon G1)</w:t>
      </w:r>
    </w:p>
    <w:p>
      <w:pPr>
        <w:spacing w:after="120" w:before="0"/>
      </w:pPr>
      <w:r>
        <w:rPr>
          <w:b w:val="0"/>
          <w:i/>
          <w:color w:val="555555"/>
          <w:sz w:val="20"/>
        </w:rPr>
        <w:t>Le Satellite s'authentifie contre l'AD en LDAPS et pilote le cluster Hyper-V via WinRM Kerberos. Trois volets : compte de service, groupes, délégation.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Compte de service LDAPS</w:t>
            </w:r>
          </w:p>
        </w:tc>
        <w:tc>
          <w:tcPr>
            <w:tcW w:type="dxa" w:w="5839"/>
          </w:tcPr>
          <w:p>
            <w:pPr>
              <w:spacing w:after="40"/>
            </w:pPr>
            <w:r/>
            <w:r>
              <w:rPr>
                <w:sz w:val="19"/>
              </w:rPr>
              <w:t>Compte en lecture seule sur l'annuaire. Mot de passe non expirant (ou rotation communiquée). Utilisé par le Satellite pour l'authentification des utilisateurs.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Certificat CA de l'AD</w:t>
            </w:r>
          </w:p>
        </w:tc>
        <w:tc>
          <w:tcPr>
            <w:tcW w:type="dxa" w:w="5839"/>
          </w:tcPr>
          <w:p>
            <w:pPr>
              <w:spacing w:after="40"/>
            </w:pPr>
            <w:r/>
            <w:r>
              <w:rPr>
                <w:sz w:val="19"/>
              </w:rPr>
              <w:t>Autorité de certification de l'AD, à ajouter au magasin de confiance du Satellite (sinon LDAPS échoue silencieusement).</w:t>
            </w:r>
          </w:p>
        </w:tc>
        <w:tc>
          <w:tcPr>
            <w:tcW w:type="dxa" w:w="737"/>
          </w:tcPr>
          <w:p>
            <w:pPr>
              <w:jc w:val="center"/>
            </w:pPr>
            <w:r/>
            <w:r>
              <w:rPr>
                <w:sz w:val="26"/>
              </w:rPr>
              <w:t>☐</w:t>
            </w:r>
          </w:p>
        </w:tc>
      </w:tr>
      <w:tr>
        <w:tc>
          <w:tcPr>
            <w:tcW w:type="dxa" w:w="2665"/>
          </w:tcPr>
          <w:p>
            <w:r/>
            <w:r>
              <w:rPr>
                <w:b/>
                <w:color w:val="1F3864"/>
                <w:sz w:val="17"/>
              </w:rPr>
              <w:t xml:space="preserve">[Satellite] </w:t>
            </w:r>
            <w:r>
              <w:rPr>
                <w:b/>
                <w:sz w:val="19"/>
              </w:rPr>
              <w:t>Groupes de sécurité (plats)</w:t>
            </w:r>
          </w:p>
        </w:tc>
        <w:tc>
          <w:tcPr>
            <w:tcW w:type="dxa" w:w="5839"/>
          </w:tcPr>
          <w:p>
            <w:pPr>
              <w:spacing w:after="40"/>
            </w:pPr>
            <w:r/>
            <w:r>
              <w:rPr>
                <w:sz w:val="19"/>
              </w:rPr>
              <w:t>Groupes dédiés, non imbriqués : administrateurs, opérateurs, provisionneurs, lecteurs. L'imbrication n'est pas résolue de façon fiable.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Compte de service Ansible</w:t>
            </w:r>
          </w:p>
        </w:tc>
        <w:tc>
          <w:tcPr>
            <w:tcW w:type="dxa" w:w="5839"/>
          </w:tcPr>
          <w:p>
            <w:pPr>
              <w:spacing w:after="40"/>
            </w:pPr>
            <w:r/>
            <w:r>
              <w:rPr>
                <w:sz w:val="19"/>
              </w:rPr>
              <w:t>Compte dédié pour piloter Hyper-V et l'automatisation. Keytab Kerberos généré et fourni (préféré au mot de passe).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Délégation Kerberos contrainte</w:t>
            </w:r>
          </w:p>
        </w:tc>
        <w:tc>
          <w:tcPr>
            <w:tcW w:type="dxa" w:w="5839"/>
          </w:tcPr>
          <w:p>
            <w:pPr>
              <w:spacing w:after="40"/>
            </w:pPr>
            <w:r/>
            <w:r>
              <w:rPr>
                <w:sz w:val="19"/>
              </w:rPr>
              <w:t>Comptes machine des nœuds Hyper-V approuvés pour la délégation vers le compte de service Ansible. Indispensable pour l'écriture sur le stockage partagé du cluster.</w:t>
            </w:r>
          </w:p>
        </w:tc>
        <w:tc>
          <w:tcPr>
            <w:tcW w:type="dxa" w:w="737"/>
          </w:tcPr>
          <w:p>
            <w:pPr>
              <w:jc w:val="center"/>
            </w:pPr>
            <w:r/>
            <w:r>
              <w:rPr>
                <w:sz w:val="26"/>
              </w:rPr>
              <w:t>☐</w:t>
            </w:r>
          </w:p>
        </w:tc>
      </w:tr>
      <w:tr>
        <w:tc>
          <w:tcPr>
            <w:tcW w:type="dxa" w:w="2665"/>
          </w:tcPr>
          <w:p>
            <w:r/>
            <w:r>
              <w:rPr>
                <w:b/>
                <w:color w:val="1F3864"/>
                <w:sz w:val="17"/>
              </w:rPr>
              <w:t xml:space="preserve">[Satellite] </w:t>
            </w:r>
            <w:r>
              <w:rPr>
                <w:b/>
                <w:sz w:val="19"/>
              </w:rPr>
              <w:t>Zone DNS (A + PTR)</w:t>
            </w:r>
          </w:p>
        </w:tc>
        <w:tc>
          <w:tcPr>
            <w:tcW w:type="dxa" w:w="5839"/>
          </w:tcPr>
          <w:p>
            <w:pPr>
              <w:spacing w:after="40"/>
            </w:pPr>
            <w:r/>
            <w:r>
              <w:rPr>
                <w:sz w:val="19"/>
              </w:rPr>
              <w:t>Enregistrements A + PTR pour chaque Satellite (production et qualification). Résolution directe ET inverse obligatoire.</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Sans la délégation Kerberos, la création des disques de VM sur le stockage partagé échoue avec un « accès refusé » difficile à diagnostiquer. Sans PTR, le Satellite refuse de s'installer. Les groupes imbriqués ne remontant pas de façon fiable, un utilisateur légitime peut se voir refuser l'accès sans raison apparente.</w:t>
            </w:r>
          </w:p>
        </w:tc>
      </w:tr>
    </w:tbl>
    <w:p>
      <w:pPr>
        <w:spacing w:after="40"/>
      </w:pPr>
    </w:p>
    <w:p>
      <w:pPr>
        <w:spacing w:after="40" w:before="80"/>
      </w:pPr>
      <w:r>
        <w:rPr>
          <w:b/>
          <w:i w:val="0"/>
          <w:color w:val="1F3864"/>
          <w:sz w:val="19"/>
        </w:rPr>
        <w:t>À noter</w:t>
      </w:r>
    </w:p>
    <w:p>
      <w:pPr>
        <w:pStyle w:val="ListBullet"/>
        <w:spacing w:after="40"/>
      </w:pPr>
      <w:r>
        <w:rPr>
          <w:color w:val="555555"/>
          <w:sz w:val="19"/>
        </w:rPr>
        <w:t>Prévoir un compte de test membre d'un groupe pour valider l'authentification de bout en bout avant la bascule.</w:t>
      </w:r>
    </w:p>
    <w:p>
      <w:pPr>
        <w:pStyle w:val="ListBullet"/>
        <w:spacing w:after="40"/>
      </w:pPr>
      <w:r>
        <w:rPr>
          <w:color w:val="555555"/>
          <w:sz w:val="19"/>
        </w:rPr>
        <w:t>La délégation demandée est contrainte (vers le seul compte de service), pas générale — le choix le plus sûr.</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NET-01 · Réseau / DHCP-DNS</w:t>
            </w:r>
          </w:p>
        </w:tc>
      </w:tr>
    </w:tbl>
    <w:p>
      <w:pPr>
        <w:spacing w:after="20"/>
      </w:pPr>
    </w:p>
    <w:p>
      <w:pPr>
        <w:spacing w:after="80"/>
      </w:pPr>
      <w:r>
        <w:rPr>
          <w:color w:val="555555"/>
          <w:sz w:val="19"/>
        </w:rPr>
        <w:t>Interlocuteur : ______________________</w:t>
      </w:r>
      <w:r>
        <w:rPr>
          <w:b/>
          <w:color w:val="1F3864"/>
          <w:sz w:val="19"/>
        </w:rPr>
        <w:t xml:space="preserve">        Échéance : Semaine 1 (chemin critique — jalon G1)</w:t>
      </w:r>
    </w:p>
    <w:p>
      <w:pPr>
        <w:spacing w:after="120" w:before="0"/>
      </w:pPr>
      <w:r>
        <w:rPr>
          <w:b w:val="0"/>
          <w:i/>
          <w:color w:val="555555"/>
          <w:sz w:val="20"/>
        </w:rPr>
        <w:t>Le DNS et le DHCP restent gérés par Microsoft ; le Satellite n'en prend pas le contrôle. Côté AAP, le point d'entrée (VIP), le temps et les flux doivent être fournis.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[Les deux] </w:t>
            </w:r>
            <w:r>
              <w:rPr>
                <w:b/>
                <w:sz w:val="19"/>
              </w:rPr>
              <w:t>Adresses IP réservées</w:t>
            </w:r>
          </w:p>
        </w:tc>
        <w:tc>
          <w:tcPr>
            <w:tcW w:type="dxa" w:w="5839"/>
          </w:tcPr>
          <w:p>
            <w:pPr>
              <w:spacing w:after="40"/>
            </w:pPr>
            <w:r/>
            <w:r>
              <w:rPr>
                <w:sz w:val="19"/>
              </w:rPr>
              <w:t>Une IP fixe par Satellite (prod + qual) et par nœud AAP, plus les VM d'automatisation. Enregistrements DNS associés (voir AD-01).</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VLAN de production</w:t>
            </w:r>
          </w:p>
        </w:tc>
        <w:tc>
          <w:tcPr>
            <w:tcW w:type="dxa" w:w="5839"/>
          </w:tcPr>
          <w:p>
            <w:pPr>
              <w:spacing w:after="40"/>
            </w:pPr>
            <w:r/>
            <w:r>
              <w:rPr>
                <w:sz w:val="19"/>
              </w:rPr>
              <w:t>VLAN cible défini et communiqué. Prérequis à la préparation des VM par Hyper-V.</w:t>
            </w:r>
          </w:p>
        </w:tc>
        <w:tc>
          <w:tcPr>
            <w:tcW w:type="dxa" w:w="737"/>
          </w:tcPr>
          <w:p>
            <w:pPr>
              <w:jc w:val="center"/>
            </w:pPr>
            <w:r/>
            <w:r>
              <w:rPr>
                <w:sz w:val="26"/>
              </w:rPr>
              <w:t>☐</w:t>
            </w:r>
          </w:p>
        </w:tc>
      </w:tr>
      <w:tr>
        <w:tc>
          <w:tcPr>
            <w:tcW w:type="dxa" w:w="2665"/>
          </w:tcPr>
          <w:p>
            <w:r/>
            <w:r>
              <w:rPr>
                <w:b/>
                <w:color w:val="1F3864"/>
                <w:sz w:val="17"/>
              </w:rPr>
              <w:t xml:space="preserve">[Satellite] </w:t>
            </w:r>
            <w:r>
              <w:rPr>
                <w:b/>
                <w:sz w:val="19"/>
              </w:rPr>
              <w:t>Options PXE sur le DHCP Microsoft</w:t>
            </w:r>
          </w:p>
        </w:tc>
        <w:tc>
          <w:tcPr>
            <w:tcW w:type="dxa" w:w="5839"/>
          </w:tcPr>
          <w:p>
            <w:pPr>
              <w:spacing w:after="40"/>
            </w:pPr>
            <w:r/>
            <w:r>
              <w:rPr>
                <w:sz w:val="19"/>
              </w:rPr>
              <w:t>Policies par « vendor class » pour distinguer BIOS / UEFI / UEFI HTTP. Chaque policy pointe le Satellite (next-server) et le bon fichier d'amorçage.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Exclusion de la plage d'allocation</w:t>
            </w:r>
          </w:p>
        </w:tc>
        <w:tc>
          <w:tcPr>
            <w:tcW w:type="dxa" w:w="5839"/>
          </w:tcPr>
          <w:p>
            <w:pPr>
              <w:spacing w:after="40"/>
            </w:pPr>
            <w:r/>
            <w:r>
              <w:rPr>
                <w:sz w:val="19"/>
              </w:rPr>
              <w:t>La plage gérée par le Satellite doit être EXCLUE du pool dynamique du DHCP Microsoft. Les deux plages ne doivent jamais se chevaucher.</w:t>
            </w:r>
          </w:p>
        </w:tc>
        <w:tc>
          <w:tcPr>
            <w:tcW w:type="dxa" w:w="737"/>
          </w:tcPr>
          <w:p>
            <w:pPr>
              <w:jc w:val="center"/>
            </w:pPr>
            <w:r/>
            <w:r>
              <w:rPr>
                <w:sz w:val="26"/>
              </w:rPr>
              <w:t>☐</w:t>
            </w:r>
          </w:p>
        </w:tc>
      </w:tr>
      <w:tr>
        <w:tc>
          <w:tcPr>
            <w:tcW w:type="dxa" w:w="2665"/>
          </w:tcPr>
          <w:p>
            <w:r/>
            <w:r>
              <w:rPr>
                <w:b/>
                <w:color w:val="1F3864"/>
                <w:sz w:val="17"/>
              </w:rPr>
              <w:t xml:space="preserve">[Satellite] </w:t>
            </w:r>
            <w:r>
              <w:rPr>
                <w:b/>
                <w:sz w:val="19"/>
              </w:rPr>
              <w:t>Absence de conflit PXE</w:t>
            </w:r>
          </w:p>
        </w:tc>
        <w:tc>
          <w:tcPr>
            <w:tcW w:type="dxa" w:w="5839"/>
          </w:tcPr>
          <w:p>
            <w:pPr>
              <w:spacing w:after="40"/>
            </w:pPr>
            <w:r/>
            <w:r>
              <w:rPr>
                <w:sz w:val="19"/>
              </w:rPr>
              <w:t>Confirmer qu'aucun autre serveur PXE (WDS, SCCM) ne répond sur le VLAN de déploiement.</w:t>
            </w:r>
          </w:p>
        </w:tc>
        <w:tc>
          <w:tcPr>
            <w:tcW w:type="dxa" w:w="737"/>
          </w:tcPr>
          <w:p>
            <w:pPr>
              <w:jc w:val="center"/>
            </w:pPr>
            <w:r/>
            <w:r>
              <w:rPr>
                <w:sz w:val="26"/>
              </w:rPr>
              <w:t>☐</w:t>
            </w:r>
          </w:p>
        </w:tc>
      </w:tr>
      <w:tr>
        <w:tc>
          <w:tcPr>
            <w:tcW w:type="dxa" w:w="2665"/>
          </w:tcPr>
          <w:p>
            <w:r/>
            <w:r>
              <w:rPr>
                <w:b/>
                <w:color w:val="1F3864"/>
                <w:sz w:val="17"/>
              </w:rPr>
              <w:t xml:space="preserve">[AAP] </w:t>
            </w:r>
            <w:r>
              <w:rPr>
                <w:b/>
                <w:sz w:val="19"/>
              </w:rPr>
              <w:t>Point d'entrée unique AAP (VIP + FQDN)</w:t>
            </w:r>
          </w:p>
        </w:tc>
        <w:tc>
          <w:tcPr>
            <w:tcW w:type="dxa" w:w="5839"/>
          </w:tcPr>
          <w:p>
            <w:pPr>
              <w:spacing w:after="40"/>
            </w:pPr>
            <w:r/>
            <w:r>
              <w:rPr>
                <w:sz w:val="19"/>
              </w:rPr>
              <w:t>Adresse virtuelle + nom DNS devant les 2 passerelles AAP, porté par un répartiteur de charge distribuant en 443. PROD et QUAL. Cette VIP est aussi utilisée par le contrôle post-installation ET doit figurer en SAN sur le certificat passerelle (voir PKI-01).</w:t>
            </w:r>
          </w:p>
        </w:tc>
        <w:tc>
          <w:tcPr>
            <w:tcW w:type="dxa" w:w="737"/>
          </w:tcPr>
          <w:p>
            <w:pPr>
              <w:jc w:val="center"/>
            </w:pPr>
            <w:r/>
            <w:r>
              <w:rPr>
                <w:sz w:val="26"/>
              </w:rPr>
              <w:t>☐</w:t>
            </w:r>
          </w:p>
        </w:tc>
      </w:tr>
      <w:tr>
        <w:tc>
          <w:tcPr>
            <w:tcW w:type="dxa" w:w="2665"/>
          </w:tcPr>
          <w:p>
            <w:r/>
            <w:r>
              <w:rPr>
                <w:b/>
                <w:color w:val="1F3864"/>
                <w:sz w:val="17"/>
              </w:rPr>
              <w:t xml:space="preserve">[Les deux] </w:t>
            </w:r>
            <w:r>
              <w:rPr>
                <w:b/>
                <w:sz w:val="19"/>
              </w:rPr>
              <w:t>Serveurs de temps (NTP)</w:t>
            </w:r>
          </w:p>
        </w:tc>
        <w:tc>
          <w:tcPr>
            <w:tcW w:type="dxa" w:w="5839"/>
          </w:tcPr>
          <w:p>
            <w:pPr>
              <w:spacing w:after="40"/>
            </w:pPr>
            <w:r/>
            <w:r>
              <w:rPr>
                <w:sz w:val="19"/>
              </w:rPr>
              <w:t>Liste des serveurs NTP auxquels les serveurs se synchronisent (typiquement les DC AD). PROD et QUAL si différents.</w:t>
            </w:r>
          </w:p>
        </w:tc>
        <w:tc>
          <w:tcPr>
            <w:tcW w:type="dxa" w:w="737"/>
          </w:tcPr>
          <w:p>
            <w:pPr>
              <w:jc w:val="center"/>
            </w:pPr>
            <w:r/>
            <w:r>
              <w:rPr>
                <w:sz w:val="26"/>
              </w:rPr>
              <w:t>☐</w:t>
            </w:r>
          </w:p>
        </w:tc>
      </w:tr>
      <w:tr>
        <w:tc>
          <w:tcPr>
            <w:tcW w:type="dxa" w:w="2665"/>
          </w:tcPr>
          <w:p>
            <w:r/>
            <w:r>
              <w:rPr>
                <w:b/>
                <w:color w:val="1F3864"/>
                <w:sz w:val="17"/>
              </w:rPr>
              <w:t xml:space="preserve">[Les deux] </w:t>
            </w:r>
            <w:r>
              <w:rPr>
                <w:b/>
                <w:sz w:val="19"/>
              </w:rPr>
              <w:t>Ouverture des flux</w:t>
            </w:r>
          </w:p>
        </w:tc>
        <w:tc>
          <w:tcPr>
            <w:tcW w:type="dxa" w:w="5839"/>
          </w:tcPr>
          <w:p>
            <w:pPr>
              <w:spacing w:after="40"/>
            </w:pPr>
            <w:r/>
            <w:r>
              <w:rPr>
                <w:sz w:val="19"/>
              </w:rPr>
              <w:t>Vers le Satellite : 443, 80, 8000, 9090, 8883, 69/udp. Depuis le Satellite : 636 (AD), 623/udp (BMC), 443 (dépôt Red Hat).</w:t>
            </w:r>
          </w:p>
          <w:p>
            <w:pPr>
              <w:spacing w:after="40"/>
            </w:pPr>
            <w:r>
              <w:rPr>
                <w:sz w:val="19"/>
              </w:rPr>
              <w:t>Côté AAP : utilisateurs/LB → VIP passerelle 443 ; serveurs AAP → PostgreSQL 5432 ; maillage interne AAP 27199/TCP ; administration → nœuds 22 (SSH).</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Deux serveurs PXE sur le même segment provoquent des démarrages non déterministes. Un chevauchement plage Satellite / pool DHCP génère des conflits d'adresses silencieux. Côté AAP, sans la VIP il n'y a pas de point d'entrée, et sans NTP les connexions chiffrées et l'enregistrement échouent (l'étape de préparation AAP bloque si le NTP n'est pas fourni).</w:t>
            </w:r>
          </w:p>
        </w:tc>
      </w:tr>
    </w:tbl>
    <w:p>
      <w:pPr>
        <w:spacing w:after="40"/>
      </w:pPr>
    </w:p>
    <w:p>
      <w:pPr>
        <w:spacing w:after="40" w:before="80"/>
      </w:pPr>
      <w:r>
        <w:rPr>
          <w:b/>
          <w:i w:val="0"/>
          <w:color w:val="1F3864"/>
          <w:sz w:val="19"/>
        </w:rPr>
        <w:t>À noter</w:t>
      </w:r>
    </w:p>
    <w:p>
      <w:pPr>
        <w:pStyle w:val="ListBullet"/>
        <w:spacing w:after="40"/>
      </w:pPr>
      <w:r>
        <w:rPr>
          <w:color w:val="555555"/>
          <w:sz w:val="19"/>
        </w:rPr>
        <w:t>La plage d'allocation du Satellite et le pool Microsoft doivent être documentés côte à côte.</w:t>
      </w:r>
    </w:p>
    <w:p>
      <w:pPr>
        <w:pStyle w:val="ListBullet"/>
        <w:spacing w:after="40"/>
      </w:pPr>
      <w:r>
        <w:rPr>
          <w:color w:val="555555"/>
          <w:sz w:val="19"/>
        </w:rPr>
        <w:t>Les policies DHCP par vendor class font partie de la configuration du Satellite : à versionner.</w:t>
      </w:r>
    </w:p>
    <w:p>
      <w:pPr>
        <w:pStyle w:val="ListBullet"/>
        <w:spacing w:after="40"/>
      </w:pPr>
      <w:r>
        <w:rPr>
          <w:color w:val="555555"/>
          <w:sz w:val="19"/>
        </w:rPr>
        <w:t>Sens du maillage AAP (27199) : voir la QUESTION ci-dessous en cas de zone/DMZ.</w:t>
      </w:r>
    </w:p>
    <w:p>
      <w:pPr>
        <w:spacing w:before="80" w:after="80"/>
      </w:pPr>
      <w:r>
        <w:rPr>
          <w:b/>
          <w:color w:val="8A2B06"/>
          <w:sz w:val="19"/>
        </w:rPr>
        <w:t>QUESTION — Topologie : déploiement sur un SEUL site (mono-DC), ou certains nœuds d'exécution AAP dans une zone séparée / DMZ ? Si DMZ, quel côté est autorisé à INITIER la connexion interne (27199) à travers la frontière ? Cette réponse détermine le sens du maillage et évite de le configurer à l'envers.</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HV-01 · Virtualisation Hyper-V</w:t>
            </w:r>
          </w:p>
        </w:tc>
      </w:tr>
    </w:tbl>
    <w:p>
      <w:pPr>
        <w:spacing w:after="20"/>
      </w:pPr>
    </w:p>
    <w:p>
      <w:pPr>
        <w:spacing w:after="80"/>
      </w:pPr>
      <w:r>
        <w:rPr>
          <w:color w:val="555555"/>
          <w:sz w:val="19"/>
        </w:rPr>
        <w:t>Interlocuteur : ______________________</w:t>
      </w:r>
      <w:r>
        <w:rPr>
          <w:b/>
          <w:color w:val="1F3864"/>
          <w:sz w:val="19"/>
        </w:rPr>
        <w:t xml:space="preserve">        Échéance : Semaines 2 à 4</w:t>
      </w:r>
    </w:p>
    <w:p>
      <w:pPr>
        <w:spacing w:after="120" w:before="0"/>
      </w:pPr>
      <w:r>
        <w:rPr>
          <w:b w:val="0"/>
          <w:i/>
          <w:color w:val="555555"/>
          <w:sz w:val="20"/>
        </w:rPr>
        <w:t>Les VM sont créées par l'automatisation, mais le cluster et ses réglages doivent être préparés. Cinq points sont critiques pour un démarrage PXE correct de RHEL 9.</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Accès WinRM Kerberos</w:t>
            </w:r>
          </w:p>
        </w:tc>
        <w:tc>
          <w:tcPr>
            <w:tcW w:type="dxa" w:w="5839"/>
          </w:tcPr>
          <w:p>
            <w:pPr>
              <w:spacing w:after="40"/>
            </w:pPr>
            <w:r/>
            <w:r>
              <w:rPr>
                <w:sz w:val="19"/>
              </w:rPr>
              <w:t>WinRM activé sur les nœuds du cluster, accessible par le compte de service Ansible (voir AD-01).</w:t>
            </w:r>
          </w:p>
        </w:tc>
        <w:tc>
          <w:tcPr>
            <w:tcW w:type="dxa" w:w="737"/>
          </w:tcPr>
          <w:p>
            <w:pPr>
              <w:jc w:val="center"/>
            </w:pPr>
            <w:r/>
            <w:r>
              <w:rPr>
                <w:sz w:val="26"/>
              </w:rPr>
              <w:t>☐</w:t>
            </w:r>
          </w:p>
        </w:tc>
      </w:tr>
      <w:tr>
        <w:tc>
          <w:tcPr>
            <w:tcW w:type="dxa" w:w="2665"/>
          </w:tcPr>
          <w:p>
            <w:r/>
            <w:r>
              <w:rPr>
                <w:b/>
                <w:color w:val="1F3864"/>
                <w:sz w:val="17"/>
              </w:rPr>
              <w:t xml:space="preserve">[Satellite] </w:t>
            </w:r>
            <w:r>
              <w:rPr>
                <w:b/>
                <w:sz w:val="19"/>
              </w:rPr>
              <w:t>Génération 2 + Secure Boot</w:t>
            </w:r>
          </w:p>
        </w:tc>
        <w:tc>
          <w:tcPr>
            <w:tcW w:type="dxa" w:w="5839"/>
          </w:tcPr>
          <w:p>
            <w:pPr>
              <w:spacing w:after="40"/>
            </w:pPr>
            <w:r/>
            <w:r>
              <w:rPr>
                <w:sz w:val="19"/>
              </w:rPr>
              <w:t>VM en Génération 2 (UEFI, PXE natif). Modèle Secure Boot « Microsoft UEFI Certificate Authority » — sinon le chargeur Linux ne démarre pas.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Mémoire statique</w:t>
            </w:r>
          </w:p>
        </w:tc>
        <w:tc>
          <w:tcPr>
            <w:tcW w:type="dxa" w:w="5839"/>
          </w:tcPr>
          <w:p>
            <w:pPr>
              <w:spacing w:after="40"/>
            </w:pPr>
            <w:r/>
            <w:r>
              <w:rPr>
                <w:sz w:val="19"/>
              </w:rPr>
              <w:t>Mémoire dynamique DÉSACTIVÉE sur le Satellite et les nœuds d'automatisation (le ballooning provoque des incidents mémoire erratiques).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Synchronisation de temps</w:t>
            </w:r>
          </w:p>
        </w:tc>
        <w:tc>
          <w:tcPr>
            <w:tcW w:type="dxa" w:w="5839"/>
          </w:tcPr>
          <w:p>
            <w:pPr>
              <w:spacing w:after="40"/>
            </w:pPr>
            <w:r/>
            <w:r>
              <w:rPr>
                <w:sz w:val="19"/>
              </w:rPr>
              <w:t>Service d'intégration « Time Synchronization » DÉSACTIVÉ sur les VM Linux (elles se synchronisent via chrony sur l'AD/NTP).</w:t>
            </w:r>
          </w:p>
        </w:tc>
        <w:tc>
          <w:tcPr>
            <w:tcW w:type="dxa" w:w="737"/>
          </w:tcPr>
          <w:p>
            <w:pPr>
              <w:jc w:val="center"/>
            </w:pPr>
            <w:r/>
            <w:r>
              <w:rPr>
                <w:sz w:val="26"/>
              </w:rPr>
              <w:t>☐</w:t>
            </w:r>
          </w:p>
        </w:tc>
      </w:tr>
      <w:tr>
        <w:tc>
          <w:tcPr>
            <w:tcW w:type="dxa" w:w="2665"/>
          </w:tcPr>
          <w:p>
            <w:r/>
            <w:r>
              <w:rPr>
                <w:b/>
                <w:color w:val="1F3864"/>
                <w:sz w:val="17"/>
              </w:rPr>
              <w:t xml:space="preserve">[Satellite] </w:t>
            </w:r>
            <w:r>
              <w:rPr>
                <w:b/>
                <w:sz w:val="19"/>
              </w:rPr>
              <w:t>Plage d'adresses MAC</w:t>
            </w:r>
          </w:p>
        </w:tc>
        <w:tc>
          <w:tcPr>
            <w:tcW w:type="dxa" w:w="5839"/>
          </w:tcPr>
          <w:p>
            <w:pPr>
              <w:spacing w:after="40"/>
            </w:pPr>
            <w:r/>
            <w:r>
              <w:rPr>
                <w:sz w:val="19"/>
              </w:rPr>
              <w:t>Préfixe MAC réservé pour ce parc, alloué par l'automatisation. À exclure du pool MAC dynamique du cluster.</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Stockage partagé (CSV)</w:t>
            </w:r>
          </w:p>
        </w:tc>
        <w:tc>
          <w:tcPr>
            <w:tcW w:type="dxa" w:w="5839"/>
          </w:tcPr>
          <w:p>
            <w:pPr>
              <w:spacing w:after="40"/>
            </w:pPr>
            <w:r/>
            <w:r>
              <w:rPr>
                <w:sz w:val="19"/>
              </w:rPr>
              <w:t>Volume partagé de cluster (CSV) accessible depuis tous les nœuds, pour l'hébergement des VM.</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Le modèle Secure Boot par défaut d'Hyper-V ne fait pas confiance au chargeur Linux : la VM ne démarre pas, sans message explicite. C'est l'erreur la plus coûteuse en temps. La mémoire dynamique et la synchronisation de temps Hyper-V, laissées actives, provoquent des pannes intermittentes difficiles à relier à leur cause.</w:t>
            </w:r>
          </w:p>
        </w:tc>
      </w:tr>
    </w:tbl>
    <w:p>
      <w:pPr>
        <w:spacing w:after="40"/>
      </w:pPr>
    </w:p>
    <w:p>
      <w:pPr>
        <w:spacing w:after="40" w:before="80"/>
      </w:pPr>
      <w:r>
        <w:rPr>
          <w:b/>
          <w:i w:val="0"/>
          <w:color w:val="1F3864"/>
          <w:sz w:val="19"/>
        </w:rPr>
        <w:t>À noter</w:t>
      </w:r>
    </w:p>
    <w:p>
      <w:pPr>
        <w:pStyle w:val="ListBullet"/>
        <w:spacing w:after="40"/>
      </w:pPr>
      <w:r>
        <w:rPr>
          <w:color w:val="555555"/>
          <w:sz w:val="19"/>
        </w:rPr>
        <w:t>Le lien VM ↔ objet Satellite repose sur la MAC statique : d'où la plage MAC réservée.</w:t>
      </w:r>
    </w:p>
    <w:p>
      <w:pPr>
        <w:pStyle w:val="ListBullet"/>
        <w:spacing w:after="40"/>
      </w:pPr>
      <w:r>
        <w:rPr>
          <w:color w:val="555555"/>
          <w:sz w:val="19"/>
        </w:rPr>
        <w:t>Valider le démarrage Secure Boot sur un serveur de chaque modèle avant de généraliser.</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STO-01 · Stockage</w:t>
            </w:r>
          </w:p>
        </w:tc>
      </w:tr>
    </w:tbl>
    <w:p>
      <w:pPr>
        <w:spacing w:after="20"/>
      </w:pPr>
    </w:p>
    <w:p>
      <w:pPr>
        <w:spacing w:after="80"/>
      </w:pPr>
      <w:r>
        <w:rPr>
          <w:color w:val="555555"/>
          <w:sz w:val="19"/>
        </w:rPr>
        <w:t>Interlocuteur : ______________________</w:t>
      </w:r>
      <w:r>
        <w:rPr>
          <w:b/>
          <w:color w:val="1F3864"/>
          <w:sz w:val="19"/>
        </w:rPr>
        <w:t xml:space="preserve">        Échéance : Semaines 2 à 4</w:t>
      </w:r>
    </w:p>
    <w:p>
      <w:pPr>
        <w:spacing w:after="120" w:before="0"/>
      </w:pPr>
      <w:r>
        <w:rPr>
          <w:b w:val="0"/>
          <w:i/>
          <w:color w:val="555555"/>
          <w:sz w:val="20"/>
        </w:rPr>
        <w:t>Le Satellite est sensible aux performances disque et exige un partitionnement précis. Le hub AAP, déployé en deux exemplaires (HA), partage son contenu via un espace NFS commun.</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Débit disque (Satellite)</w:t>
            </w:r>
          </w:p>
        </w:tc>
        <w:tc>
          <w:tcPr>
            <w:tcW w:type="dxa" w:w="5839"/>
          </w:tcPr>
          <w:p>
            <w:pPr>
              <w:spacing w:after="40"/>
            </w:pPr>
            <w:r/>
            <w:r>
              <w:rPr>
                <w:sz w:val="19"/>
              </w:rPr>
              <w:t>Stockage à faible latence pour contenu et base de données. Débit visé : au moins 80 Mo/s (validé avant installation, mesuré depuis la VM).</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contenu (pulp)</w:t>
            </w:r>
          </w:p>
        </w:tc>
        <w:tc>
          <w:tcPr>
            <w:tcW w:type="dxa" w:w="5839"/>
          </w:tcPr>
          <w:p>
            <w:pPr>
              <w:spacing w:after="40"/>
            </w:pPr>
            <w:r/>
            <w:r>
              <w:rPr>
                <w:sz w:val="19"/>
              </w:rPr>
              <w:t>500 Go, volume dédié, système de fichiers XFS.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base de données</w:t>
            </w:r>
          </w:p>
        </w:tc>
        <w:tc>
          <w:tcPr>
            <w:tcW w:type="dxa" w:w="5839"/>
          </w:tcPr>
          <w:p>
            <w:pPr>
              <w:spacing w:after="40"/>
            </w:pPr>
            <w:r/>
            <w:r>
              <w:rPr>
                <w:sz w:val="19"/>
              </w:rPr>
              <w:t>100 Go, volume dédié, XFS.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 journaux</w:t>
            </w:r>
          </w:p>
        </w:tc>
        <w:tc>
          <w:tcPr>
            <w:tcW w:type="dxa" w:w="5839"/>
          </w:tcPr>
          <w:p>
            <w:pPr>
              <w:spacing w:after="40"/>
            </w:pPr>
            <w:r/>
            <w:r>
              <w:rPr>
                <w:sz w:val="19"/>
              </w:rPr>
              <w:t>30 Go, volume dédié, XFS.</w:t>
            </w:r>
          </w:p>
        </w:tc>
        <w:tc>
          <w:tcPr>
            <w:tcW w:type="dxa" w:w="737"/>
          </w:tcPr>
          <w:p>
            <w:pPr>
              <w:jc w:val="center"/>
            </w:pPr>
            <w:r/>
            <w:r>
              <w:rPr>
                <w:sz w:val="26"/>
              </w:rPr>
              <w:t>☐</w:t>
            </w:r>
          </w:p>
        </w:tc>
      </w:tr>
      <w:tr>
        <w:tc>
          <w:tcPr>
            <w:tcW w:type="dxa" w:w="2665"/>
          </w:tcPr>
          <w:p>
            <w:r/>
            <w:r>
              <w:rPr>
                <w:b/>
                <w:color w:val="1F3864"/>
                <w:sz w:val="17"/>
              </w:rPr>
              <w:t xml:space="preserve">[Satellite] </w:t>
            </w:r>
            <w:r>
              <w:rPr>
                <w:b/>
                <w:sz w:val="19"/>
              </w:rPr>
              <w:t>Volume système (Satellite)</w:t>
            </w:r>
          </w:p>
        </w:tc>
        <w:tc>
          <w:tcPr>
            <w:tcW w:type="dxa" w:w="5839"/>
          </w:tcPr>
          <w:p>
            <w:pPr>
              <w:spacing w:after="40"/>
            </w:pPr>
            <w:r/>
            <w:r>
              <w:rPr>
                <w:sz w:val="19"/>
              </w:rPr>
              <w:t>60 Go pour la racine du système.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Système de fichiers</w:t>
            </w:r>
          </w:p>
        </w:tc>
        <w:tc>
          <w:tcPr>
            <w:tcW w:type="dxa" w:w="5839"/>
          </w:tcPr>
          <w:p>
            <w:pPr>
              <w:spacing w:after="40"/>
            </w:pPr>
            <w:r/>
            <w:r>
              <w:rPr>
                <w:sz w:val="19"/>
              </w:rPr>
              <w:t>XFS obligatoire (ext4 sature les liens et compteurs d'inodes sur le volume de contenu).</w:t>
            </w:r>
          </w:p>
        </w:tc>
        <w:tc>
          <w:tcPr>
            <w:tcW w:type="dxa" w:w="737"/>
          </w:tcPr>
          <w:p>
            <w:pPr>
              <w:jc w:val="center"/>
            </w:pPr>
            <w:r/>
            <w:r>
              <w:rPr>
                <w:sz w:val="26"/>
              </w:rPr>
              <w:t>☐</w:t>
            </w:r>
          </w:p>
        </w:tc>
      </w:tr>
      <w:tr>
        <w:tc>
          <w:tcPr>
            <w:tcW w:type="dxa" w:w="2665"/>
          </w:tcPr>
          <w:p>
            <w:r/>
            <w:r>
              <w:rPr>
                <w:b/>
                <w:color w:val="1F3864"/>
                <w:sz w:val="17"/>
              </w:rPr>
              <w:t xml:space="preserve">[Satellite] </w:t>
            </w:r>
            <w:r>
              <w:rPr>
                <w:b/>
                <w:sz w:val="19"/>
              </w:rPr>
              <w:t>Cible de sauvegarde</w:t>
            </w:r>
          </w:p>
        </w:tc>
        <w:tc>
          <w:tcPr>
            <w:tcW w:type="dxa" w:w="5839"/>
          </w:tcPr>
          <w:p>
            <w:pPr>
              <w:spacing w:after="40"/>
            </w:pPr>
            <w:r/>
            <w:r>
              <w:rPr>
                <w:sz w:val="19"/>
              </w:rPr>
              <w:t>Partage réseau ou volume dédié, distinct du stockage des VM. Prévoir ~700 Go pour une sauvegarde complète.</w:t>
            </w:r>
          </w:p>
        </w:tc>
        <w:tc>
          <w:tcPr>
            <w:tcW w:type="dxa" w:w="737"/>
          </w:tcPr>
          <w:p>
            <w:pPr>
              <w:jc w:val="center"/>
            </w:pPr>
            <w:r/>
            <w:r>
              <w:rPr>
                <w:sz w:val="26"/>
              </w:rPr>
              <w:t>☐</w:t>
            </w:r>
          </w:p>
        </w:tc>
      </w:tr>
      <w:tr>
        <w:tc>
          <w:tcPr>
            <w:tcW w:type="dxa" w:w="2665"/>
          </w:tcPr>
          <w:p>
            <w:r/>
            <w:r>
              <w:rPr>
                <w:b/>
                <w:color w:val="1F3864"/>
                <w:sz w:val="17"/>
              </w:rPr>
              <w:t xml:space="preserve">[AAP] </w:t>
            </w:r>
            <w:r>
              <w:rPr>
                <w:b/>
                <w:sz w:val="19"/>
              </w:rPr>
              <w:t>Export NFS du hub AAP</w:t>
            </w:r>
          </w:p>
        </w:tc>
        <w:tc>
          <w:tcPr>
            <w:tcW w:type="dxa" w:w="5839"/>
          </w:tcPr>
          <w:p>
            <w:pPr>
              <w:spacing w:after="40"/>
            </w:pPr>
            <w:r/>
            <w:r>
              <w:rPr>
                <w:sz w:val="19"/>
              </w:rPr>
              <w:t>Un partage NFS commun aux 2 serveurs « hub de contenu », sous la forme serveur:/export, avec les options de montage souhaitées ; joignable depuis les 2 hubs (port 2049). PROD et QUAL. Sert UNIQUEMENT au contenu du hub — PAS aux images de conteneurs (non supporté sur NFS).</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Un stockage lent transforme la publication de contenu de minutes en heures. Un système de fichiers ext4 sur le volume de contenu finit par saturer. Une cible de sauvegarde sur le même stockage que la VM ne protège de rien. Côté AAP, sans le partage NFS commun, la haute disponibilité du hub n'est pas possible.</w:t>
            </w:r>
          </w:p>
        </w:tc>
      </w:tr>
    </w:tbl>
    <w:p>
      <w:pPr>
        <w:spacing w:after="40"/>
      </w:pPr>
    </w:p>
    <w:p>
      <w:pPr>
        <w:spacing w:after="40" w:before="80"/>
      </w:pPr>
      <w:r>
        <w:rPr>
          <w:b/>
          <w:i w:val="0"/>
          <w:color w:val="1F3864"/>
          <w:sz w:val="19"/>
        </w:rPr>
        <w:t>À noter</w:t>
      </w:r>
    </w:p>
    <w:p>
      <w:pPr>
        <w:pStyle w:val="ListBullet"/>
        <w:spacing w:after="40"/>
      </w:pPr>
      <w:r>
        <w:rPr>
          <w:color w:val="555555"/>
          <w:sz w:val="19"/>
        </w:rPr>
        <w:t>Les volumes contenu et base de données doivent être des disques distincts, idéalement sur des unités différentes.</w:t>
      </w:r>
    </w:p>
    <w:p>
      <w:pPr>
        <w:pStyle w:val="ListBullet"/>
        <w:spacing w:after="40"/>
      </w:pPr>
      <w:r>
        <w:rPr>
          <w:color w:val="555555"/>
          <w:sz w:val="19"/>
        </w:rPr>
        <w:t>Le débit se mesure depuis la VM, pas depuis l'hôte : la virtualisation a un coût.</w:t>
      </w:r>
    </w:p>
    <w:p>
      <w:pPr>
        <w:spacing w:before="80" w:after="80"/>
      </w:pPr>
      <w:r>
        <w:rPr>
          <w:b/>
          <w:color w:val="8A2B06"/>
          <w:sz w:val="19"/>
        </w:rPr>
        <w:t>QUESTION — Sécurité SELinux (optionnel) : si les serveurs AAP imposent SELinux en mode « enforcing », le montage NFS du hub nécessite-t-il une option de contexte SELinux particulière ? (À confirmer avec la sécurité si applicable.)</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DBA-01 · Bases de données (DBA)</w:t>
            </w:r>
          </w:p>
        </w:tc>
      </w:tr>
    </w:tbl>
    <w:p>
      <w:pPr>
        <w:spacing w:after="20"/>
      </w:pPr>
    </w:p>
    <w:p>
      <w:pPr>
        <w:spacing w:after="80"/>
      </w:pPr>
      <w:r>
        <w:rPr>
          <w:color w:val="555555"/>
          <w:sz w:val="19"/>
        </w:rPr>
        <w:t>Interlocuteur : ______________________</w:t>
      </w:r>
      <w:r>
        <w:rPr>
          <w:b/>
          <w:color w:val="1F3864"/>
          <w:sz w:val="19"/>
        </w:rPr>
        <w:t xml:space="preserve">        Échéance : avant jalon G2 (installation AAP)</w:t>
      </w:r>
    </w:p>
    <w:p>
      <w:pPr>
        <w:spacing w:after="120" w:before="0"/>
      </w:pPr>
      <w:r>
        <w:rPr>
          <w:b w:val="0"/>
          <w:i/>
          <w:color w:val="555555"/>
          <w:sz w:val="20"/>
        </w:rPr>
        <w:t>AAP s'appuie sur quatre bases PostgreSQL externes, une par composant (passerelle, contrôleur, hub, moteur d'événements). Elles doivent exister avant l'installation d'AAP.</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[AAP] </w:t>
            </w:r>
            <w:r>
              <w:rPr>
                <w:b/>
                <w:sz w:val="19"/>
              </w:rPr>
              <w:t>Quatre bases PostgreSQL externes</w:t>
            </w:r>
          </w:p>
        </w:tc>
        <w:tc>
          <w:tcPr>
            <w:tcW w:type="dxa" w:w="5839"/>
          </w:tcPr>
          <w:p>
            <w:pPr>
              <w:spacing w:after="40"/>
            </w:pPr>
            <w:r/>
            <w:r>
              <w:rPr>
                <w:sz w:val="19"/>
              </w:rPr>
              <w:t>Pour chacune : nom d'hôte du serveur (FQDN), port, nom de la base, rôle propriétaire. Les quatre : gateway, controller, hub, eda. À fournir en DEUX jeux (PROD et QUAL).</w:t>
            </w:r>
          </w:p>
        </w:tc>
        <w:tc>
          <w:tcPr>
            <w:tcW w:type="dxa" w:w="737"/>
          </w:tcPr>
          <w:p>
            <w:pPr>
              <w:jc w:val="center"/>
            </w:pPr>
            <w:r/>
            <w:r>
              <w:rPr>
                <w:sz w:val="26"/>
              </w:rPr>
              <w:t>☐</w:t>
            </w:r>
          </w:p>
        </w:tc>
      </w:tr>
      <w:tr>
        <w:tc>
          <w:tcPr>
            <w:tcW w:type="dxa" w:w="2665"/>
          </w:tcPr>
          <w:p>
            <w:r/>
            <w:r>
              <w:rPr>
                <w:b/>
                <w:color w:val="1F3864"/>
                <w:sz w:val="17"/>
              </w:rPr>
              <w:t xml:space="preserve">[AAP] </w:t>
            </w:r>
            <w:r>
              <w:rPr>
                <w:b/>
                <w:sz w:val="19"/>
              </w:rPr>
              <w:t>Connexion chiffrée verify-full</w:t>
            </w:r>
          </w:p>
        </w:tc>
        <w:tc>
          <w:tcPr>
            <w:tcW w:type="dxa" w:w="5839"/>
          </w:tcPr>
          <w:p>
            <w:pPr>
              <w:spacing w:after="40"/>
            </w:pPr>
            <w:r/>
            <w:r>
              <w:rPr>
                <w:sz w:val="19"/>
              </w:rPr>
              <w:t>Vérification stricte de l'identité du serveur. L'autorité (CA) ayant émis le certificat du serveur PostgreSQL, au format PEM (coordonner avec PKI-01). Même CA PROD/QUAL si applicable.</w:t>
            </w:r>
          </w:p>
        </w:tc>
        <w:tc>
          <w:tcPr>
            <w:tcW w:type="dxa" w:w="737"/>
          </w:tcPr>
          <w:p>
            <w:pPr>
              <w:jc w:val="center"/>
            </w:pPr>
            <w:r/>
            <w:r>
              <w:rPr>
                <w:sz w:val="26"/>
              </w:rPr>
              <w:t>☐</w:t>
            </w:r>
          </w:p>
        </w:tc>
      </w:tr>
      <w:tr>
        <w:tc>
          <w:tcPr>
            <w:tcW w:type="dxa" w:w="2665"/>
          </w:tcPr>
          <w:p>
            <w:r/>
            <w:r>
              <w:rPr>
                <w:b/>
                <w:color w:val="1F3864"/>
                <w:sz w:val="17"/>
              </w:rPr>
              <w:t xml:space="preserve">[AAP] </w:t>
            </w:r>
            <w:r>
              <w:rPr>
                <w:b/>
                <w:sz w:val="19"/>
              </w:rPr>
              <w:t>QUESTION — pré-création des bases</w:t>
            </w:r>
          </w:p>
        </w:tc>
        <w:tc>
          <w:tcPr>
            <w:tcW w:type="dxa" w:w="5839"/>
          </w:tcPr>
          <w:p>
            <w:pPr>
              <w:spacing w:after="40"/>
            </w:pPr>
            <w:r/>
            <w:r>
              <w:rPr>
                <w:sz w:val="19"/>
              </w:rPr>
              <w:t>Créez-vous vous-mêmes les 4 bases et leurs rôles, OU fournissez-vous un compte administrateur PostgreSQL pour que l'installateur les crée ? Si compte admin : indiquer son nom d'utilisateur (mot de passe par canal sécurisé).</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Chaque composant AAP stocke ses données dans sa propre base ; sans elles, l'installation ne peut pas se faire. En verify-full, sans la CA du serveur, la connexion est refusée et l'installation échoue.</w:t>
            </w:r>
          </w:p>
        </w:tc>
      </w:tr>
    </w:tbl>
    <w:p>
      <w:pPr>
        <w:spacing w:after="40"/>
      </w:pPr>
    </w:p>
    <w:p>
      <w:pPr>
        <w:spacing w:after="40" w:before="80"/>
      </w:pPr>
      <w:r>
        <w:rPr>
          <w:b/>
          <w:i w:val="0"/>
          <w:color w:val="1F3864"/>
          <w:sz w:val="19"/>
        </w:rPr>
        <w:t>À noter</w:t>
      </w:r>
    </w:p>
    <w:p>
      <w:pPr>
        <w:pStyle w:val="ListBullet"/>
        <w:spacing w:after="40"/>
      </w:pPr>
      <w:r>
        <w:rPr>
          <w:color w:val="555555"/>
          <w:sz w:val="19"/>
        </w:rPr>
        <w:t>Les mots de passe des comptes applicatifs et admin passent par le canal sécurisé, jamais par ce document.</w:t>
      </w:r>
    </w:p>
    <w:p>
      <w:pPr>
        <w:pStyle w:val="ListBullet"/>
        <w:spacing w:after="40"/>
      </w:pPr>
      <w:r>
        <w:rPr>
          <w:color w:val="555555"/>
          <w:sz w:val="19"/>
        </w:rPr>
        <w:t>Flux réseau associé : serveurs AAP → bases sur le port PostgreSQL (5432). À confirmer avec le Réseau.</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SAT-01 · Satellite / Abonnements</w:t>
            </w:r>
          </w:p>
        </w:tc>
      </w:tr>
    </w:tbl>
    <w:p>
      <w:pPr>
        <w:spacing w:after="20"/>
      </w:pPr>
    </w:p>
    <w:p>
      <w:pPr>
        <w:spacing w:after="80"/>
      </w:pPr>
      <w:r>
        <w:rPr>
          <w:color w:val="555555"/>
          <w:sz w:val="19"/>
        </w:rPr>
        <w:t>Interlocuteur : ______________________</w:t>
      </w:r>
      <w:r>
        <w:rPr>
          <w:b/>
          <w:color w:val="1F3864"/>
          <w:sz w:val="19"/>
        </w:rPr>
        <w:t xml:space="preserve">        Échéance : Satellite en Semaine 1 ; volet AAP avant G2</w:t>
      </w:r>
    </w:p>
    <w:p>
      <w:pPr>
        <w:spacing w:after="120" w:before="0"/>
      </w:pPr>
      <w:r>
        <w:rPr>
          <w:b w:val="0"/>
          <w:i/>
          <w:color w:val="555555"/>
          <w:sz w:val="20"/>
        </w:rPr>
        <w:t>Les serveurs s'enregistrent auprès du Satellite pour recevoir paquets et abonnements. Aucun content view ni activation key AAP n'existe encore : leur création fait partie de la demande.</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Souscription Red Hat / manifest</w:t>
            </w:r>
          </w:p>
        </w:tc>
        <w:tc>
          <w:tcPr>
            <w:tcW w:type="dxa" w:w="5839"/>
          </w:tcPr>
          <w:p>
            <w:pPr>
              <w:spacing w:after="40"/>
            </w:pPr>
            <w:r/>
            <w:r>
              <w:rPr>
                <w:sz w:val="19"/>
              </w:rPr>
              <w:t>Manifest / abonnement disponible pour les deux Satellite. Décision : chaque environnement s'abonne au dépôt Red Hat (pas de dépendance croisée).</w:t>
            </w:r>
          </w:p>
        </w:tc>
        <w:tc>
          <w:tcPr>
            <w:tcW w:type="dxa" w:w="737"/>
          </w:tcPr>
          <w:p>
            <w:pPr>
              <w:jc w:val="center"/>
            </w:pPr>
            <w:r/>
            <w:r>
              <w:rPr>
                <w:sz w:val="26"/>
              </w:rPr>
              <w:t>☐</w:t>
            </w:r>
          </w:p>
        </w:tc>
      </w:tr>
      <w:tr>
        <w:tc>
          <w:tcPr>
            <w:tcW w:type="dxa" w:w="2665"/>
          </w:tcPr>
          <w:p>
            <w:r/>
            <w:r>
              <w:rPr>
                <w:b/>
                <w:color w:val="1F3864"/>
                <w:sz w:val="17"/>
              </w:rPr>
              <w:t xml:space="preserve">[Satellite] </w:t>
            </w:r>
            <w:r>
              <w:rPr>
                <w:b/>
                <w:sz w:val="19"/>
              </w:rPr>
              <w:t>Add-on de maintenance étendue</w:t>
            </w:r>
          </w:p>
        </w:tc>
        <w:tc>
          <w:tcPr>
            <w:tcW w:type="dxa" w:w="5839"/>
          </w:tcPr>
          <w:p>
            <w:pPr>
              <w:spacing w:after="40"/>
            </w:pPr>
            <w:r/>
            <w:r>
              <w:rPr>
                <w:sz w:val="19"/>
              </w:rPr>
              <w:t>Arbitrage à valider : la version 6.19 est la dernière de sa génération — l'add-on de support étendu évite une migration sous contrainte.</w:t>
            </w:r>
          </w:p>
        </w:tc>
        <w:tc>
          <w:tcPr>
            <w:tcW w:type="dxa" w:w="737"/>
          </w:tcPr>
          <w:p>
            <w:pPr>
              <w:jc w:val="center"/>
            </w:pPr>
            <w:r/>
            <w:r>
              <w:rPr>
                <w:sz w:val="26"/>
              </w:rPr>
              <w:t>☐</w:t>
            </w:r>
          </w:p>
        </w:tc>
      </w:tr>
      <w:tr>
        <w:tc>
          <w:tcPr>
            <w:tcW w:type="dxa" w:w="2665"/>
          </w:tcPr>
          <w:p>
            <w:r/>
            <w:r>
              <w:rPr>
                <w:b/>
                <w:color w:val="1F3864"/>
                <w:sz w:val="17"/>
              </w:rPr>
              <w:t xml:space="preserve">[AAP] </w:t>
            </w:r>
            <w:r>
              <w:rPr>
                <w:b/>
                <w:sz w:val="19"/>
              </w:rPr>
              <w:t>Rattachement des nœuds AAP au Satellite</w:t>
            </w:r>
          </w:p>
        </w:tc>
        <w:tc>
          <w:tcPr>
            <w:tcW w:type="dxa" w:w="5839"/>
          </w:tcPr>
          <w:p>
            <w:pPr>
              <w:spacing w:after="40"/>
            </w:pPr>
            <w:r/>
            <w:r>
              <w:rPr>
                <w:sz w:val="19"/>
              </w:rPr>
              <w:t>FQDN du Satellite ; identifiant d'organisation (org) ; une activation key à CRÉER pour les nœuds AAP 2.6 ; certificat CA du Satellite (PEM) ; et, si non portés par l'activation key, les identifiants des dépôts requis (RHEL BaseOS, AppStream, AAP 2.6). PROD et QUAL (organisations/clés probablement distinctes).</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Les serveurs AAP se rattachent au Satellite pour installer leurs paquets ; l'activation key porte les abonnements et dépôts nécessaires, et la CA permet de faire confiance au Satellite. C'est ce rattachement qui matérialise la dépendance G1 → G2 : le Satellite doit être en service avant qu'AAP puisse s'enregistrer.</w:t>
            </w:r>
          </w:p>
        </w:tc>
      </w:tr>
    </w:tbl>
    <w:p>
      <w:pPr>
        <w:spacing w:after="40"/>
      </w:pPr>
    </w:p>
    <w:p>
      <w:pPr>
        <w:spacing w:after="40" w:before="80"/>
      </w:pPr>
      <w:r>
        <w:rPr>
          <w:b/>
          <w:i w:val="0"/>
          <w:color w:val="1F3864"/>
          <w:sz w:val="19"/>
        </w:rPr>
        <w:t>À noter</w:t>
      </w:r>
    </w:p>
    <w:p>
      <w:pPr>
        <w:pStyle w:val="ListBullet"/>
        <w:spacing w:after="40"/>
      </w:pPr>
      <w:r>
        <w:rPr>
          <w:color w:val="555555"/>
          <w:sz w:val="19"/>
        </w:rPr>
        <w:t>Le secret associé à l'activation key est transmis par le canal sécurisé, pas par ce document.</w:t>
      </w:r>
    </w:p>
    <w:p>
      <w:pPr>
        <w:pStyle w:val="ListBullet"/>
        <w:spacing w:after="40"/>
      </w:pPr>
      <w:r>
        <w:rPr>
          <w:color w:val="555555"/>
          <w:sz w:val="19"/>
        </w:rPr>
        <w:t>L'activation key AAP ne peut être créée qu'une fois le Satellite opérationnel (après G1).</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SYS-01 · Provisioning / Systèmes</w:t>
            </w:r>
          </w:p>
        </w:tc>
      </w:tr>
    </w:tbl>
    <w:p>
      <w:pPr>
        <w:spacing w:after="20"/>
      </w:pPr>
    </w:p>
    <w:p>
      <w:pPr>
        <w:spacing w:after="80"/>
      </w:pPr>
      <w:r>
        <w:rPr>
          <w:color w:val="555555"/>
          <w:sz w:val="19"/>
        </w:rPr>
        <w:t>Interlocuteur : ______________________</w:t>
      </w:r>
      <w:r>
        <w:rPr>
          <w:b/>
          <w:color w:val="1F3864"/>
          <w:sz w:val="19"/>
        </w:rPr>
        <w:t xml:space="preserve">        Échéance : avant jalon G2 (installation AAP)</w:t>
      </w:r>
    </w:p>
    <w:p>
      <w:pPr>
        <w:spacing w:after="120" w:before="0"/>
      </w:pPr>
      <w:r>
        <w:rPr>
          <w:b w:val="0"/>
          <w:i/>
          <w:color w:val="555555"/>
          <w:sz w:val="20"/>
        </w:rPr>
        <w:t>Les VM cibles AAP et le nœud d'administration (« seed ») doivent respecter des prérequis de taille et de contenu. Les valeurs marquées « exigence » sont vérifiées automatiquement par l'installateur ; les autres sont des ordres de grandeur à confirmer.</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[AAP] </w:t>
            </w:r>
            <w:r>
              <w:rPr>
                <w:b/>
                <w:sz w:val="19"/>
              </w:rPr>
              <w:t>Paquet d'installation AAP sur le seed</w:t>
            </w:r>
          </w:p>
        </w:tc>
        <w:tc>
          <w:tcPr>
            <w:tcW w:type="dxa" w:w="5839"/>
          </w:tcPr>
          <w:p>
            <w:pPr>
              <w:spacing w:after="40"/>
            </w:pPr>
            <w:r/>
            <w:r>
              <w:rPr>
                <w:sz w:val="19"/>
              </w:rPr>
              <w:t>Le bundle AAP 2.6 doit être extrait localement sur le(s) nœud(s) seed ; fournir le chemin absolu du répertoire extrait (il doit se terminer par « /bundle »). PROD et QUAL.</w:t>
            </w:r>
          </w:p>
        </w:tc>
        <w:tc>
          <w:tcPr>
            <w:tcW w:type="dxa" w:w="737"/>
          </w:tcPr>
          <w:p>
            <w:pPr>
              <w:jc w:val="center"/>
            </w:pPr>
            <w:r/>
            <w:r>
              <w:rPr>
                <w:sz w:val="26"/>
              </w:rPr>
              <w:t>☐</w:t>
            </w:r>
          </w:p>
        </w:tc>
      </w:tr>
      <w:tr>
        <w:tc>
          <w:tcPr>
            <w:tcW w:type="dxa" w:w="2665"/>
          </w:tcPr>
          <w:p>
            <w:r/>
            <w:r>
              <w:rPr>
                <w:b/>
                <w:color w:val="1F3864"/>
                <w:sz w:val="17"/>
              </w:rPr>
              <w:t xml:space="preserve">[AAP] </w:t>
            </w:r>
            <w:r>
              <w:rPr>
                <w:b/>
                <w:sz w:val="19"/>
              </w:rPr>
              <w:t>EXIGENCE — Système de base</w:t>
            </w:r>
          </w:p>
        </w:tc>
        <w:tc>
          <w:tcPr>
            <w:tcW w:type="dxa" w:w="5839"/>
          </w:tcPr>
          <w:p>
            <w:pPr>
              <w:spacing w:after="40"/>
            </w:pPr>
            <w:r/>
            <w:r>
              <w:rPr>
                <w:sz w:val="19"/>
              </w:rPr>
              <w:t>RHEL 9.6+ (ou RHEL 10 avec ansible-core 2.16), avec chrony présent dans l'image. Vérifié par un assert de l'installateur (refus si &lt; 9.6).</w:t>
            </w:r>
          </w:p>
        </w:tc>
        <w:tc>
          <w:tcPr>
            <w:tcW w:type="dxa" w:w="737"/>
          </w:tcPr>
          <w:p>
            <w:pPr>
              <w:jc w:val="center"/>
            </w:pPr>
            <w:r/>
            <w:r>
              <w:rPr>
                <w:sz w:val="26"/>
              </w:rPr>
              <w:t>☐</w:t>
            </w:r>
          </w:p>
        </w:tc>
      </w:tr>
      <w:tr>
        <w:tc>
          <w:tcPr>
            <w:tcW w:type="dxa" w:w="2665"/>
          </w:tcPr>
          <w:p>
            <w:r/>
            <w:r>
              <w:rPr>
                <w:b/>
                <w:color w:val="1F3864"/>
                <w:sz w:val="17"/>
              </w:rPr>
              <w:t xml:space="preserve">[AAP] </w:t>
            </w:r>
            <w:r>
              <w:rPr>
                <w:b/>
                <w:sz w:val="19"/>
              </w:rPr>
              <w:t>EXIGENCE — Mémoire</w:t>
            </w:r>
          </w:p>
        </w:tc>
        <w:tc>
          <w:tcPr>
            <w:tcW w:type="dxa" w:w="5839"/>
          </w:tcPr>
          <w:p>
            <w:pPr>
              <w:spacing w:after="40"/>
            </w:pPr>
            <w:r/>
            <w:r>
              <w:rPr>
                <w:sz w:val="19"/>
              </w:rPr>
              <w:t>16 Go de RAM par nœud (sauf nœud hop pur, exempté). Vérifié par un assert de l'installateur.</w:t>
            </w:r>
          </w:p>
        </w:tc>
        <w:tc>
          <w:tcPr>
            <w:tcW w:type="dxa" w:w="737"/>
          </w:tcPr>
          <w:p>
            <w:pPr>
              <w:jc w:val="center"/>
            </w:pPr>
            <w:r/>
            <w:r>
              <w:rPr>
                <w:sz w:val="26"/>
              </w:rPr>
              <w:t>☐</w:t>
            </w:r>
          </w:p>
        </w:tc>
      </w:tr>
      <w:tr>
        <w:tc>
          <w:tcPr>
            <w:tcW w:type="dxa" w:w="2665"/>
          </w:tcPr>
          <w:p>
            <w:r/>
            <w:r>
              <w:rPr>
                <w:b/>
                <w:color w:val="1F3864"/>
                <w:sz w:val="17"/>
              </w:rPr>
              <w:t xml:space="preserve">[AAP] </w:t>
            </w:r>
            <w:r>
              <w:rPr>
                <w:b/>
                <w:sz w:val="19"/>
              </w:rPr>
              <w:t>EXIGENCE — Disque</w:t>
            </w:r>
          </w:p>
        </w:tc>
        <w:tc>
          <w:tcPr>
            <w:tcW w:type="dxa" w:w="5839"/>
          </w:tcPr>
          <w:p>
            <w:pPr>
              <w:spacing w:after="40"/>
            </w:pPr>
            <w:r/>
            <w:r>
              <w:rPr>
                <w:sz w:val="19"/>
              </w:rPr>
              <w:t>60 Go de disque total, dont ≥ 15 Go pour le répertoire d'installation et ≥ 10 Go libres sur /tmp (extraction du bundle). Vérifié par l'étape de préparation. Identique PROD/QUAL.</w:t>
            </w:r>
          </w:p>
        </w:tc>
        <w:tc>
          <w:tcPr>
            <w:tcW w:type="dxa" w:w="737"/>
          </w:tcPr>
          <w:p>
            <w:pPr>
              <w:jc w:val="center"/>
            </w:pPr>
            <w:r/>
            <w:r>
              <w:rPr>
                <w:sz w:val="26"/>
              </w:rPr>
              <w:t>☐</w:t>
            </w:r>
          </w:p>
        </w:tc>
      </w:tr>
      <w:tr>
        <w:tc>
          <w:tcPr>
            <w:tcW w:type="dxa" w:w="2665"/>
          </w:tcPr>
          <w:p>
            <w:r/>
            <w:r>
              <w:rPr>
                <w:b/>
                <w:color w:val="1F3864"/>
                <w:sz w:val="17"/>
              </w:rPr>
              <w:t xml:space="preserve">[AAP] </w:t>
            </w:r>
            <w:r>
              <w:rPr>
                <w:b/>
                <w:sz w:val="19"/>
              </w:rPr>
              <w:t>Recommandé — CPU / IOPS</w:t>
            </w:r>
          </w:p>
        </w:tc>
        <w:tc>
          <w:tcPr>
            <w:tcW w:type="dxa" w:w="5839"/>
          </w:tcPr>
          <w:p>
            <w:pPr>
              <w:spacing w:after="40"/>
            </w:pPr>
            <w:r/>
            <w:r>
              <w:rPr>
                <w:sz w:val="19"/>
              </w:rPr>
              <w:t>~4 vCPU et ~3000 IOPS par nœud — ordre de grandeur à confirmer côté Red Hat (aucun assert correspondant dans l'installateur).</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Un disque ou un /tmp sous-dimensionné, une RAM insuffisante ou un RHEL trop ancien font échouer l'installation — l'installateur refuse de démarrer via des vérifications explicites. Les valeurs marquées « exigence » sont donc des minima durs, pas des recommandations.</w:t>
            </w:r>
          </w:p>
        </w:tc>
      </w:tr>
    </w:tbl>
    <w:p>
      <w:pPr>
        <w:spacing w:after="40"/>
      </w:pPr>
    </w:p>
    <w:p>
      <w:pPr>
        <w:spacing w:after="40" w:before="80"/>
      </w:pPr>
      <w:r>
        <w:rPr>
          <w:b/>
          <w:i w:val="0"/>
          <w:color w:val="1F3864"/>
          <w:sz w:val="19"/>
        </w:rPr>
        <w:t>À noter</w:t>
      </w:r>
    </w:p>
    <w:p>
      <w:pPr>
        <w:pStyle w:val="ListBullet"/>
        <w:spacing w:after="40"/>
      </w:pPr>
      <w:r>
        <w:rPr>
          <w:color w:val="555555"/>
          <w:sz w:val="19"/>
        </w:rPr>
        <w:t>Le compte applicatif et les conteneurs sont mis en place par l'installation ; seul chrony doit préexister (il ne peut pas être installé avant l'enregistrement Satellite).</w:t>
      </w:r>
    </w:p>
    <w:p>
      <w:pPr>
        <w:pStyle w:val="ListBullet"/>
        <w:spacing w:after="40"/>
      </w:pPr>
      <w:r>
        <w:rPr>
          <w:color w:val="555555"/>
          <w:sz w:val="19"/>
        </w:rPr>
        <w:t>Le bundle se lit hors ligne : l'installation ne dépend pas d'un accès Internet direct.</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QA-01 · Qualification (QA)</w:t>
            </w:r>
          </w:p>
        </w:tc>
      </w:tr>
    </w:tbl>
    <w:p>
      <w:pPr>
        <w:spacing w:after="20"/>
      </w:pPr>
    </w:p>
    <w:p>
      <w:pPr>
        <w:spacing w:after="80"/>
      </w:pPr>
      <w:r>
        <w:rPr>
          <w:color w:val="555555"/>
          <w:sz w:val="19"/>
        </w:rPr>
        <w:t>Interlocuteur : ______________________</w:t>
      </w:r>
      <w:r>
        <w:rPr>
          <w:b/>
          <w:color w:val="1F3864"/>
          <w:sz w:val="19"/>
        </w:rPr>
        <w:t xml:space="preserve">        Échéance : avant jalon G2 (installation AAP)</w:t>
      </w:r>
    </w:p>
    <w:p>
      <w:pPr>
        <w:spacing w:after="120" w:before="0"/>
      </w:pPr>
      <w:r>
        <w:rPr>
          <w:b w:val="0"/>
          <w:i/>
          <w:color w:val="555555"/>
          <w:sz w:val="20"/>
        </w:rPr>
        <w:t>L'environnement de qualification (QUAL) est strictement séparé de la production : aucune valeur de prod ne doit y être réutilisée, et inversement.</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[AAP] </w:t>
            </w:r>
            <w:r>
              <w:rPr>
                <w:b/>
                <w:sz w:val="19"/>
              </w:rPr>
              <w:t>Équivalent QUAL de tous les éléments</w:t>
            </w:r>
          </w:p>
        </w:tc>
        <w:tc>
          <w:tcPr>
            <w:tcW w:type="dxa" w:w="5839"/>
          </w:tcPr>
          <w:p>
            <w:pPr>
              <w:spacing w:after="40"/>
            </w:pPr>
            <w:r/>
            <w:r>
              <w:rPr>
                <w:sz w:val="19"/>
              </w:rPr>
              <w:t>Bases PostgreSQL (hôtes/ports/bases/rôles), VIP d'accès, export NFS du hub, serveurs NTP, certificats de service, rattachement Satellite (organisation / activation key de qual) — clairement étiquetés « QUAL ».</w:t>
            </w:r>
          </w:p>
        </w:tc>
        <w:tc>
          <w:tcPr>
            <w:tcW w:type="dxa" w:w="737"/>
          </w:tcPr>
          <w:p>
            <w:pPr>
              <w:jc w:val="center"/>
            </w:pPr>
            <w:r/>
            <w:r>
              <w:rPr>
                <w:sz w:val="26"/>
              </w:rPr>
              <w:t>☐</w:t>
            </w:r>
          </w:p>
        </w:tc>
      </w:tr>
      <w:tr>
        <w:tc>
          <w:tcPr>
            <w:tcW w:type="dxa" w:w="2665"/>
          </w:tcPr>
          <w:p>
            <w:r/>
            <w:r>
              <w:rPr>
                <w:b/>
                <w:color w:val="1F3864"/>
                <w:sz w:val="17"/>
              </w:rPr>
              <w:t xml:space="preserve">[AAP] </w:t>
            </w:r>
            <w:r>
              <w:rPr>
                <w:b/>
                <w:sz w:val="19"/>
              </w:rPr>
              <w:t>Points de test du banc de qualification</w:t>
            </w:r>
          </w:p>
        </w:tc>
        <w:tc>
          <w:tcPr>
            <w:tcW w:type="dxa" w:w="5839"/>
          </w:tcPr>
          <w:p>
            <w:pPr>
              <w:spacing w:after="40"/>
            </w:pPr>
            <w:r/>
            <w:r>
              <w:rPr>
                <w:sz w:val="19"/>
              </w:rPr>
              <w:t>Éventuels endpoints ou comptes de test utilisés uniquement en QUAL. La configuration interdit explicitement leur présence en production.</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La qualification sert à valider avant la production ; elle doit être autonome et cloisonnée. Les éléments de test n'existent qu'en qualification et ne doivent jamais atterrir en production — l'automatisation le vérifie et bloque le cas échéant.</w:t>
            </w:r>
          </w:p>
        </w:tc>
      </w:tr>
    </w:tbl>
    <w:p>
      <w:pPr>
        <w:spacing w:after="40"/>
      </w:pPr>
    </w:p>
    <w:p>
      <w:pPr>
        <w:spacing w:after="40" w:before="80"/>
      </w:pPr>
      <w:r>
        <w:rPr>
          <w:b/>
          <w:i w:val="0"/>
          <w:color w:val="1F3864"/>
          <w:sz w:val="19"/>
        </w:rPr>
        <w:t>À noter</w:t>
      </w:r>
    </w:p>
    <w:p>
      <w:pPr>
        <w:pStyle w:val="ListBullet"/>
        <w:spacing w:after="40"/>
      </w:pPr>
      <w:r>
        <w:rPr>
          <w:color w:val="555555"/>
          <w:sz w:val="19"/>
        </w:rPr>
        <w:t>Déployer et valider la qualification en premier, la production ensuite (voir LNX-01).</w:t>
      </w:r>
    </w:p>
    <w:p>
      <w:pPr>
        <w:spacing w:after="80" w:before="40"/>
        <w:pBdr>
          <w:bottom w:val="single" w:sz="6" w:space="1" w:color="1F3864"/>
        </w:pBdr>
      </w:pPr>
    </w:p>
    <w:tbl>
      <w:tblPr>
        <w:tblStyle w:val="TableGrid"/>
        <w:tblW w:type="auto" w:w="0"/>
        <w:tblLook w:firstColumn="1" w:firstRow="1" w:lastColumn="0" w:lastRow="0" w:noHBand="0" w:noVBand="1" w:val="04A0"/>
      </w:tblPr>
      <w:tblGrid>
        <w:gridCol w:w="10200"/>
      </w:tblGrid>
      <w:tr>
        <w:tc>
          <w:tcPr>
            <w:tcW w:type="dxa" w:w="10200"/>
            <w:shd w:val="clear" w:fill="1F3864"/>
          </w:tcPr>
          <w:p>
            <w:r/>
            <w:r>
              <w:rPr>
                <w:b/>
                <w:color w:val="FFFFFF"/>
                <w:sz w:val="22"/>
              </w:rPr>
              <w:t>LNX-01 · Équipe Satellite / Linux (émettrice)</w:t>
            </w:r>
          </w:p>
        </w:tc>
      </w:tr>
    </w:tbl>
    <w:p>
      <w:pPr>
        <w:spacing w:after="20"/>
      </w:pPr>
    </w:p>
    <w:p>
      <w:pPr>
        <w:spacing w:after="80"/>
      </w:pPr>
      <w:r>
        <w:rPr>
          <w:color w:val="555555"/>
          <w:sz w:val="19"/>
        </w:rPr>
        <w:t>Interlocuteur : ______________________</w:t>
      </w:r>
      <w:r>
        <w:rPr>
          <w:b/>
          <w:color w:val="1F3864"/>
          <w:sz w:val="19"/>
        </w:rPr>
        <w:t xml:space="preserve">        Échéance : continu (convergence G1 puis G2)</w:t>
      </w:r>
    </w:p>
    <w:p>
      <w:pPr>
        <w:spacing w:after="120" w:before="0"/>
      </w:pPr>
      <w:r>
        <w:rPr>
          <w:b w:val="0"/>
          <w:i/>
          <w:color w:val="555555"/>
          <w:sz w:val="20"/>
        </w:rPr>
        <w:t>Cette équipe consolide les livraisons des autres et réalise l'installation. Elle avance au rythme du prérequis le plus en retard et relance les équipes sur les cases non cochées.</w:t>
      </w:r>
    </w:p>
    <w:tbl>
      <w:tblPr>
        <w:tblStyle w:val="TableGrid"/>
        <w:tblW w:type="auto" w:w="0"/>
        <w:jc w:val="center"/>
        <w:tblLayout w:type="fixed"/>
        <w:tblLook w:firstColumn="1" w:firstRow="1" w:lastColumn="0" w:lastRow="0" w:noHBand="0" w:noVBand="1" w:val="04A0"/>
      </w:tblPr>
      <w:tblGrid>
        <w:gridCol w:w="3400"/>
        <w:gridCol w:w="3400"/>
        <w:gridCol w:w="3400"/>
      </w:tblGrid>
      <w:tr>
        <w:tc>
          <w:tcPr>
            <w:tcW w:type="dxa" w:w="2665"/>
            <w:shd w:val="clear" w:fill="1F3864"/>
          </w:tcPr>
          <w:p>
            <w:r/>
            <w:r>
              <w:rPr>
                <w:b/>
                <w:color w:val="FFFFFF"/>
                <w:sz w:val="19"/>
              </w:rPr>
              <w:t>Prérequis</w:t>
            </w:r>
          </w:p>
        </w:tc>
        <w:tc>
          <w:tcPr>
            <w:tcW w:type="dxa" w:w="5839"/>
            <w:shd w:val="clear" w:fill="1F3864"/>
          </w:tcPr>
          <w:p>
            <w:r/>
            <w:r>
              <w:rPr>
                <w:b/>
                <w:color w:val="FFFFFF"/>
                <w:sz w:val="19"/>
              </w:rPr>
              <w:t>Détail / valeur attendue</w:t>
            </w:r>
          </w:p>
        </w:tc>
        <w:tc>
          <w:tcPr>
            <w:tcW w:type="dxa" w:w="737"/>
            <w:shd w:val="clear" w:fill="1F3864"/>
          </w:tcPr>
          <w:p>
            <w:r/>
            <w:r>
              <w:rPr>
                <w:b/>
                <w:color w:val="FFFFFF"/>
                <w:sz w:val="19"/>
              </w:rPr>
              <w:t>Fait</w:t>
            </w:r>
          </w:p>
        </w:tc>
      </w:tr>
      <w:tr>
        <w:tc>
          <w:tcPr>
            <w:tcW w:type="dxa" w:w="2665"/>
          </w:tcPr>
          <w:p>
            <w:r/>
            <w:r>
              <w:rPr>
                <w:b/>
                <w:color w:val="1F3864"/>
                <w:sz w:val="17"/>
              </w:rPr>
              <w:t xml:space="preserve">[Satellite] </w:t>
            </w:r>
            <w:r>
              <w:rPr>
                <w:b/>
                <w:sz w:val="19"/>
              </w:rPr>
              <w:t>Réception des prérequis (jalon G1)</w:t>
            </w:r>
          </w:p>
        </w:tc>
        <w:tc>
          <w:tcPr>
            <w:tcW w:type="dxa" w:w="5839"/>
          </w:tcPr>
          <w:p>
            <w:pPr>
              <w:spacing w:after="40"/>
            </w:pPr>
            <w:r/>
            <w:r>
              <w:rPr>
                <w:sz w:val="19"/>
              </w:rPr>
              <w:t>Vérifier que PKI, AD et Réseau ont livré et coché leurs volets Satellite.</w:t>
            </w:r>
          </w:p>
        </w:tc>
        <w:tc>
          <w:tcPr>
            <w:tcW w:type="dxa" w:w="737"/>
          </w:tcPr>
          <w:p>
            <w:pPr>
              <w:jc w:val="center"/>
            </w:pPr>
            <w:r/>
            <w:r>
              <w:rPr>
                <w:sz w:val="26"/>
              </w:rPr>
              <w:t>☐</w:t>
            </w:r>
          </w:p>
        </w:tc>
      </w:tr>
      <w:tr>
        <w:tc>
          <w:tcPr>
            <w:tcW w:type="dxa" w:w="2665"/>
          </w:tcPr>
          <w:p>
            <w:r/>
            <w:r>
              <w:rPr>
                <w:b/>
                <w:color w:val="1F3864"/>
                <w:sz w:val="17"/>
              </w:rPr>
              <w:t xml:space="preserve">[Les deux] </w:t>
            </w:r>
            <w:r>
              <w:rPr>
                <w:b/>
                <w:sz w:val="19"/>
              </w:rPr>
              <w:t>Installation Satellite puis bascule G2</w:t>
            </w:r>
          </w:p>
        </w:tc>
        <w:tc>
          <w:tcPr>
            <w:tcW w:type="dxa" w:w="5839"/>
          </w:tcPr>
          <w:p>
            <w:pPr>
              <w:spacing w:after="40"/>
            </w:pPr>
            <w:r/>
            <w:r>
              <w:rPr>
                <w:sz w:val="19"/>
              </w:rPr>
              <w:t>Installer le Satellite (qual puis prod), puis créer l'activation key AAP et confirmer les prérequis AAP réunis avant de lancer AAP.</w:t>
            </w:r>
          </w:p>
        </w:tc>
        <w:tc>
          <w:tcPr>
            <w:tcW w:type="dxa" w:w="737"/>
          </w:tcPr>
          <w:p>
            <w:pPr>
              <w:jc w:val="center"/>
            </w:pPr>
            <w:r/>
            <w:r>
              <w:rPr>
                <w:sz w:val="26"/>
              </w:rPr>
              <w:t>☐</w:t>
            </w:r>
          </w:p>
        </w:tc>
      </w:tr>
      <w:tr>
        <w:tc>
          <w:tcPr>
            <w:tcW w:type="dxa" w:w="2665"/>
          </w:tcPr>
          <w:p>
            <w:r/>
            <w:r>
              <w:rPr>
                <w:b/>
                <w:color w:val="1F3864"/>
                <w:sz w:val="17"/>
              </w:rPr>
              <w:t xml:space="preserve">[Les deux] </w:t>
            </w:r>
            <w:r>
              <w:rPr>
                <w:b/>
                <w:sz w:val="19"/>
              </w:rPr>
              <w:t>Qualification avant production</w:t>
            </w:r>
          </w:p>
        </w:tc>
        <w:tc>
          <w:tcPr>
            <w:tcW w:type="dxa" w:w="5839"/>
          </w:tcPr>
          <w:p>
            <w:pPr>
              <w:spacing w:after="40"/>
            </w:pPr>
            <w:r/>
            <w:r>
              <w:rPr>
                <w:sz w:val="19"/>
              </w:rPr>
              <w:t>Déployer et valider l'environnement de qualification en premier, production ensuite (Satellite comme AAP).</w:t>
            </w:r>
          </w:p>
        </w:tc>
        <w:tc>
          <w:tcPr>
            <w:tcW w:type="dxa" w:w="737"/>
          </w:tcPr>
          <w:p>
            <w:pPr>
              <w:jc w:val="center"/>
            </w:pPr>
            <w:r/>
            <w:r>
              <w:rPr>
                <w:sz w:val="26"/>
              </w:rPr>
              <w:t>☐</w:t>
            </w:r>
          </w:p>
        </w:tc>
      </w:tr>
      <w:tr>
        <w:tc>
          <w:tcPr>
            <w:tcW w:type="dxa" w:w="2665"/>
          </w:tcPr>
          <w:p>
            <w:r/>
            <w:r>
              <w:rPr>
                <w:b/>
                <w:color w:val="1F3864"/>
                <w:sz w:val="17"/>
              </w:rPr>
              <w:t xml:space="preserve">[Les deux] </w:t>
            </w:r>
            <w:r>
              <w:rPr>
                <w:b/>
                <w:sz w:val="19"/>
              </w:rPr>
              <w:t>Vérification des options d'installation</w:t>
            </w:r>
          </w:p>
        </w:tc>
        <w:tc>
          <w:tcPr>
            <w:tcW w:type="dxa" w:w="5839"/>
          </w:tcPr>
          <w:p>
            <w:pPr>
              <w:spacing w:after="40"/>
            </w:pPr>
            <w:r/>
            <w:r>
              <w:rPr>
                <w:sz w:val="19"/>
              </w:rPr>
              <w:t>Confirmer les options techniques contre les versions réelles (Satellite 6.19, AAP 2.6) en qualification, avant la production.</w:t>
            </w:r>
          </w:p>
        </w:tc>
        <w:tc>
          <w:tcPr>
            <w:tcW w:type="dxa" w:w="737"/>
          </w:tcPr>
          <w:p>
            <w:pPr>
              <w:jc w:val="center"/>
            </w:pPr>
            <w:r/>
            <w:r>
              <w:rPr>
                <w:sz w:val="26"/>
              </w:rPr>
              <w:t>☐</w:t>
            </w:r>
          </w:p>
        </w:tc>
      </w:tr>
      <w:tr>
        <w:tc>
          <w:tcPr>
            <w:tcW w:type="dxa" w:w="2665"/>
          </w:tcPr>
          <w:p>
            <w:r/>
            <w:r>
              <w:rPr>
                <w:b/>
                <w:color w:val="1F3864"/>
                <w:sz w:val="17"/>
              </w:rPr>
              <w:t xml:space="preserve">[Les deux] </w:t>
            </w:r>
            <w:r>
              <w:rPr>
                <w:b/>
                <w:sz w:val="19"/>
              </w:rPr>
              <w:t>Sauvegarde et test de restauration</w:t>
            </w:r>
          </w:p>
        </w:tc>
        <w:tc>
          <w:tcPr>
            <w:tcW w:type="dxa" w:w="5839"/>
          </w:tcPr>
          <w:p>
            <w:pPr>
              <w:spacing w:after="40"/>
            </w:pPr>
            <w:r/>
            <w:r>
              <w:rPr>
                <w:sz w:val="19"/>
              </w:rPr>
              <w:t>Mettre en place les sauvegardes dès la mise en service et planifier un test de restauration (Satellite et AAP).</w:t>
            </w:r>
          </w:p>
        </w:tc>
        <w:tc>
          <w:tcPr>
            <w:tcW w:type="dxa" w:w="737"/>
          </w:tcPr>
          <w:p>
            <w:pPr>
              <w:jc w:val="center"/>
            </w:pPr>
            <w:r/>
            <w:r>
              <w:rPr>
                <w:sz w:val="26"/>
              </w:rPr>
              <w:t>☐</w:t>
            </w:r>
          </w:p>
        </w:tc>
      </w:tr>
    </w:tbl>
    <w:p>
      <w:pPr>
        <w:spacing w:after="40"/>
      </w:pPr>
    </w:p>
    <w:tbl>
      <w:tblPr>
        <w:tblStyle w:val="TableGrid"/>
        <w:tblW w:type="auto" w:w="0"/>
        <w:tblLook w:firstColumn="1" w:firstRow="1" w:lastColumn="0" w:lastRow="0" w:noHBand="0" w:noVBand="1" w:val="04A0"/>
      </w:tblPr>
      <w:tblGrid>
        <w:gridCol w:w="10200"/>
      </w:tblGrid>
      <w:tr>
        <w:tc>
          <w:tcPr>
            <w:tcW w:type="dxa" w:w="10200"/>
            <w:shd w:val="clear" w:fill="F4F6FA"/>
          </w:tcPr>
          <w:p>
            <w:r/>
            <w:r>
              <w:rPr>
                <w:b/>
                <w:color w:val="1F3864"/>
                <w:sz w:val="19"/>
              </w:rPr>
              <w:t xml:space="preserve">Pourquoi ça compte — </w:t>
            </w:r>
            <w:r>
              <w:rPr>
                <w:i/>
                <w:color w:val="555555"/>
                <w:sz w:val="19"/>
              </w:rPr>
              <w:t xml:space="preserve"> Cette équipe est le point de convergence : elle ne peut avancer qu'au rythme du prérequis le plus en retard. C'est elle qui relance les autres sur les cases non cochées, d'où la colonne « Fait » renvoyée par chaque section.</w:t>
            </w:r>
          </w:p>
        </w:tc>
      </w:tr>
    </w:tbl>
    <w:p>
      <w:pPr>
        <w:spacing w:after="40"/>
      </w:pPr>
    </w:p>
    <w:p>
      <w:pPr>
        <w:spacing w:after="80" w:before="40"/>
        <w:pBdr>
          <w:bottom w:val="single" w:sz="6" w:space="1" w:color="1F3864"/>
        </w:pBdr>
      </w:pPr>
    </w:p>
    <w:p>
      <w:pPr>
        <w:spacing w:after="40" w:before="120"/>
      </w:pPr>
      <w:r>
        <w:rPr>
          <w:b/>
          <w:i w:val="0"/>
          <w:color w:val="1F3864"/>
          <w:sz w:val="24"/>
        </w:rPr>
        <w:t>Récapitulatif — suivi global</w:t>
      </w:r>
    </w:p>
    <w:p>
      <w:pPr>
        <w:spacing w:after="80" w:before="0"/>
      </w:pPr>
      <w:r>
        <w:rPr>
          <w:b w:val="0"/>
          <w:i/>
          <w:color w:val="555555"/>
          <w:sz w:val="19"/>
        </w:rPr>
        <w:t>Vue d'ensemble à cocher au fil des retours. G1 (entrée installation Satellite) est atteint quand les volets Satellite de PKI, AD et Réseau sont complets. G2 (entrée installation AAP) est atteint quand le Satellite est en service et que les prérequis AAP sont réunis.</w:t>
      </w:r>
    </w:p>
    <w:tbl>
      <w:tblPr>
        <w:tblStyle w:val="TableGrid"/>
        <w:tblW w:type="auto" w:w="0"/>
        <w:tblLayout w:type="fixed"/>
        <w:tblLook w:firstColumn="1" w:firstRow="1" w:lastColumn="0" w:lastRow="0" w:noHBand="0" w:noVBand="1" w:val="04A0"/>
      </w:tblPr>
      <w:tblGrid>
        <w:gridCol w:w="2040"/>
        <w:gridCol w:w="2040"/>
        <w:gridCol w:w="2040"/>
        <w:gridCol w:w="2040"/>
        <w:gridCol w:w="2040"/>
      </w:tblGrid>
      <w:tr>
        <w:tc>
          <w:tcPr>
            <w:tcW w:type="dxa" w:w="1247"/>
            <w:shd w:val="clear" w:fill="1F3864"/>
          </w:tcPr>
          <w:p>
            <w:r/>
            <w:r>
              <w:rPr>
                <w:b/>
                <w:color w:val="FFFFFF"/>
                <w:sz w:val="19"/>
              </w:rPr>
              <w:t>Réf.</w:t>
            </w:r>
          </w:p>
        </w:tc>
        <w:tc>
          <w:tcPr>
            <w:tcW w:type="dxa" w:w="2948"/>
            <w:shd w:val="clear" w:fill="1F3864"/>
          </w:tcPr>
          <w:p>
            <w:r/>
            <w:r>
              <w:rPr>
                <w:b/>
                <w:color w:val="FFFFFF"/>
                <w:sz w:val="19"/>
              </w:rPr>
              <w:t>Équipe</w:t>
            </w:r>
          </w:p>
        </w:tc>
        <w:tc>
          <w:tcPr>
            <w:tcW w:type="dxa" w:w="1814"/>
            <w:shd w:val="clear" w:fill="1F3864"/>
          </w:tcPr>
          <w:p>
            <w:r/>
            <w:r>
              <w:rPr>
                <w:b/>
                <w:color w:val="FFFFFF"/>
                <w:sz w:val="19"/>
              </w:rPr>
              <w:t>Échéance</w:t>
            </w:r>
          </w:p>
        </w:tc>
        <w:tc>
          <w:tcPr>
            <w:tcW w:type="dxa" w:w="1701"/>
            <w:shd w:val="clear" w:fill="1F3864"/>
          </w:tcPr>
          <w:p>
            <w:r/>
            <w:r>
              <w:rPr>
                <w:b/>
                <w:color w:val="FFFFFF"/>
                <w:sz w:val="19"/>
              </w:rPr>
              <w:t>Jalon</w:t>
            </w:r>
          </w:p>
        </w:tc>
        <w:tc>
          <w:tcPr>
            <w:tcW w:type="dxa" w:w="964"/>
            <w:shd w:val="clear" w:fill="1F3864"/>
          </w:tcPr>
          <w:p>
            <w:r/>
            <w:r>
              <w:rPr>
                <w:b/>
                <w:color w:val="FFFFFF"/>
                <w:sz w:val="19"/>
              </w:rPr>
              <w:t>Fait</w:t>
            </w:r>
          </w:p>
        </w:tc>
      </w:tr>
      <w:tr>
        <w:tc>
          <w:tcPr>
            <w:tcW w:type="dxa" w:w="1247"/>
          </w:tcPr>
          <w:p>
            <w:r/>
            <w:r>
              <w:rPr>
                <w:b/>
                <w:sz w:val="19"/>
              </w:rPr>
              <w:t>PKI-01</w:t>
            </w:r>
          </w:p>
        </w:tc>
        <w:tc>
          <w:tcPr>
            <w:tcW w:type="dxa" w:w="2948"/>
          </w:tcPr>
          <w:p>
            <w:r/>
            <w:r>
              <w:rPr>
                <w:sz w:val="19"/>
              </w:rPr>
              <w:t>PKI / Sécurité</w:t>
            </w:r>
          </w:p>
        </w:tc>
        <w:tc>
          <w:tcPr>
            <w:tcW w:type="dxa" w:w="1814"/>
          </w:tcPr>
          <w:p>
            <w:r/>
            <w:r>
              <w:rPr>
                <w:sz w:val="19"/>
              </w:rPr>
              <w:t>Semaine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AD-01</w:t>
            </w:r>
          </w:p>
        </w:tc>
        <w:tc>
          <w:tcPr>
            <w:tcW w:type="dxa" w:w="2948"/>
          </w:tcPr>
          <w:p>
            <w:r/>
            <w:r>
              <w:rPr>
                <w:sz w:val="19"/>
              </w:rPr>
              <w:t>Active Directory</w:t>
            </w:r>
          </w:p>
        </w:tc>
        <w:tc>
          <w:tcPr>
            <w:tcW w:type="dxa" w:w="1814"/>
          </w:tcPr>
          <w:p>
            <w:r/>
            <w:r>
              <w:rPr>
                <w:sz w:val="19"/>
              </w:rPr>
              <w:t>Semaine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NET-01</w:t>
            </w:r>
          </w:p>
        </w:tc>
        <w:tc>
          <w:tcPr>
            <w:tcW w:type="dxa" w:w="2948"/>
          </w:tcPr>
          <w:p>
            <w:r/>
            <w:r>
              <w:rPr>
                <w:sz w:val="19"/>
              </w:rPr>
              <w:t>Réseau / DHCP-DNS</w:t>
            </w:r>
          </w:p>
        </w:tc>
        <w:tc>
          <w:tcPr>
            <w:tcW w:type="dxa" w:w="1814"/>
          </w:tcPr>
          <w:p>
            <w:r/>
            <w:r>
              <w:rPr>
                <w:sz w:val="19"/>
              </w:rPr>
              <w:t>Semaine 1</w:t>
            </w:r>
          </w:p>
        </w:tc>
        <w:tc>
          <w:tcPr>
            <w:tcW w:type="dxa" w:w="1701"/>
          </w:tcPr>
          <w:p>
            <w:r/>
            <w:r>
              <w:rPr>
                <w:sz w:val="19"/>
              </w:rPr>
              <w:t>G1</w:t>
            </w:r>
          </w:p>
        </w:tc>
        <w:tc>
          <w:tcPr>
            <w:tcW w:type="dxa" w:w="964"/>
          </w:tcPr>
          <w:p>
            <w:pPr>
              <w:jc w:val="center"/>
            </w:pPr>
            <w:r/>
            <w:r>
              <w:rPr>
                <w:sz w:val="26"/>
              </w:rPr>
              <w:t>☐</w:t>
            </w:r>
          </w:p>
        </w:tc>
      </w:tr>
      <w:tr>
        <w:tc>
          <w:tcPr>
            <w:tcW w:type="dxa" w:w="1247"/>
          </w:tcPr>
          <w:p>
            <w:r/>
            <w:r>
              <w:rPr>
                <w:b/>
                <w:sz w:val="19"/>
              </w:rPr>
              <w:t>HV-01</w:t>
            </w:r>
          </w:p>
        </w:tc>
        <w:tc>
          <w:tcPr>
            <w:tcW w:type="dxa" w:w="2948"/>
          </w:tcPr>
          <w:p>
            <w:r/>
            <w:r>
              <w:rPr>
                <w:sz w:val="19"/>
              </w:rPr>
              <w:t>Virtualisation Hyper-V</w:t>
            </w:r>
          </w:p>
        </w:tc>
        <w:tc>
          <w:tcPr>
            <w:tcW w:type="dxa" w:w="1814"/>
          </w:tcPr>
          <w:p>
            <w:r/>
            <w:r>
              <w:rPr>
                <w:sz w:val="19"/>
              </w:rPr>
              <w:t>Semaines 2–4</w:t>
            </w:r>
          </w:p>
        </w:tc>
        <w:tc>
          <w:tcPr>
            <w:tcW w:type="dxa" w:w="1701"/>
          </w:tcPr>
          <w:p>
            <w:r/>
            <w:r>
              <w:rPr>
                <w:sz w:val="19"/>
              </w:rPr>
              <w:t>—</w:t>
            </w:r>
          </w:p>
        </w:tc>
        <w:tc>
          <w:tcPr>
            <w:tcW w:type="dxa" w:w="964"/>
          </w:tcPr>
          <w:p>
            <w:pPr>
              <w:jc w:val="center"/>
            </w:pPr>
            <w:r/>
            <w:r>
              <w:rPr>
                <w:sz w:val="26"/>
              </w:rPr>
              <w:t>☐</w:t>
            </w:r>
          </w:p>
        </w:tc>
      </w:tr>
      <w:tr>
        <w:tc>
          <w:tcPr>
            <w:tcW w:type="dxa" w:w="1247"/>
          </w:tcPr>
          <w:p>
            <w:r/>
            <w:r>
              <w:rPr>
                <w:b/>
                <w:sz w:val="19"/>
              </w:rPr>
              <w:t>STO-01</w:t>
            </w:r>
          </w:p>
        </w:tc>
        <w:tc>
          <w:tcPr>
            <w:tcW w:type="dxa" w:w="2948"/>
          </w:tcPr>
          <w:p>
            <w:r/>
            <w:r>
              <w:rPr>
                <w:sz w:val="19"/>
              </w:rPr>
              <w:t>Stockage</w:t>
            </w:r>
          </w:p>
        </w:tc>
        <w:tc>
          <w:tcPr>
            <w:tcW w:type="dxa" w:w="1814"/>
          </w:tcPr>
          <w:p>
            <w:r/>
            <w:r>
              <w:rPr>
                <w:sz w:val="19"/>
              </w:rPr>
              <w:t>Semaines 2–4</w:t>
            </w:r>
          </w:p>
        </w:tc>
        <w:tc>
          <w:tcPr>
            <w:tcW w:type="dxa" w:w="1701"/>
          </w:tcPr>
          <w:p>
            <w:r/>
            <w:r>
              <w:rPr>
                <w:sz w:val="19"/>
              </w:rPr>
              <w:t>G1/G2</w:t>
            </w:r>
          </w:p>
        </w:tc>
        <w:tc>
          <w:tcPr>
            <w:tcW w:type="dxa" w:w="964"/>
          </w:tcPr>
          <w:p>
            <w:pPr>
              <w:jc w:val="center"/>
            </w:pPr>
            <w:r/>
            <w:r>
              <w:rPr>
                <w:sz w:val="26"/>
              </w:rPr>
              <w:t>☐</w:t>
            </w:r>
          </w:p>
        </w:tc>
      </w:tr>
      <w:tr>
        <w:tc>
          <w:tcPr>
            <w:tcW w:type="dxa" w:w="1247"/>
          </w:tcPr>
          <w:p>
            <w:r/>
            <w:r>
              <w:rPr>
                <w:b/>
                <w:sz w:val="19"/>
              </w:rPr>
              <w:t>DBA-01</w:t>
            </w:r>
          </w:p>
        </w:tc>
        <w:tc>
          <w:tcPr>
            <w:tcW w:type="dxa" w:w="2948"/>
          </w:tcPr>
          <w:p>
            <w:r/>
            <w:r>
              <w:rPr>
                <w:sz w:val="19"/>
              </w:rPr>
              <w:t>Bases de données</w:t>
            </w:r>
          </w:p>
        </w:tc>
        <w:tc>
          <w:tcPr>
            <w:tcW w:type="dxa" w:w="1814"/>
          </w:tcPr>
          <w:p>
            <w:r/>
            <w:r>
              <w:rPr>
                <w:sz w:val="19"/>
              </w:rPr>
              <w:t>Avant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SAT-01</w:t>
            </w:r>
          </w:p>
        </w:tc>
        <w:tc>
          <w:tcPr>
            <w:tcW w:type="dxa" w:w="2948"/>
          </w:tcPr>
          <w:p>
            <w:r/>
            <w:r>
              <w:rPr>
                <w:sz w:val="19"/>
              </w:rPr>
              <w:t>Satellite / Abonnements</w:t>
            </w:r>
          </w:p>
        </w:tc>
        <w:tc>
          <w:tcPr>
            <w:tcW w:type="dxa" w:w="1814"/>
          </w:tcPr>
          <w:p>
            <w:r/>
            <w:r>
              <w:rPr>
                <w:sz w:val="19"/>
              </w:rPr>
              <w:t>S1 + avant G2</w:t>
            </w:r>
          </w:p>
        </w:tc>
        <w:tc>
          <w:tcPr>
            <w:tcW w:type="dxa" w:w="1701"/>
          </w:tcPr>
          <w:p>
            <w:r/>
            <w:r>
              <w:rPr>
                <w:sz w:val="19"/>
              </w:rPr>
              <w:t>G1/G2</w:t>
            </w:r>
          </w:p>
        </w:tc>
        <w:tc>
          <w:tcPr>
            <w:tcW w:type="dxa" w:w="964"/>
          </w:tcPr>
          <w:p>
            <w:pPr>
              <w:jc w:val="center"/>
            </w:pPr>
            <w:r/>
            <w:r>
              <w:rPr>
                <w:sz w:val="26"/>
              </w:rPr>
              <w:t>☐</w:t>
            </w:r>
          </w:p>
        </w:tc>
      </w:tr>
      <w:tr>
        <w:tc>
          <w:tcPr>
            <w:tcW w:type="dxa" w:w="1247"/>
          </w:tcPr>
          <w:p>
            <w:r/>
            <w:r>
              <w:rPr>
                <w:b/>
                <w:sz w:val="19"/>
              </w:rPr>
              <w:t>SYS-01</w:t>
            </w:r>
          </w:p>
        </w:tc>
        <w:tc>
          <w:tcPr>
            <w:tcW w:type="dxa" w:w="2948"/>
          </w:tcPr>
          <w:p>
            <w:r/>
            <w:r>
              <w:rPr>
                <w:sz w:val="19"/>
              </w:rPr>
              <w:t>Provisioning / Systèmes</w:t>
            </w:r>
          </w:p>
        </w:tc>
        <w:tc>
          <w:tcPr>
            <w:tcW w:type="dxa" w:w="1814"/>
          </w:tcPr>
          <w:p>
            <w:r/>
            <w:r>
              <w:rPr>
                <w:sz w:val="19"/>
              </w:rPr>
              <w:t>Avant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QA-01</w:t>
            </w:r>
          </w:p>
        </w:tc>
        <w:tc>
          <w:tcPr>
            <w:tcW w:type="dxa" w:w="2948"/>
          </w:tcPr>
          <w:p>
            <w:r/>
            <w:r>
              <w:rPr>
                <w:sz w:val="19"/>
              </w:rPr>
              <w:t>Qualification</w:t>
            </w:r>
          </w:p>
        </w:tc>
        <w:tc>
          <w:tcPr>
            <w:tcW w:type="dxa" w:w="1814"/>
          </w:tcPr>
          <w:p>
            <w:r/>
            <w:r>
              <w:rPr>
                <w:sz w:val="19"/>
              </w:rPr>
              <w:t>Avant G2</w:t>
            </w:r>
          </w:p>
        </w:tc>
        <w:tc>
          <w:tcPr>
            <w:tcW w:type="dxa" w:w="1701"/>
          </w:tcPr>
          <w:p>
            <w:r/>
            <w:r>
              <w:rPr>
                <w:sz w:val="19"/>
              </w:rPr>
              <w:t>G2</w:t>
            </w:r>
          </w:p>
        </w:tc>
        <w:tc>
          <w:tcPr>
            <w:tcW w:type="dxa" w:w="964"/>
          </w:tcPr>
          <w:p>
            <w:pPr>
              <w:jc w:val="center"/>
            </w:pPr>
            <w:r/>
            <w:r>
              <w:rPr>
                <w:sz w:val="26"/>
              </w:rPr>
              <w:t>☐</w:t>
            </w:r>
          </w:p>
        </w:tc>
      </w:tr>
      <w:tr>
        <w:tc>
          <w:tcPr>
            <w:tcW w:type="dxa" w:w="1247"/>
          </w:tcPr>
          <w:p>
            <w:r/>
            <w:r>
              <w:rPr>
                <w:b/>
                <w:sz w:val="19"/>
              </w:rPr>
              <w:t>LNX-01</w:t>
            </w:r>
          </w:p>
        </w:tc>
        <w:tc>
          <w:tcPr>
            <w:tcW w:type="dxa" w:w="2948"/>
          </w:tcPr>
          <w:p>
            <w:r/>
            <w:r>
              <w:rPr>
                <w:sz w:val="19"/>
              </w:rPr>
              <w:t>Satellite / Linux</w:t>
            </w:r>
          </w:p>
        </w:tc>
        <w:tc>
          <w:tcPr>
            <w:tcW w:type="dxa" w:w="1814"/>
          </w:tcPr>
          <w:p>
            <w:r/>
            <w:r>
              <w:rPr>
                <w:sz w:val="19"/>
              </w:rPr>
              <w:t>Continu</w:t>
            </w:r>
          </w:p>
        </w:tc>
        <w:tc>
          <w:tcPr>
            <w:tcW w:type="dxa" w:w="1701"/>
          </w:tcPr>
          <w:p>
            <w:r/>
            <w:r>
              <w:rPr>
                <w:sz w:val="19"/>
              </w:rPr>
              <w:t>Convergence</w:t>
            </w:r>
          </w:p>
        </w:tc>
        <w:tc>
          <w:tcPr>
            <w:tcW w:type="dxa" w:w="964"/>
          </w:tcPr>
          <w:p>
            <w:pPr>
              <w:jc w:val="center"/>
            </w:pPr>
            <w:r/>
            <w:r>
              <w:rPr>
                <w:sz w:val="26"/>
              </w:rPr>
              <w:t>☐</w:t>
            </w:r>
          </w:p>
        </w:tc>
      </w:tr>
    </w:tbl>
    <w:p>
      <w:pPr>
        <w:spacing w:after="80"/>
      </w:pPr>
    </w:p>
    <w:p>
      <w:pPr>
        <w:spacing w:after="120" w:before="80"/>
      </w:pPr>
      <w:r>
        <w:rPr>
          <w:b w:val="0"/>
          <w:i w:val="0"/>
          <w:sz w:val="19"/>
        </w:rPr>
        <w:t>Contact projet : ____________________     Retour attendu pour : ____________</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