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color w:val="1F3864"/>
          <w:sz w:val="30"/>
        </w:rPr>
        <w:t>ESTIMATION — MACHINES VIRTUELLES HYPER-V</w:t>
      </w:r>
    </w:p>
    <w:p>
      <w:pPr>
        <w:spacing w:after="20" w:before="0"/>
        <w:jc w:val="center"/>
      </w:pPr>
      <w:r>
        <w:rPr>
          <w:b w:val="0"/>
          <w:i w:val="0"/>
          <w:color w:val="555555"/>
          <w:sz w:val="24"/>
        </w:rPr>
        <w:t>Spécifications MINIMALES (plancher) · Satellite 6.19 + AAP 2.6</w:t>
      </w:r>
    </w:p>
    <w:p>
      <w:pPr>
        <w:spacing w:after="160" w:before="0"/>
        <w:jc w:val="center"/>
      </w:pPr>
      <w:r>
        <w:rPr>
          <w:b w:val="0"/>
          <w:i/>
          <w:color w:val="555555"/>
          <w:sz w:val="19"/>
        </w:rPr>
        <w:t>Parc complet · Production + Qualification · document d'estimation</w:t>
      </w:r>
    </w:p>
    <w:tbl>
      <w:tblPr>
        <w:tblStyle w:val="TableGrid"/>
        <w:tblW w:type="auto" w:w="0"/>
        <w:tblLook w:firstColumn="1" w:firstRow="1" w:lastColumn="0" w:lastRow="0" w:noHBand="0" w:noVBand="1" w:val="04A0"/>
      </w:tblPr>
      <w:tblGrid>
        <w:gridCol w:w="10426"/>
      </w:tblGrid>
      <w:tr>
        <w:tc>
          <w:tcPr>
            <w:tcW w:type="dxa" w:w="10426"/>
            <w:shd w:val="clear" w:fill="E8F0FE"/>
          </w:tcPr>
          <w:p>
            <w:r/>
            <w:r>
              <w:rPr>
                <w:b/>
                <w:color w:val="1F3864"/>
                <w:sz w:val="20"/>
              </w:rPr>
              <w:t xml:space="preserve">Document d'estimation — spécifications minimales. </w:t>
            </w:r>
            <w:r>
              <w:rPr>
                <w:color w:val="555555"/>
                <w:sz w:val="19"/>
              </w:rPr>
              <w:t>Ce document dimensionne chaque VM au PLANCHER, pour estimer la borne basse de capacité. Il ne remplace PAS le bon de commande de référence (dimensionnement recommandé) et n'entraîne aucune modification du projet. À usage de chiffrage uniquement.</w:t>
            </w:r>
          </w:p>
        </w:tc>
      </w:tr>
    </w:tbl>
    <w:p>
      <w:pPr>
        <w:spacing w:after="60"/>
      </w:pPr>
    </w:p>
    <w:tbl>
      <w:tblPr>
        <w:tblStyle w:val="TableGrid"/>
        <w:tblW w:type="auto" w:w="0"/>
        <w:tblLook w:firstColumn="1" w:firstRow="1" w:lastColumn="0" w:lastRow="0" w:noHBand="0" w:noVBand="1" w:val="04A0"/>
      </w:tblPr>
      <w:tblGrid>
        <w:gridCol w:w="10426"/>
      </w:tblGrid>
      <w:tr>
        <w:tc>
          <w:tcPr>
            <w:tcW w:type="dxa" w:w="10426"/>
            <w:shd w:val="clear" w:fill="1F3864"/>
          </w:tcPr>
          <w:p>
            <w:r/>
            <w:r>
              <w:rPr>
                <w:b/>
                <w:color w:val="FFFFFF"/>
                <w:sz w:val="22"/>
              </w:rPr>
              <w:t>BASE DE L'ESTIMATION</w:t>
            </w:r>
          </w:p>
        </w:tc>
      </w:tr>
    </w:tbl>
    <w:p>
      <w:pPr>
        <w:spacing w:after="20"/>
      </w:pPr>
    </w:p>
    <w:tbl>
      <w:tblPr>
        <w:tblStyle w:val="TableGrid"/>
        <w:tblW w:type="auto" w:w="0"/>
        <w:tblLayout w:type="fixed"/>
        <w:tblLook w:firstColumn="1" w:firstRow="1" w:lastColumn="0" w:lastRow="0" w:noHBand="0" w:noVBand="1" w:val="04A0"/>
      </w:tblPr>
      <w:tblGrid>
        <w:gridCol w:w="5213"/>
        <w:gridCol w:w="5213"/>
      </w:tblGrid>
      <w:tr>
        <w:tc>
          <w:tcPr>
            <w:tcW w:type="dxa" w:w="2154"/>
          </w:tcPr>
          <w:p>
            <w:pPr>
              <w:spacing w:after="20"/>
            </w:pPr>
            <w:r/>
            <w:r>
              <w:rPr>
                <w:b/>
                <w:color w:val="1F3864"/>
                <w:sz w:val="18"/>
              </w:rPr>
              <w:t>★  Plancher sourcé</w:t>
            </w:r>
          </w:p>
        </w:tc>
        <w:tc>
          <w:tcPr>
            <w:tcW w:type="dxa" w:w="7710"/>
          </w:tcPr>
          <w:p>
            <w:pPr>
              <w:spacing w:after="20"/>
            </w:pPr>
            <w:r/>
            <w:r>
              <w:rPr>
                <w:b w:val="0"/>
                <w:sz w:val="18"/>
              </w:rPr>
              <w:t>Minimum vérifié par un assert de l'installateur : 16 Go de RAM et 60 Go de disque par nœud AAP, RHEL 9.6+. Non réductible.</w:t>
            </w:r>
          </w:p>
        </w:tc>
      </w:tr>
      <w:tr>
        <w:tc>
          <w:tcPr>
            <w:tcW w:type="dxa" w:w="2154"/>
          </w:tcPr>
          <w:p>
            <w:pPr>
              <w:spacing w:after="20"/>
            </w:pPr>
            <w:r/>
            <w:r>
              <w:rPr>
                <w:b/>
                <w:color w:val="8A2B06"/>
                <w:sz w:val="18"/>
              </w:rPr>
              <w:t>○  Minimum non sourcé</w:t>
            </w:r>
          </w:p>
        </w:tc>
        <w:tc>
          <w:tcPr>
            <w:tcW w:type="dxa" w:w="7710"/>
          </w:tcPr>
          <w:p>
            <w:pPr>
              <w:spacing w:after="20"/>
            </w:pPr>
            <w:r/>
            <w:r>
              <w:rPr>
                <w:b w:val="0"/>
                <w:sz w:val="18"/>
              </w:rPr>
              <w:t>vCPU : aucun assert dans l'installateur. Posé ici au minimum technique (2 vCPU/nœud). Red Hat recommande ≥ 4 vCPU/nœud — cette estimation est donc une BORNE BASSE qui peut ne pas atteindre les performances recommandées.</w:t>
            </w:r>
          </w:p>
        </w:tc>
      </w:tr>
    </w:tbl>
    <w:p>
      <w:pPr>
        <w:spacing w:after="60"/>
      </w:pPr>
    </w:p>
    <w:p>
      <w:pPr>
        <w:pStyle w:val="ListBullet"/>
        <w:spacing w:after="40"/>
      </w:pPr>
      <w:r>
        <w:rPr>
          <w:color w:val="555555"/>
          <w:sz w:val="19"/>
        </w:rPr>
        <w:t>RAM : 16 Go par nœud AAP (plancher sourcé), sauf nœud de rebond (hop) exempté → 8 Go. Satellite : 20 Go (minimum Red Hat Satellite, à confirmer).</w:t>
      </w:r>
    </w:p>
    <w:p>
      <w:pPr>
        <w:pStyle w:val="ListBullet"/>
        <w:spacing w:after="40"/>
      </w:pPr>
      <w:r>
        <w:rPr>
          <w:color w:val="555555"/>
          <w:sz w:val="19"/>
        </w:rPr>
        <w:t>Disque : 60 Go par nœud AAP (plancher sourcé). Satellite : volumes minimaux (voir tableau).</w:t>
      </w:r>
    </w:p>
    <w:p>
      <w:pPr>
        <w:pStyle w:val="ListBullet"/>
        <w:spacing w:after="40"/>
      </w:pPr>
      <w:r>
        <w:rPr>
          <w:color w:val="555555"/>
          <w:sz w:val="19"/>
        </w:rPr>
        <w:t>vCPU : 2 par nœud AAP et 4 par Satellite — valeurs minimales non sourcées, à confirmer.</w:t>
      </w:r>
    </w:p>
    <w:p>
      <w:pPr>
        <w:pStyle w:val="ListBullet"/>
        <w:spacing w:after="40"/>
      </w:pPr>
      <w:r>
        <w:rPr>
          <w:color w:val="555555"/>
          <w:sz w:val="19"/>
        </w:rPr>
        <w:t>Nombre de VM inchangé (24) : cette estimation ne réduit PAS la topologie, seulement les specs par machine.</w:t>
      </w:r>
    </w:p>
    <w:p>
      <w:pPr>
        <w:spacing w:after="80"/>
        <w:pBdr>
          <w:bottom w:val="single" w:sz="6" w:space="1" w:color="1F3864"/>
        </w:pBdr>
      </w:pPr>
    </w:p>
    <w:tbl>
      <w:tblPr>
        <w:tblStyle w:val="TableGrid"/>
        <w:tblW w:type="auto" w:w="0"/>
        <w:tblLook w:firstColumn="1" w:firstRow="1" w:lastColumn="0" w:lastRow="0" w:noHBand="0" w:noVBand="1" w:val="04A0"/>
      </w:tblPr>
      <w:tblGrid>
        <w:gridCol w:w="10426"/>
      </w:tblGrid>
      <w:tr>
        <w:tc>
          <w:tcPr>
            <w:tcW w:type="dxa" w:w="10426"/>
            <w:shd w:val="clear" w:fill="1F3864"/>
          </w:tcPr>
          <w:p>
            <w:r/>
            <w:r>
              <w:rPr>
                <w:b/>
                <w:color w:val="FFFFFF"/>
                <w:sz w:val="22"/>
              </w:rPr>
              <w:t>RÉGLAGES HYPER-V COMMUNS (INCHANGÉS)</w:t>
            </w:r>
          </w:p>
        </w:tc>
      </w:tr>
    </w:tbl>
    <w:p>
      <w:pPr>
        <w:spacing w:after="20"/>
      </w:pPr>
    </w:p>
    <w:p>
      <w:pPr>
        <w:spacing w:after="60" w:before="0"/>
      </w:pPr>
      <w:r>
        <w:rPr>
          <w:b w:val="0"/>
          <w:i/>
          <w:color w:val="555555"/>
          <w:sz w:val="19"/>
        </w:rPr>
        <w:t>Indépendants du dimensionnement, ils s'appliquent à chaque VM quelle que soit la taille retenue :</w:t>
      </w:r>
    </w:p>
    <w:p>
      <w:pPr>
        <w:pStyle w:val="ListBullet"/>
        <w:spacing w:after="20"/>
      </w:pPr>
      <w:r>
        <w:rPr>
          <w:sz w:val="19"/>
        </w:rPr>
        <w:t>Génération 2 + Secure Boot « Microsoft UEFI Certificate Authority »</w:t>
      </w:r>
    </w:p>
    <w:p>
      <w:pPr>
        <w:pStyle w:val="ListBullet"/>
        <w:spacing w:after="20"/>
      </w:pPr>
      <w:r>
        <w:rPr>
          <w:sz w:val="19"/>
        </w:rPr>
        <w:t>Mémoire statique (ballooning désactivé) · Synchronisation de temps Hyper-V désactivée</w:t>
      </w:r>
    </w:p>
    <w:p>
      <w:pPr>
        <w:pStyle w:val="ListBullet"/>
        <w:spacing w:after="20"/>
      </w:pPr>
      <w:r>
        <w:rPr>
          <w:sz w:val="19"/>
        </w:rPr>
        <w:t>MAC statique issue de la plage réservée · Placement sur volume partagé de cluster (CSV) · RHEL 9.6+</w:t>
      </w:r>
    </w:p>
    <w:p>
      <w:pPr>
        <w:spacing w:after="80"/>
        <w:pBdr>
          <w:bottom w:val="single" w:sz="6" w:space="1" w:color="1F3864"/>
        </w:pBdr>
      </w:pPr>
    </w:p>
    <w:p>
      <w:r>
        <w:br w:type="page"/>
      </w:r>
    </w:p>
    <w:tbl>
      <w:tblPr>
        <w:tblStyle w:val="TableGrid"/>
        <w:tblW w:type="auto" w:w="0"/>
        <w:tblLook w:firstColumn="1" w:firstRow="1" w:lastColumn="0" w:lastRow="0" w:noHBand="0" w:noVBand="1" w:val="04A0"/>
      </w:tblPr>
      <w:tblGrid>
        <w:gridCol w:w="10426"/>
      </w:tblGrid>
      <w:tr>
        <w:tc>
          <w:tcPr>
            <w:tcW w:type="dxa" w:w="10426"/>
            <w:shd w:val="clear" w:fill="1F3864"/>
          </w:tcPr>
          <w:p>
            <w:r/>
            <w:r>
              <w:rPr>
                <w:b/>
                <w:color w:val="FFFFFF"/>
                <w:sz w:val="22"/>
              </w:rPr>
              <w:t>PARC 1 · SERVEURS SATELLITE (2 VM) — MINIMUM</w:t>
            </w:r>
          </w:p>
        </w:tc>
      </w:tr>
    </w:tbl>
    <w:p>
      <w:pPr>
        <w:spacing w:after="20"/>
      </w:pPr>
    </w:p>
    <w:tbl>
      <w:tblPr>
        <w:tblStyle w:val="TableGrid"/>
        <w:tblW w:type="auto" w:w="0"/>
        <w:tblLayout w:type="fixed"/>
        <w:tblLook w:firstColumn="1" w:firstRow="1" w:lastColumn="0" w:lastRow="0" w:noHBand="0" w:noVBand="1" w:val="04A0"/>
      </w:tblPr>
      <w:tblGrid>
        <w:gridCol w:w="1738"/>
        <w:gridCol w:w="1738"/>
        <w:gridCol w:w="1738"/>
        <w:gridCol w:w="1738"/>
        <w:gridCol w:w="1738"/>
        <w:gridCol w:w="1738"/>
      </w:tblGrid>
      <w:tr>
        <w:tc>
          <w:tcPr>
            <w:tcW w:type="dxa" w:w="1701"/>
            <w:shd w:val="clear" w:fill="1F3864"/>
          </w:tcPr>
          <w:p>
            <w:r/>
            <w:r>
              <w:rPr>
                <w:b/>
                <w:color w:val="FFFFFF"/>
                <w:sz w:val="18"/>
              </w:rPr>
              <w:t>Réf. VM</w:t>
            </w:r>
          </w:p>
        </w:tc>
        <w:tc>
          <w:tcPr>
            <w:tcW w:type="dxa" w:w="2268"/>
            <w:shd w:val="clear" w:fill="1F3864"/>
          </w:tcPr>
          <w:p>
            <w:r/>
            <w:r>
              <w:rPr>
                <w:b/>
                <w:color w:val="FFFFFF"/>
                <w:sz w:val="18"/>
              </w:rPr>
              <w:t>Rôle</w:t>
            </w:r>
          </w:p>
        </w:tc>
        <w:tc>
          <w:tcPr>
            <w:tcW w:type="dxa" w:w="1077"/>
            <w:shd w:val="clear" w:fill="1F3864"/>
          </w:tcPr>
          <w:p>
            <w:r/>
            <w:r>
              <w:rPr>
                <w:b/>
                <w:color w:val="FFFFFF"/>
                <w:sz w:val="18"/>
              </w:rPr>
              <w:t>vCPU (min)</w:t>
            </w:r>
          </w:p>
        </w:tc>
        <w:tc>
          <w:tcPr>
            <w:tcW w:type="dxa" w:w="1417"/>
            <w:shd w:val="clear" w:fill="1F3864"/>
          </w:tcPr>
          <w:p>
            <w:r/>
            <w:r>
              <w:rPr>
                <w:b/>
                <w:color w:val="FFFFFF"/>
                <w:sz w:val="18"/>
              </w:rPr>
              <w:t>RAM (min)</w:t>
            </w:r>
          </w:p>
        </w:tc>
        <w:tc>
          <w:tcPr>
            <w:tcW w:type="dxa" w:w="1417"/>
            <w:shd w:val="clear" w:fill="1F3864"/>
          </w:tcPr>
          <w:p>
            <w:r/>
            <w:r>
              <w:rPr>
                <w:b/>
                <w:color w:val="FFFFFF"/>
                <w:sz w:val="18"/>
              </w:rPr>
              <w:t>Disque (min)</w:t>
            </w:r>
          </w:p>
        </w:tc>
        <w:tc>
          <w:tcPr>
            <w:tcW w:type="dxa" w:w="1984"/>
            <w:shd w:val="clear" w:fill="1F3864"/>
          </w:tcPr>
          <w:p>
            <w:r/>
            <w:r>
              <w:rPr>
                <w:b/>
                <w:color w:val="FFFFFF"/>
                <w:sz w:val="18"/>
              </w:rPr>
              <w:t>Réseau</w:t>
            </w:r>
          </w:p>
        </w:tc>
      </w:tr>
      <w:tr>
        <w:tc>
          <w:tcPr>
            <w:tcW w:type="dxa" w:w="1701"/>
          </w:tcPr>
          <w:p>
            <w:pPr>
              <w:spacing w:after="20"/>
            </w:pPr>
            <w:r/>
            <w:r>
              <w:rPr>
                <w:b/>
                <w:sz w:val="18"/>
              </w:rPr>
              <w:t>STL-PROD-01</w:t>
            </w:r>
          </w:p>
        </w:tc>
        <w:tc>
          <w:tcPr>
            <w:tcW w:type="dxa" w:w="2268"/>
          </w:tcPr>
          <w:p>
            <w:pPr>
              <w:spacing w:after="20"/>
            </w:pPr>
            <w:r/>
            <w:r>
              <w:rPr>
                <w:b w:val="0"/>
                <w:sz w:val="18"/>
              </w:rPr>
              <w:t>Satellite 6.19 — Production</w:t>
            </w:r>
          </w:p>
        </w:tc>
        <w:tc>
          <w:tcPr>
            <w:tcW w:type="dxa" w:w="1077"/>
          </w:tcPr>
          <w:p>
            <w:pPr>
              <w:spacing w:after="20"/>
              <w:jc w:val="center"/>
            </w:pPr>
            <w:r/>
            <w:r>
              <w:rPr>
                <w:b w:val="0"/>
                <w:color w:val="8A2B06"/>
                <w:sz w:val="18"/>
              </w:rPr>
              <w:t>4 ○</w:t>
            </w:r>
          </w:p>
        </w:tc>
        <w:tc>
          <w:tcPr>
            <w:tcW w:type="dxa" w:w="1417"/>
          </w:tcPr>
          <w:p>
            <w:pPr>
              <w:spacing w:after="20"/>
              <w:jc w:val="center"/>
            </w:pPr>
            <w:r/>
            <w:r>
              <w:rPr>
                <w:b w:val="0"/>
                <w:sz w:val="18"/>
              </w:rPr>
              <w:t>20 Go ○</w:t>
            </w:r>
          </w:p>
        </w:tc>
        <w:tc>
          <w:tcPr>
            <w:tcW w:type="dxa" w:w="1417"/>
          </w:tcPr>
          <w:p>
            <w:pPr>
              <w:spacing w:after="20"/>
              <w:jc w:val="center"/>
            </w:pPr>
            <w:r/>
            <w:r>
              <w:rPr>
                <w:b w:val="0"/>
                <w:sz w:val="18"/>
              </w:rPr>
              <w:t>60 Go (système)</w:t>
            </w:r>
          </w:p>
        </w:tc>
        <w:tc>
          <w:tcPr>
            <w:tcW w:type="dxa" w:w="1984"/>
          </w:tcPr>
          <w:p>
            <w:pPr>
              <w:spacing w:after="20"/>
            </w:pPr>
            <w:r/>
            <w:r>
              <w:rPr>
                <w:b w:val="0"/>
                <w:sz w:val="17"/>
              </w:rPr>
              <w:t>VLAN prod (NET-01)</w:t>
            </w:r>
          </w:p>
          <w:p>
            <w:pPr>
              <w:spacing w:after="20"/>
            </w:pPr>
            <w:r>
              <w:rPr>
                <w:b w:val="0"/>
                <w:sz w:val="17"/>
              </w:rPr>
              <w:t>IP + FQDN (AD-01)</w:t>
            </w:r>
          </w:p>
        </w:tc>
      </w:tr>
      <w:tr>
        <w:tc>
          <w:tcPr>
            <w:tcW w:type="dxa" w:w="1701"/>
          </w:tcPr>
          <w:p>
            <w:pPr>
              <w:spacing w:after="20"/>
            </w:pPr>
            <w:r/>
            <w:r>
              <w:rPr>
                <w:b/>
                <w:sz w:val="18"/>
              </w:rPr>
              <w:t>STL-QUAL-01</w:t>
            </w:r>
          </w:p>
        </w:tc>
        <w:tc>
          <w:tcPr>
            <w:tcW w:type="dxa" w:w="2268"/>
          </w:tcPr>
          <w:p>
            <w:pPr>
              <w:spacing w:after="20"/>
            </w:pPr>
            <w:r/>
            <w:r>
              <w:rPr>
                <w:b w:val="0"/>
                <w:sz w:val="18"/>
              </w:rPr>
              <w:t>Satellite 6.19 — Qualification</w:t>
            </w:r>
          </w:p>
        </w:tc>
        <w:tc>
          <w:tcPr>
            <w:tcW w:type="dxa" w:w="1077"/>
          </w:tcPr>
          <w:p>
            <w:pPr>
              <w:spacing w:after="20"/>
              <w:jc w:val="center"/>
            </w:pPr>
            <w:r/>
            <w:r>
              <w:rPr>
                <w:b w:val="0"/>
                <w:color w:val="8A2B06"/>
                <w:sz w:val="18"/>
              </w:rPr>
              <w:t>4 ○</w:t>
            </w:r>
          </w:p>
        </w:tc>
        <w:tc>
          <w:tcPr>
            <w:tcW w:type="dxa" w:w="1417"/>
          </w:tcPr>
          <w:p>
            <w:pPr>
              <w:spacing w:after="20"/>
              <w:jc w:val="center"/>
            </w:pPr>
            <w:r/>
            <w:r>
              <w:rPr>
                <w:b w:val="0"/>
                <w:sz w:val="18"/>
              </w:rPr>
              <w:t>20 Go ○</w:t>
            </w:r>
          </w:p>
        </w:tc>
        <w:tc>
          <w:tcPr>
            <w:tcW w:type="dxa" w:w="1417"/>
          </w:tcPr>
          <w:p>
            <w:pPr>
              <w:spacing w:after="20"/>
              <w:jc w:val="center"/>
            </w:pPr>
            <w:r/>
            <w:r>
              <w:rPr>
                <w:b w:val="0"/>
                <w:sz w:val="18"/>
              </w:rPr>
              <w:t>60 Go (système)</w:t>
            </w:r>
          </w:p>
        </w:tc>
        <w:tc>
          <w:tcPr>
            <w:tcW w:type="dxa" w:w="1984"/>
          </w:tcPr>
          <w:p>
            <w:pPr>
              <w:spacing w:after="20"/>
            </w:pPr>
            <w:r/>
            <w:r>
              <w:rPr>
                <w:b w:val="0"/>
                <w:sz w:val="17"/>
              </w:rPr>
              <w:t>VLAN qual (NET-01)</w:t>
            </w:r>
          </w:p>
          <w:p>
            <w:pPr>
              <w:spacing w:after="20"/>
            </w:pPr>
            <w:r>
              <w:rPr>
                <w:b w:val="0"/>
                <w:sz w:val="17"/>
              </w:rPr>
              <w:t>IP + FQDN (AD-01)</w:t>
            </w:r>
          </w:p>
        </w:tc>
      </w:tr>
    </w:tbl>
    <w:p>
      <w:pPr>
        <w:spacing w:after="40"/>
      </w:pPr>
    </w:p>
    <w:p>
      <w:pPr>
        <w:spacing w:after="40" w:before="40"/>
      </w:pPr>
      <w:r>
        <w:rPr>
          <w:b/>
          <w:i w:val="0"/>
          <w:color w:val="1F3864"/>
          <w:sz w:val="19"/>
        </w:rPr>
        <w:t>Volumes dédiés par Satellite (XFS), dimensionnés au minimum :</w:t>
      </w:r>
    </w:p>
    <w:tbl>
      <w:tblPr>
        <w:tblStyle w:val="TableGrid"/>
        <w:tblW w:type="auto" w:w="0"/>
        <w:tblLayout w:type="fixed"/>
        <w:tblLook w:firstColumn="1" w:firstRow="1" w:lastColumn="0" w:lastRow="0" w:noHBand="0" w:noVBand="1" w:val="04A0"/>
      </w:tblPr>
      <w:tblGrid>
        <w:gridCol w:w="3475"/>
        <w:gridCol w:w="3475"/>
        <w:gridCol w:w="3475"/>
      </w:tblGrid>
      <w:tr>
        <w:tc>
          <w:tcPr>
            <w:tcW w:type="dxa" w:w="3402"/>
            <w:shd w:val="clear" w:fill="1F3864"/>
          </w:tcPr>
          <w:p>
            <w:r/>
            <w:r>
              <w:rPr>
                <w:b/>
                <w:color w:val="FFFFFF"/>
                <w:sz w:val="18"/>
              </w:rPr>
              <w:t>Volume</w:t>
            </w:r>
          </w:p>
        </w:tc>
        <w:tc>
          <w:tcPr>
            <w:tcW w:type="dxa" w:w="3231"/>
            <w:shd w:val="clear" w:fill="1F3864"/>
          </w:tcPr>
          <w:p>
            <w:r/>
            <w:r>
              <w:rPr>
                <w:b/>
                <w:color w:val="FFFFFF"/>
                <w:sz w:val="18"/>
              </w:rPr>
              <w:t>Prod (min)</w:t>
            </w:r>
          </w:p>
        </w:tc>
        <w:tc>
          <w:tcPr>
            <w:tcW w:type="dxa" w:w="3231"/>
            <w:shd w:val="clear" w:fill="1F3864"/>
          </w:tcPr>
          <w:p>
            <w:r/>
            <w:r>
              <w:rPr>
                <w:b/>
                <w:color w:val="FFFFFF"/>
                <w:sz w:val="18"/>
              </w:rPr>
              <w:t>Qual (min)</w:t>
            </w:r>
          </w:p>
        </w:tc>
      </w:tr>
      <w:tr>
        <w:tc>
          <w:tcPr>
            <w:tcW w:type="dxa" w:w="3402"/>
          </w:tcPr>
          <w:p>
            <w:pPr>
              <w:spacing w:after="20"/>
            </w:pPr>
            <w:r/>
            <w:r>
              <w:rPr>
                <w:b/>
                <w:sz w:val="18"/>
              </w:rPr>
              <w:t>Contenu (pulp)</w:t>
            </w:r>
          </w:p>
        </w:tc>
        <w:tc>
          <w:tcPr>
            <w:tcW w:type="dxa" w:w="3231"/>
          </w:tcPr>
          <w:p>
            <w:pPr>
              <w:spacing w:after="20"/>
              <w:jc w:val="center"/>
            </w:pPr>
            <w:r/>
            <w:r>
              <w:rPr>
                <w:b w:val="0"/>
                <w:sz w:val="18"/>
              </w:rPr>
              <w:t>500 Go</w:t>
            </w:r>
          </w:p>
        </w:tc>
        <w:tc>
          <w:tcPr>
            <w:tcW w:type="dxa" w:w="3231"/>
          </w:tcPr>
          <w:p>
            <w:pPr>
              <w:spacing w:after="20"/>
              <w:jc w:val="center"/>
            </w:pPr>
            <w:r/>
            <w:r>
              <w:rPr>
                <w:b w:val="0"/>
                <w:sz w:val="18"/>
              </w:rPr>
              <w:t>250 Go</w:t>
            </w:r>
          </w:p>
        </w:tc>
      </w:tr>
      <w:tr>
        <w:tc>
          <w:tcPr>
            <w:tcW w:type="dxa" w:w="3402"/>
          </w:tcPr>
          <w:p>
            <w:pPr>
              <w:spacing w:after="20"/>
            </w:pPr>
            <w:r/>
            <w:r>
              <w:rPr>
                <w:b/>
                <w:sz w:val="18"/>
              </w:rPr>
              <w:t>Base de données</w:t>
            </w:r>
          </w:p>
        </w:tc>
        <w:tc>
          <w:tcPr>
            <w:tcW w:type="dxa" w:w="3231"/>
          </w:tcPr>
          <w:p>
            <w:pPr>
              <w:spacing w:after="20"/>
              <w:jc w:val="center"/>
            </w:pPr>
            <w:r/>
            <w:r>
              <w:rPr>
                <w:b w:val="0"/>
                <w:sz w:val="18"/>
              </w:rPr>
              <w:t>100 Go</w:t>
            </w:r>
          </w:p>
        </w:tc>
        <w:tc>
          <w:tcPr>
            <w:tcW w:type="dxa" w:w="3231"/>
          </w:tcPr>
          <w:p>
            <w:pPr>
              <w:spacing w:after="20"/>
              <w:jc w:val="center"/>
            </w:pPr>
            <w:r/>
            <w:r>
              <w:rPr>
                <w:b w:val="0"/>
                <w:sz w:val="18"/>
              </w:rPr>
              <w:t>50 Go</w:t>
            </w:r>
          </w:p>
        </w:tc>
      </w:tr>
      <w:tr>
        <w:tc>
          <w:tcPr>
            <w:tcW w:type="dxa" w:w="3402"/>
          </w:tcPr>
          <w:p>
            <w:pPr>
              <w:spacing w:after="20"/>
            </w:pPr>
            <w:r/>
            <w:r>
              <w:rPr>
                <w:b/>
                <w:sz w:val="18"/>
              </w:rPr>
              <w:t>Journaux</w:t>
            </w:r>
          </w:p>
        </w:tc>
        <w:tc>
          <w:tcPr>
            <w:tcW w:type="dxa" w:w="3231"/>
          </w:tcPr>
          <w:p>
            <w:pPr>
              <w:spacing w:after="20"/>
              <w:jc w:val="center"/>
            </w:pPr>
            <w:r/>
            <w:r>
              <w:rPr>
                <w:b w:val="0"/>
                <w:sz w:val="18"/>
              </w:rPr>
              <w:t>30 Go</w:t>
            </w:r>
          </w:p>
        </w:tc>
        <w:tc>
          <w:tcPr>
            <w:tcW w:type="dxa" w:w="3231"/>
          </w:tcPr>
          <w:p>
            <w:pPr>
              <w:spacing w:after="20"/>
              <w:jc w:val="center"/>
            </w:pPr>
            <w:r/>
            <w:r>
              <w:rPr>
                <w:b w:val="0"/>
                <w:sz w:val="18"/>
              </w:rPr>
              <w:t>15 Go</w:t>
            </w:r>
          </w:p>
        </w:tc>
      </w:tr>
      <w:tr>
        <w:tc>
          <w:tcPr>
            <w:tcW w:type="dxa" w:w="3402"/>
          </w:tcPr>
          <w:p>
            <w:pPr>
              <w:spacing w:after="20"/>
            </w:pPr>
            <w:r/>
            <w:r>
              <w:rPr>
                <w:b/>
                <w:sz w:val="18"/>
              </w:rPr>
              <w:t>Système</w:t>
            </w:r>
          </w:p>
        </w:tc>
        <w:tc>
          <w:tcPr>
            <w:tcW w:type="dxa" w:w="3231"/>
          </w:tcPr>
          <w:p>
            <w:pPr>
              <w:spacing w:after="20"/>
              <w:jc w:val="center"/>
            </w:pPr>
            <w:r/>
            <w:r>
              <w:rPr>
                <w:b w:val="0"/>
                <w:sz w:val="18"/>
              </w:rPr>
              <w:t>60 Go</w:t>
            </w:r>
          </w:p>
        </w:tc>
        <w:tc>
          <w:tcPr>
            <w:tcW w:type="dxa" w:w="3231"/>
          </w:tcPr>
          <w:p>
            <w:pPr>
              <w:spacing w:after="20"/>
              <w:jc w:val="center"/>
            </w:pPr>
            <w:r/>
            <w:r>
              <w:rPr>
                <w:b w:val="0"/>
                <w:sz w:val="18"/>
              </w:rPr>
              <w:t>60 Go</w:t>
            </w:r>
          </w:p>
        </w:tc>
      </w:tr>
    </w:tbl>
    <w:p>
      <w:pPr>
        <w:spacing w:after="40"/>
      </w:pPr>
    </w:p>
    <w:tbl>
      <w:tblPr>
        <w:tblStyle w:val="TableGrid"/>
        <w:tblW w:type="auto" w:w="0"/>
        <w:tblLook w:firstColumn="1" w:firstRow="1" w:lastColumn="0" w:lastRow="0" w:noHBand="0" w:noVBand="1" w:val="04A0"/>
      </w:tblPr>
      <w:tblGrid>
        <w:gridCol w:w="10426"/>
      </w:tblGrid>
      <w:tr>
        <w:tc>
          <w:tcPr>
            <w:tcW w:type="dxa" w:w="10426"/>
            <w:shd w:val="clear" w:fill="F4F6FA"/>
          </w:tcPr>
          <w:p>
            <w:r/>
            <w:r>
              <w:rPr>
                <w:b/>
                <w:color w:val="1F3864"/>
                <w:sz w:val="19"/>
              </w:rPr>
              <w:t xml:space="preserve">Note — </w:t>
            </w:r>
            <w:r>
              <w:rPr>
                <w:i/>
                <w:color w:val="555555"/>
                <w:sz w:val="19"/>
              </w:rPr>
              <w:t xml:space="preserve"> Les volumes Satellite dépendent du contenu synchronisé ; 500 Go (pulp) est un minimum réaliste, à ajuster selon le nombre de dépôts. Cible de sauvegarde (~700 Go/env) hors de cette estimation VM.</w:t>
            </w:r>
          </w:p>
        </w:tc>
      </w:tr>
    </w:tbl>
    <w:p>
      <w:pPr>
        <w:spacing w:after="40"/>
      </w:pPr>
    </w:p>
    <w:p>
      <w:pPr>
        <w:spacing w:after="80"/>
        <w:pBdr>
          <w:bottom w:val="single" w:sz="6" w:space="1" w:color="1F3864"/>
        </w:pBdr>
      </w:pPr>
    </w:p>
    <w:p>
      <w:r>
        <w:br w:type="page"/>
      </w:r>
    </w:p>
    <w:tbl>
      <w:tblPr>
        <w:tblStyle w:val="TableGrid"/>
        <w:tblW w:type="auto" w:w="0"/>
        <w:tblLook w:firstColumn="1" w:firstRow="1" w:lastColumn="0" w:lastRow="0" w:noHBand="0" w:noVBand="1" w:val="04A0"/>
      </w:tblPr>
      <w:tblGrid>
        <w:gridCol w:w="10426"/>
      </w:tblGrid>
      <w:tr>
        <w:tc>
          <w:tcPr>
            <w:tcW w:type="dxa" w:w="10426"/>
            <w:shd w:val="clear" w:fill="1F3864"/>
          </w:tcPr>
          <w:p>
            <w:r/>
            <w:r>
              <w:rPr>
                <w:b/>
                <w:color w:val="FFFFFF"/>
                <w:sz w:val="22"/>
              </w:rPr>
              <w:t>PARC 2 · CLUSTER AAP 2.6 — PRODUCTION (11 VM) — MINIMUM</w:t>
            </w:r>
          </w:p>
        </w:tc>
      </w:tr>
    </w:tbl>
    <w:p>
      <w:pPr>
        <w:spacing w:after="20"/>
      </w:pPr>
    </w:p>
    <w:p>
      <w:pPr>
        <w:spacing w:after="60" w:before="0"/>
      </w:pPr>
      <w:r>
        <w:rPr>
          <w:b w:val="0"/>
          <w:i/>
          <w:color w:val="555555"/>
          <w:sz w:val="19"/>
        </w:rPr>
        <w:t>RAM et disque au plancher sourcé (16 Go / 60 Go). vCPU au minimum technique (2). PostgreSQL externe et Redis colocalisé : hors de cette commande.</w:t>
      </w:r>
    </w:p>
    <w:tbl>
      <w:tblPr>
        <w:tblStyle w:val="TableGrid"/>
        <w:tblW w:type="auto" w:w="0"/>
        <w:tblLayout w:type="fixed"/>
        <w:tblLook w:firstColumn="1" w:firstRow="1" w:lastColumn="0" w:lastRow="0" w:noHBand="0" w:noVBand="1" w:val="04A0"/>
      </w:tblPr>
      <w:tblGrid>
        <w:gridCol w:w="1738"/>
        <w:gridCol w:w="1738"/>
        <w:gridCol w:w="1738"/>
        <w:gridCol w:w="1738"/>
        <w:gridCol w:w="1738"/>
        <w:gridCol w:w="1738"/>
      </w:tblGrid>
      <w:tr>
        <w:tc>
          <w:tcPr>
            <w:tcW w:type="dxa" w:w="1701"/>
            <w:shd w:val="clear" w:fill="1F3864"/>
          </w:tcPr>
          <w:p>
            <w:r/>
            <w:r>
              <w:rPr>
                <w:b/>
                <w:color w:val="FFFFFF"/>
                <w:sz w:val="18"/>
              </w:rPr>
              <w:t>Réf. VM</w:t>
            </w:r>
          </w:p>
        </w:tc>
        <w:tc>
          <w:tcPr>
            <w:tcW w:type="dxa" w:w="2268"/>
            <w:shd w:val="clear" w:fill="1F3864"/>
          </w:tcPr>
          <w:p>
            <w:r/>
            <w:r>
              <w:rPr>
                <w:b/>
                <w:color w:val="FFFFFF"/>
                <w:sz w:val="18"/>
              </w:rPr>
              <w:t>Rôle</w:t>
            </w:r>
          </w:p>
        </w:tc>
        <w:tc>
          <w:tcPr>
            <w:tcW w:type="dxa" w:w="1077"/>
            <w:shd w:val="clear" w:fill="1F3864"/>
          </w:tcPr>
          <w:p>
            <w:r/>
            <w:r>
              <w:rPr>
                <w:b/>
                <w:color w:val="FFFFFF"/>
                <w:sz w:val="18"/>
              </w:rPr>
              <w:t>vCPU (min)</w:t>
            </w:r>
          </w:p>
        </w:tc>
        <w:tc>
          <w:tcPr>
            <w:tcW w:type="dxa" w:w="1417"/>
            <w:shd w:val="clear" w:fill="1F3864"/>
          </w:tcPr>
          <w:p>
            <w:r/>
            <w:r>
              <w:rPr>
                <w:b/>
                <w:color w:val="FFFFFF"/>
                <w:sz w:val="18"/>
              </w:rPr>
              <w:t>RAM (min)</w:t>
            </w:r>
          </w:p>
        </w:tc>
        <w:tc>
          <w:tcPr>
            <w:tcW w:type="dxa" w:w="1417"/>
            <w:shd w:val="clear" w:fill="1F3864"/>
          </w:tcPr>
          <w:p>
            <w:r/>
            <w:r>
              <w:rPr>
                <w:b/>
                <w:color w:val="FFFFFF"/>
                <w:sz w:val="18"/>
              </w:rPr>
              <w:t>Disque (min)</w:t>
            </w:r>
          </w:p>
        </w:tc>
        <w:tc>
          <w:tcPr>
            <w:tcW w:type="dxa" w:w="1984"/>
            <w:shd w:val="clear" w:fill="1F3864"/>
          </w:tcPr>
          <w:p>
            <w:r/>
            <w:r>
              <w:rPr>
                <w:b/>
                <w:color w:val="FFFFFF"/>
                <w:sz w:val="18"/>
              </w:rPr>
              <w:t>Réseau</w:t>
            </w:r>
          </w:p>
        </w:tc>
      </w:tr>
      <w:tr>
        <w:tc>
          <w:tcPr>
            <w:tcW w:type="dxa" w:w="1701"/>
          </w:tcPr>
          <w:p>
            <w:pPr>
              <w:spacing w:after="20"/>
            </w:pPr>
            <w:r/>
            <w:r>
              <w:rPr>
                <w:b/>
                <w:sz w:val="18"/>
              </w:rPr>
              <w:t>AAP-P-GW-01</w:t>
            </w:r>
          </w:p>
        </w:tc>
        <w:tc>
          <w:tcPr>
            <w:tcW w:type="dxa" w:w="2268"/>
          </w:tcPr>
          <w:p>
            <w:pPr>
              <w:spacing w:after="20"/>
            </w:pPr>
            <w:r/>
            <w:r>
              <w:rPr>
                <w:b w:val="0"/>
                <w:sz w:val="18"/>
              </w:rPr>
              <w:t>Passerelle</w:t>
            </w:r>
          </w:p>
        </w:tc>
        <w:tc>
          <w:tcPr>
            <w:tcW w:type="dxa" w:w="1077"/>
          </w:tcPr>
          <w:p>
            <w:pPr>
              <w:spacing w:after="20"/>
              <w:jc w:val="center"/>
            </w:pPr>
            <w:r/>
            <w:r>
              <w:rPr>
                <w:b w:val="0"/>
                <w:color w:val="8A2B06"/>
                <w:sz w:val="18"/>
              </w:rPr>
              <w:t>2 ○</w:t>
            </w:r>
          </w:p>
        </w:tc>
        <w:tc>
          <w:tcPr>
            <w:tcW w:type="dxa" w:w="1417"/>
          </w:tcPr>
          <w:p>
            <w:pPr>
              <w:spacing w:after="20"/>
              <w:jc w:val="center"/>
            </w:pPr>
            <w:r/>
            <w:r>
              <w:rPr>
                <w:b w:val="0"/>
                <w:sz w:val="18"/>
              </w:rPr>
              <w:t>16 Go ★</w:t>
            </w:r>
          </w:p>
        </w:tc>
        <w:tc>
          <w:tcPr>
            <w:tcW w:type="dxa" w:w="1417"/>
          </w:tcPr>
          <w:p>
            <w:pPr>
              <w:spacing w:after="20"/>
              <w:jc w:val="center"/>
            </w:pPr>
            <w:r/>
            <w:r>
              <w:rPr>
                <w:b w:val="0"/>
                <w:sz w:val="18"/>
              </w:rPr>
              <w:t>60 Go ★</w:t>
            </w:r>
          </w:p>
        </w:tc>
        <w:tc>
          <w:tcPr>
            <w:tcW w:type="dxa" w:w="1984"/>
          </w:tcPr>
          <w:p>
            <w:pPr>
              <w:spacing w:after="20"/>
            </w:pPr>
            <w:r/>
            <w:r>
              <w:rPr>
                <w:b w:val="0"/>
                <w:sz w:val="17"/>
              </w:rPr>
              <w:t>VLAN prod (NET-01)</w:t>
            </w:r>
          </w:p>
          <w:p>
            <w:pPr>
              <w:spacing w:after="20"/>
            </w:pPr>
            <w:r>
              <w:rPr>
                <w:b w:val="0"/>
                <w:sz w:val="17"/>
              </w:rPr>
              <w:t>IP + FQDN (AD-01)</w:t>
            </w:r>
          </w:p>
        </w:tc>
      </w:tr>
      <w:tr>
        <w:tc>
          <w:tcPr>
            <w:tcW w:type="dxa" w:w="1701"/>
          </w:tcPr>
          <w:p>
            <w:pPr>
              <w:spacing w:after="20"/>
            </w:pPr>
            <w:r/>
            <w:r>
              <w:rPr>
                <w:b/>
                <w:sz w:val="18"/>
              </w:rPr>
              <w:t>AAP-P-GW-02</w:t>
            </w:r>
          </w:p>
        </w:tc>
        <w:tc>
          <w:tcPr>
            <w:tcW w:type="dxa" w:w="2268"/>
          </w:tcPr>
          <w:p>
            <w:pPr>
              <w:spacing w:after="20"/>
            </w:pPr>
            <w:r/>
            <w:r>
              <w:rPr>
                <w:b w:val="0"/>
                <w:sz w:val="18"/>
              </w:rPr>
              <w:t>Passerelle</w:t>
            </w:r>
          </w:p>
        </w:tc>
        <w:tc>
          <w:tcPr>
            <w:tcW w:type="dxa" w:w="1077"/>
          </w:tcPr>
          <w:p>
            <w:pPr>
              <w:spacing w:after="20"/>
              <w:jc w:val="center"/>
            </w:pPr>
            <w:r/>
            <w:r>
              <w:rPr>
                <w:b w:val="0"/>
                <w:color w:val="8A2B06"/>
                <w:sz w:val="18"/>
              </w:rPr>
              <w:t>2 ○</w:t>
            </w:r>
          </w:p>
        </w:tc>
        <w:tc>
          <w:tcPr>
            <w:tcW w:type="dxa" w:w="1417"/>
          </w:tcPr>
          <w:p>
            <w:pPr>
              <w:spacing w:after="20"/>
              <w:jc w:val="center"/>
            </w:pPr>
            <w:r/>
            <w:r>
              <w:rPr>
                <w:b w:val="0"/>
                <w:sz w:val="18"/>
              </w:rPr>
              <w:t>16 Go ★</w:t>
            </w:r>
          </w:p>
        </w:tc>
        <w:tc>
          <w:tcPr>
            <w:tcW w:type="dxa" w:w="1417"/>
          </w:tcPr>
          <w:p>
            <w:pPr>
              <w:spacing w:after="20"/>
              <w:jc w:val="center"/>
            </w:pPr>
            <w:r/>
            <w:r>
              <w:rPr>
                <w:b w:val="0"/>
                <w:sz w:val="18"/>
              </w:rPr>
              <w:t>60 Go ★</w:t>
            </w:r>
          </w:p>
        </w:tc>
        <w:tc>
          <w:tcPr>
            <w:tcW w:type="dxa" w:w="1984"/>
          </w:tcPr>
          <w:p>
            <w:pPr>
              <w:spacing w:after="20"/>
            </w:pPr>
            <w:r/>
            <w:r>
              <w:rPr>
                <w:b w:val="0"/>
                <w:sz w:val="17"/>
              </w:rPr>
              <w:t>VLAN prod (NET-01)</w:t>
            </w:r>
          </w:p>
          <w:p>
            <w:pPr>
              <w:spacing w:after="20"/>
            </w:pPr>
            <w:r>
              <w:rPr>
                <w:b w:val="0"/>
                <w:sz w:val="17"/>
              </w:rPr>
              <w:t>IP + FQDN (AD-01)</w:t>
            </w:r>
          </w:p>
        </w:tc>
      </w:tr>
      <w:tr>
        <w:tc>
          <w:tcPr>
            <w:tcW w:type="dxa" w:w="1701"/>
          </w:tcPr>
          <w:p>
            <w:pPr>
              <w:spacing w:after="20"/>
            </w:pPr>
            <w:r/>
            <w:r>
              <w:rPr>
                <w:b/>
                <w:sz w:val="18"/>
              </w:rPr>
              <w:t>AAP-P-CTL-01</w:t>
            </w:r>
          </w:p>
        </w:tc>
        <w:tc>
          <w:tcPr>
            <w:tcW w:type="dxa" w:w="2268"/>
          </w:tcPr>
          <w:p>
            <w:pPr>
              <w:spacing w:after="20"/>
            </w:pPr>
            <w:r/>
            <w:r>
              <w:rPr>
                <w:b w:val="0"/>
                <w:sz w:val="18"/>
              </w:rPr>
              <w:t>Contrôleur</w:t>
            </w:r>
          </w:p>
        </w:tc>
        <w:tc>
          <w:tcPr>
            <w:tcW w:type="dxa" w:w="1077"/>
          </w:tcPr>
          <w:p>
            <w:pPr>
              <w:spacing w:after="20"/>
              <w:jc w:val="center"/>
            </w:pPr>
            <w:r/>
            <w:r>
              <w:rPr>
                <w:b w:val="0"/>
                <w:color w:val="8A2B06"/>
                <w:sz w:val="18"/>
              </w:rPr>
              <w:t>2 ○</w:t>
            </w:r>
          </w:p>
        </w:tc>
        <w:tc>
          <w:tcPr>
            <w:tcW w:type="dxa" w:w="1417"/>
          </w:tcPr>
          <w:p>
            <w:pPr>
              <w:spacing w:after="20"/>
              <w:jc w:val="center"/>
            </w:pPr>
            <w:r/>
            <w:r>
              <w:rPr>
                <w:b w:val="0"/>
                <w:sz w:val="18"/>
              </w:rPr>
              <w:t>16 Go ★</w:t>
            </w:r>
          </w:p>
        </w:tc>
        <w:tc>
          <w:tcPr>
            <w:tcW w:type="dxa" w:w="1417"/>
          </w:tcPr>
          <w:p>
            <w:pPr>
              <w:spacing w:after="20"/>
              <w:jc w:val="center"/>
            </w:pPr>
            <w:r/>
            <w:r>
              <w:rPr>
                <w:b w:val="0"/>
                <w:sz w:val="18"/>
              </w:rPr>
              <w:t>60 Go ★</w:t>
            </w:r>
          </w:p>
        </w:tc>
        <w:tc>
          <w:tcPr>
            <w:tcW w:type="dxa" w:w="1984"/>
          </w:tcPr>
          <w:p>
            <w:pPr>
              <w:spacing w:after="20"/>
            </w:pPr>
            <w:r/>
            <w:r>
              <w:rPr>
                <w:b w:val="0"/>
                <w:sz w:val="17"/>
              </w:rPr>
              <w:t>VLAN prod (NET-01)</w:t>
            </w:r>
          </w:p>
          <w:p>
            <w:pPr>
              <w:spacing w:after="20"/>
            </w:pPr>
            <w:r>
              <w:rPr>
                <w:b w:val="0"/>
                <w:sz w:val="17"/>
              </w:rPr>
              <w:t>IP + FQDN (AD-01)</w:t>
            </w:r>
          </w:p>
        </w:tc>
      </w:tr>
      <w:tr>
        <w:tc>
          <w:tcPr>
            <w:tcW w:type="dxa" w:w="1701"/>
          </w:tcPr>
          <w:p>
            <w:pPr>
              <w:spacing w:after="20"/>
            </w:pPr>
            <w:r/>
            <w:r>
              <w:rPr>
                <w:b/>
                <w:sz w:val="18"/>
              </w:rPr>
              <w:t>AAP-P-CTL-02</w:t>
            </w:r>
          </w:p>
        </w:tc>
        <w:tc>
          <w:tcPr>
            <w:tcW w:type="dxa" w:w="2268"/>
          </w:tcPr>
          <w:p>
            <w:pPr>
              <w:spacing w:after="20"/>
            </w:pPr>
            <w:r/>
            <w:r>
              <w:rPr>
                <w:b w:val="0"/>
                <w:sz w:val="18"/>
              </w:rPr>
              <w:t>Contrôleur</w:t>
            </w:r>
          </w:p>
        </w:tc>
        <w:tc>
          <w:tcPr>
            <w:tcW w:type="dxa" w:w="1077"/>
          </w:tcPr>
          <w:p>
            <w:pPr>
              <w:spacing w:after="20"/>
              <w:jc w:val="center"/>
            </w:pPr>
            <w:r/>
            <w:r>
              <w:rPr>
                <w:b w:val="0"/>
                <w:color w:val="8A2B06"/>
                <w:sz w:val="18"/>
              </w:rPr>
              <w:t>2 ○</w:t>
            </w:r>
          </w:p>
        </w:tc>
        <w:tc>
          <w:tcPr>
            <w:tcW w:type="dxa" w:w="1417"/>
          </w:tcPr>
          <w:p>
            <w:pPr>
              <w:spacing w:after="20"/>
              <w:jc w:val="center"/>
            </w:pPr>
            <w:r/>
            <w:r>
              <w:rPr>
                <w:b w:val="0"/>
                <w:sz w:val="18"/>
              </w:rPr>
              <w:t>16 Go ★</w:t>
            </w:r>
          </w:p>
        </w:tc>
        <w:tc>
          <w:tcPr>
            <w:tcW w:type="dxa" w:w="1417"/>
          </w:tcPr>
          <w:p>
            <w:pPr>
              <w:spacing w:after="20"/>
              <w:jc w:val="center"/>
            </w:pPr>
            <w:r/>
            <w:r>
              <w:rPr>
                <w:b w:val="0"/>
                <w:sz w:val="18"/>
              </w:rPr>
              <w:t>60 Go ★</w:t>
            </w:r>
          </w:p>
        </w:tc>
        <w:tc>
          <w:tcPr>
            <w:tcW w:type="dxa" w:w="1984"/>
          </w:tcPr>
          <w:p>
            <w:pPr>
              <w:spacing w:after="20"/>
            </w:pPr>
            <w:r/>
            <w:r>
              <w:rPr>
                <w:b w:val="0"/>
                <w:sz w:val="17"/>
              </w:rPr>
              <w:t>VLAN prod (NET-01)</w:t>
            </w:r>
          </w:p>
          <w:p>
            <w:pPr>
              <w:spacing w:after="20"/>
            </w:pPr>
            <w:r>
              <w:rPr>
                <w:b w:val="0"/>
                <w:sz w:val="17"/>
              </w:rPr>
              <w:t>IP + FQDN (AD-01)</w:t>
            </w:r>
          </w:p>
        </w:tc>
      </w:tr>
      <w:tr>
        <w:tc>
          <w:tcPr>
            <w:tcW w:type="dxa" w:w="1701"/>
          </w:tcPr>
          <w:p>
            <w:pPr>
              <w:spacing w:after="20"/>
            </w:pPr>
            <w:r/>
            <w:r>
              <w:rPr>
                <w:b/>
                <w:sz w:val="18"/>
              </w:rPr>
              <w:t>AAP-P-HUB-01</w:t>
            </w:r>
          </w:p>
        </w:tc>
        <w:tc>
          <w:tcPr>
            <w:tcW w:type="dxa" w:w="2268"/>
          </w:tcPr>
          <w:p>
            <w:pPr>
              <w:spacing w:after="20"/>
            </w:pPr>
            <w:r/>
            <w:r>
              <w:rPr>
                <w:b w:val="0"/>
                <w:sz w:val="18"/>
              </w:rPr>
              <w:t>Hub de contenu</w:t>
            </w:r>
          </w:p>
        </w:tc>
        <w:tc>
          <w:tcPr>
            <w:tcW w:type="dxa" w:w="1077"/>
          </w:tcPr>
          <w:p>
            <w:pPr>
              <w:spacing w:after="20"/>
              <w:jc w:val="center"/>
            </w:pPr>
            <w:r/>
            <w:r>
              <w:rPr>
                <w:b w:val="0"/>
                <w:color w:val="8A2B06"/>
                <w:sz w:val="18"/>
              </w:rPr>
              <w:t>2 ○</w:t>
            </w:r>
          </w:p>
        </w:tc>
        <w:tc>
          <w:tcPr>
            <w:tcW w:type="dxa" w:w="1417"/>
          </w:tcPr>
          <w:p>
            <w:pPr>
              <w:spacing w:after="20"/>
              <w:jc w:val="center"/>
            </w:pPr>
            <w:r/>
            <w:r>
              <w:rPr>
                <w:b w:val="0"/>
                <w:sz w:val="18"/>
              </w:rPr>
              <w:t>16 Go ★</w:t>
            </w:r>
          </w:p>
        </w:tc>
        <w:tc>
          <w:tcPr>
            <w:tcW w:type="dxa" w:w="1417"/>
          </w:tcPr>
          <w:p>
            <w:pPr>
              <w:spacing w:after="20"/>
              <w:jc w:val="center"/>
            </w:pPr>
            <w:r/>
            <w:r>
              <w:rPr>
                <w:b w:val="0"/>
                <w:sz w:val="18"/>
              </w:rPr>
              <w:t>60 Go ★</w:t>
            </w:r>
          </w:p>
        </w:tc>
        <w:tc>
          <w:tcPr>
            <w:tcW w:type="dxa" w:w="1984"/>
          </w:tcPr>
          <w:p>
            <w:pPr>
              <w:spacing w:after="20"/>
            </w:pPr>
            <w:r/>
            <w:r>
              <w:rPr>
                <w:b w:val="0"/>
                <w:sz w:val="17"/>
              </w:rPr>
              <w:t>VLAN prod (NET-01)</w:t>
            </w:r>
          </w:p>
          <w:p>
            <w:pPr>
              <w:spacing w:after="20"/>
            </w:pPr>
            <w:r>
              <w:rPr>
                <w:b w:val="0"/>
                <w:sz w:val="17"/>
              </w:rPr>
              <w:t>IP + FQDN (AD-01)</w:t>
            </w:r>
          </w:p>
        </w:tc>
      </w:tr>
      <w:tr>
        <w:tc>
          <w:tcPr>
            <w:tcW w:type="dxa" w:w="1701"/>
          </w:tcPr>
          <w:p>
            <w:pPr>
              <w:spacing w:after="20"/>
            </w:pPr>
            <w:r/>
            <w:r>
              <w:rPr>
                <w:b/>
                <w:sz w:val="18"/>
              </w:rPr>
              <w:t>AAP-P-HUB-02</w:t>
            </w:r>
          </w:p>
        </w:tc>
        <w:tc>
          <w:tcPr>
            <w:tcW w:type="dxa" w:w="2268"/>
          </w:tcPr>
          <w:p>
            <w:pPr>
              <w:spacing w:after="20"/>
            </w:pPr>
            <w:r/>
            <w:r>
              <w:rPr>
                <w:b w:val="0"/>
                <w:sz w:val="18"/>
              </w:rPr>
              <w:t>Hub de contenu</w:t>
            </w:r>
          </w:p>
        </w:tc>
        <w:tc>
          <w:tcPr>
            <w:tcW w:type="dxa" w:w="1077"/>
          </w:tcPr>
          <w:p>
            <w:pPr>
              <w:spacing w:after="20"/>
              <w:jc w:val="center"/>
            </w:pPr>
            <w:r/>
            <w:r>
              <w:rPr>
                <w:b w:val="0"/>
                <w:color w:val="8A2B06"/>
                <w:sz w:val="18"/>
              </w:rPr>
              <w:t>2 ○</w:t>
            </w:r>
          </w:p>
        </w:tc>
        <w:tc>
          <w:tcPr>
            <w:tcW w:type="dxa" w:w="1417"/>
          </w:tcPr>
          <w:p>
            <w:pPr>
              <w:spacing w:after="20"/>
              <w:jc w:val="center"/>
            </w:pPr>
            <w:r/>
            <w:r>
              <w:rPr>
                <w:b w:val="0"/>
                <w:sz w:val="18"/>
              </w:rPr>
              <w:t>16 Go ★</w:t>
            </w:r>
          </w:p>
        </w:tc>
        <w:tc>
          <w:tcPr>
            <w:tcW w:type="dxa" w:w="1417"/>
          </w:tcPr>
          <w:p>
            <w:pPr>
              <w:spacing w:after="20"/>
              <w:jc w:val="center"/>
            </w:pPr>
            <w:r/>
            <w:r>
              <w:rPr>
                <w:b w:val="0"/>
                <w:sz w:val="18"/>
              </w:rPr>
              <w:t>60 Go ★</w:t>
            </w:r>
          </w:p>
        </w:tc>
        <w:tc>
          <w:tcPr>
            <w:tcW w:type="dxa" w:w="1984"/>
          </w:tcPr>
          <w:p>
            <w:pPr>
              <w:spacing w:after="20"/>
            </w:pPr>
            <w:r/>
            <w:r>
              <w:rPr>
                <w:b w:val="0"/>
                <w:sz w:val="17"/>
              </w:rPr>
              <w:t>VLAN prod (NET-01)</w:t>
            </w:r>
          </w:p>
          <w:p>
            <w:pPr>
              <w:spacing w:after="20"/>
            </w:pPr>
            <w:r>
              <w:rPr>
                <w:b w:val="0"/>
                <w:sz w:val="17"/>
              </w:rPr>
              <w:t>IP + FQDN (AD-01)</w:t>
            </w:r>
          </w:p>
        </w:tc>
      </w:tr>
      <w:tr>
        <w:tc>
          <w:tcPr>
            <w:tcW w:type="dxa" w:w="1701"/>
          </w:tcPr>
          <w:p>
            <w:pPr>
              <w:spacing w:after="20"/>
            </w:pPr>
            <w:r/>
            <w:r>
              <w:rPr>
                <w:b/>
                <w:sz w:val="18"/>
              </w:rPr>
              <w:t>AAP-P-EDA-01</w:t>
            </w:r>
          </w:p>
        </w:tc>
        <w:tc>
          <w:tcPr>
            <w:tcW w:type="dxa" w:w="2268"/>
          </w:tcPr>
          <w:p>
            <w:pPr>
              <w:spacing w:after="20"/>
            </w:pPr>
            <w:r/>
            <w:r>
              <w:rPr>
                <w:b w:val="0"/>
                <w:sz w:val="18"/>
              </w:rPr>
              <w:t>Moteur d'événements</w:t>
            </w:r>
          </w:p>
        </w:tc>
        <w:tc>
          <w:tcPr>
            <w:tcW w:type="dxa" w:w="1077"/>
          </w:tcPr>
          <w:p>
            <w:pPr>
              <w:spacing w:after="20"/>
              <w:jc w:val="center"/>
            </w:pPr>
            <w:r/>
            <w:r>
              <w:rPr>
                <w:b w:val="0"/>
                <w:color w:val="8A2B06"/>
                <w:sz w:val="18"/>
              </w:rPr>
              <w:t>2 ○</w:t>
            </w:r>
          </w:p>
        </w:tc>
        <w:tc>
          <w:tcPr>
            <w:tcW w:type="dxa" w:w="1417"/>
          </w:tcPr>
          <w:p>
            <w:pPr>
              <w:spacing w:after="20"/>
              <w:jc w:val="center"/>
            </w:pPr>
            <w:r/>
            <w:r>
              <w:rPr>
                <w:b w:val="0"/>
                <w:sz w:val="18"/>
              </w:rPr>
              <w:t>16 Go ★</w:t>
            </w:r>
          </w:p>
        </w:tc>
        <w:tc>
          <w:tcPr>
            <w:tcW w:type="dxa" w:w="1417"/>
          </w:tcPr>
          <w:p>
            <w:pPr>
              <w:spacing w:after="20"/>
              <w:jc w:val="center"/>
            </w:pPr>
            <w:r/>
            <w:r>
              <w:rPr>
                <w:b w:val="0"/>
                <w:sz w:val="18"/>
              </w:rPr>
              <w:t>60 Go ★</w:t>
            </w:r>
          </w:p>
        </w:tc>
        <w:tc>
          <w:tcPr>
            <w:tcW w:type="dxa" w:w="1984"/>
          </w:tcPr>
          <w:p>
            <w:pPr>
              <w:spacing w:after="20"/>
            </w:pPr>
            <w:r/>
            <w:r>
              <w:rPr>
                <w:b w:val="0"/>
                <w:sz w:val="17"/>
              </w:rPr>
              <w:t>VLAN prod (NET-01)</w:t>
            </w:r>
          </w:p>
          <w:p>
            <w:pPr>
              <w:spacing w:after="20"/>
            </w:pPr>
            <w:r>
              <w:rPr>
                <w:b w:val="0"/>
                <w:sz w:val="17"/>
              </w:rPr>
              <w:t>IP + FQDN (AD-01)</w:t>
            </w:r>
          </w:p>
        </w:tc>
      </w:tr>
      <w:tr>
        <w:tc>
          <w:tcPr>
            <w:tcW w:type="dxa" w:w="1701"/>
          </w:tcPr>
          <w:p>
            <w:pPr>
              <w:spacing w:after="20"/>
            </w:pPr>
            <w:r/>
            <w:r>
              <w:rPr>
                <w:b/>
                <w:sz w:val="18"/>
              </w:rPr>
              <w:t>AAP-P-EDA-02</w:t>
            </w:r>
          </w:p>
        </w:tc>
        <w:tc>
          <w:tcPr>
            <w:tcW w:type="dxa" w:w="2268"/>
          </w:tcPr>
          <w:p>
            <w:pPr>
              <w:spacing w:after="20"/>
            </w:pPr>
            <w:r/>
            <w:r>
              <w:rPr>
                <w:b w:val="0"/>
                <w:sz w:val="18"/>
              </w:rPr>
              <w:t>Moteur d'événements</w:t>
            </w:r>
          </w:p>
        </w:tc>
        <w:tc>
          <w:tcPr>
            <w:tcW w:type="dxa" w:w="1077"/>
          </w:tcPr>
          <w:p>
            <w:pPr>
              <w:spacing w:after="20"/>
              <w:jc w:val="center"/>
            </w:pPr>
            <w:r/>
            <w:r>
              <w:rPr>
                <w:b w:val="0"/>
                <w:color w:val="8A2B06"/>
                <w:sz w:val="18"/>
              </w:rPr>
              <w:t>2 ○</w:t>
            </w:r>
          </w:p>
        </w:tc>
        <w:tc>
          <w:tcPr>
            <w:tcW w:type="dxa" w:w="1417"/>
          </w:tcPr>
          <w:p>
            <w:pPr>
              <w:spacing w:after="20"/>
              <w:jc w:val="center"/>
            </w:pPr>
            <w:r/>
            <w:r>
              <w:rPr>
                <w:b w:val="0"/>
                <w:sz w:val="18"/>
              </w:rPr>
              <w:t>16 Go ★</w:t>
            </w:r>
          </w:p>
        </w:tc>
        <w:tc>
          <w:tcPr>
            <w:tcW w:type="dxa" w:w="1417"/>
          </w:tcPr>
          <w:p>
            <w:pPr>
              <w:spacing w:after="20"/>
              <w:jc w:val="center"/>
            </w:pPr>
            <w:r/>
            <w:r>
              <w:rPr>
                <w:b w:val="0"/>
                <w:sz w:val="18"/>
              </w:rPr>
              <w:t>60 Go ★</w:t>
            </w:r>
          </w:p>
        </w:tc>
        <w:tc>
          <w:tcPr>
            <w:tcW w:type="dxa" w:w="1984"/>
          </w:tcPr>
          <w:p>
            <w:pPr>
              <w:spacing w:after="20"/>
            </w:pPr>
            <w:r/>
            <w:r>
              <w:rPr>
                <w:b w:val="0"/>
                <w:sz w:val="17"/>
              </w:rPr>
              <w:t>VLAN prod (NET-01)</w:t>
            </w:r>
          </w:p>
          <w:p>
            <w:pPr>
              <w:spacing w:after="20"/>
            </w:pPr>
            <w:r>
              <w:rPr>
                <w:b w:val="0"/>
                <w:sz w:val="17"/>
              </w:rPr>
              <w:t>IP + FQDN (AD-01)</w:t>
            </w:r>
          </w:p>
        </w:tc>
      </w:tr>
      <w:tr>
        <w:tc>
          <w:tcPr>
            <w:tcW w:type="dxa" w:w="1701"/>
          </w:tcPr>
          <w:p>
            <w:pPr>
              <w:spacing w:after="20"/>
            </w:pPr>
            <w:r/>
            <w:r>
              <w:rPr>
                <w:b/>
                <w:sz w:val="18"/>
              </w:rPr>
              <w:t>AAP-P-HOP-01</w:t>
            </w:r>
          </w:p>
        </w:tc>
        <w:tc>
          <w:tcPr>
            <w:tcW w:type="dxa" w:w="2268"/>
          </w:tcPr>
          <w:p>
            <w:pPr>
              <w:spacing w:after="20"/>
            </w:pPr>
            <w:r/>
            <w:r>
              <w:rPr>
                <w:b w:val="0"/>
                <w:sz w:val="18"/>
              </w:rPr>
              <w:t>Nœud de rebond</w:t>
            </w:r>
          </w:p>
        </w:tc>
        <w:tc>
          <w:tcPr>
            <w:tcW w:type="dxa" w:w="1077"/>
          </w:tcPr>
          <w:p>
            <w:pPr>
              <w:spacing w:after="20"/>
              <w:jc w:val="center"/>
            </w:pPr>
            <w:r/>
            <w:r>
              <w:rPr>
                <w:b w:val="0"/>
                <w:color w:val="8A2B06"/>
                <w:sz w:val="18"/>
              </w:rPr>
              <w:t>2 ○</w:t>
            </w:r>
          </w:p>
        </w:tc>
        <w:tc>
          <w:tcPr>
            <w:tcW w:type="dxa" w:w="1417"/>
          </w:tcPr>
          <w:p>
            <w:pPr>
              <w:spacing w:after="20"/>
              <w:jc w:val="center"/>
            </w:pPr>
            <w:r/>
            <w:r>
              <w:rPr>
                <w:b w:val="0"/>
                <w:sz w:val="18"/>
              </w:rPr>
              <w:t>8 Go ○</w:t>
            </w:r>
          </w:p>
        </w:tc>
        <w:tc>
          <w:tcPr>
            <w:tcW w:type="dxa" w:w="1417"/>
          </w:tcPr>
          <w:p>
            <w:pPr>
              <w:spacing w:after="20"/>
              <w:jc w:val="center"/>
            </w:pPr>
            <w:r/>
            <w:r>
              <w:rPr>
                <w:b w:val="0"/>
                <w:sz w:val="18"/>
              </w:rPr>
              <w:t>60 Go ★</w:t>
            </w:r>
          </w:p>
        </w:tc>
        <w:tc>
          <w:tcPr>
            <w:tcW w:type="dxa" w:w="1984"/>
          </w:tcPr>
          <w:p>
            <w:pPr>
              <w:spacing w:after="20"/>
            </w:pPr>
            <w:r/>
            <w:r>
              <w:rPr>
                <w:b w:val="0"/>
                <w:sz w:val="17"/>
              </w:rPr>
              <w:t>VLAN prod (NET-01)</w:t>
            </w:r>
          </w:p>
          <w:p>
            <w:pPr>
              <w:spacing w:after="20"/>
            </w:pPr>
            <w:r>
              <w:rPr>
                <w:b w:val="0"/>
                <w:sz w:val="17"/>
              </w:rPr>
              <w:t>IP + FQDN (AD-01)</w:t>
            </w:r>
          </w:p>
        </w:tc>
      </w:tr>
      <w:tr>
        <w:tc>
          <w:tcPr>
            <w:tcW w:type="dxa" w:w="1701"/>
          </w:tcPr>
          <w:p>
            <w:pPr>
              <w:spacing w:after="20"/>
            </w:pPr>
            <w:r/>
            <w:r>
              <w:rPr>
                <w:b/>
                <w:sz w:val="18"/>
              </w:rPr>
              <w:t>AAP-P-EXE-01</w:t>
            </w:r>
          </w:p>
        </w:tc>
        <w:tc>
          <w:tcPr>
            <w:tcW w:type="dxa" w:w="2268"/>
          </w:tcPr>
          <w:p>
            <w:pPr>
              <w:spacing w:after="20"/>
            </w:pPr>
            <w:r/>
            <w:r>
              <w:rPr>
                <w:b w:val="0"/>
                <w:sz w:val="18"/>
              </w:rPr>
              <w:t>Nœud d'exécution</w:t>
            </w:r>
          </w:p>
        </w:tc>
        <w:tc>
          <w:tcPr>
            <w:tcW w:type="dxa" w:w="1077"/>
          </w:tcPr>
          <w:p>
            <w:pPr>
              <w:spacing w:after="20"/>
              <w:jc w:val="center"/>
            </w:pPr>
            <w:r/>
            <w:r>
              <w:rPr>
                <w:b w:val="0"/>
                <w:color w:val="8A2B06"/>
                <w:sz w:val="18"/>
              </w:rPr>
              <w:t>2 ○</w:t>
            </w:r>
          </w:p>
        </w:tc>
        <w:tc>
          <w:tcPr>
            <w:tcW w:type="dxa" w:w="1417"/>
          </w:tcPr>
          <w:p>
            <w:pPr>
              <w:spacing w:after="20"/>
              <w:jc w:val="center"/>
            </w:pPr>
            <w:r/>
            <w:r>
              <w:rPr>
                <w:b w:val="0"/>
                <w:sz w:val="18"/>
              </w:rPr>
              <w:t>16 Go ★</w:t>
            </w:r>
          </w:p>
        </w:tc>
        <w:tc>
          <w:tcPr>
            <w:tcW w:type="dxa" w:w="1417"/>
          </w:tcPr>
          <w:p>
            <w:pPr>
              <w:spacing w:after="20"/>
              <w:jc w:val="center"/>
            </w:pPr>
            <w:r/>
            <w:r>
              <w:rPr>
                <w:b w:val="0"/>
                <w:sz w:val="18"/>
              </w:rPr>
              <w:t>60 Go ★</w:t>
            </w:r>
          </w:p>
        </w:tc>
        <w:tc>
          <w:tcPr>
            <w:tcW w:type="dxa" w:w="1984"/>
          </w:tcPr>
          <w:p>
            <w:pPr>
              <w:spacing w:after="20"/>
            </w:pPr>
            <w:r/>
            <w:r>
              <w:rPr>
                <w:b w:val="0"/>
                <w:sz w:val="17"/>
              </w:rPr>
              <w:t>VLAN prod (NET-01)</w:t>
            </w:r>
          </w:p>
          <w:p>
            <w:pPr>
              <w:spacing w:after="20"/>
            </w:pPr>
            <w:r>
              <w:rPr>
                <w:b w:val="0"/>
                <w:sz w:val="17"/>
              </w:rPr>
              <w:t>IP + FQDN (AD-01)</w:t>
            </w:r>
          </w:p>
        </w:tc>
      </w:tr>
      <w:tr>
        <w:tc>
          <w:tcPr>
            <w:tcW w:type="dxa" w:w="1701"/>
          </w:tcPr>
          <w:p>
            <w:pPr>
              <w:spacing w:after="20"/>
            </w:pPr>
            <w:r/>
            <w:r>
              <w:rPr>
                <w:b/>
                <w:sz w:val="18"/>
              </w:rPr>
              <w:t>AAP-P-EXE-02</w:t>
            </w:r>
          </w:p>
        </w:tc>
        <w:tc>
          <w:tcPr>
            <w:tcW w:type="dxa" w:w="2268"/>
          </w:tcPr>
          <w:p>
            <w:pPr>
              <w:spacing w:after="20"/>
            </w:pPr>
            <w:r/>
            <w:r>
              <w:rPr>
                <w:b w:val="0"/>
                <w:sz w:val="18"/>
              </w:rPr>
              <w:t>Nœud d'exécution</w:t>
            </w:r>
          </w:p>
        </w:tc>
        <w:tc>
          <w:tcPr>
            <w:tcW w:type="dxa" w:w="1077"/>
          </w:tcPr>
          <w:p>
            <w:pPr>
              <w:spacing w:after="20"/>
              <w:jc w:val="center"/>
            </w:pPr>
            <w:r/>
            <w:r>
              <w:rPr>
                <w:b w:val="0"/>
                <w:color w:val="8A2B06"/>
                <w:sz w:val="18"/>
              </w:rPr>
              <w:t>2 ○</w:t>
            </w:r>
          </w:p>
        </w:tc>
        <w:tc>
          <w:tcPr>
            <w:tcW w:type="dxa" w:w="1417"/>
          </w:tcPr>
          <w:p>
            <w:pPr>
              <w:spacing w:after="20"/>
              <w:jc w:val="center"/>
            </w:pPr>
            <w:r/>
            <w:r>
              <w:rPr>
                <w:b w:val="0"/>
                <w:sz w:val="18"/>
              </w:rPr>
              <w:t>16 Go ★</w:t>
            </w:r>
          </w:p>
        </w:tc>
        <w:tc>
          <w:tcPr>
            <w:tcW w:type="dxa" w:w="1417"/>
          </w:tcPr>
          <w:p>
            <w:pPr>
              <w:spacing w:after="20"/>
              <w:jc w:val="center"/>
            </w:pPr>
            <w:r/>
            <w:r>
              <w:rPr>
                <w:b w:val="0"/>
                <w:sz w:val="18"/>
              </w:rPr>
              <w:t>60 Go ★</w:t>
            </w:r>
          </w:p>
        </w:tc>
        <w:tc>
          <w:tcPr>
            <w:tcW w:type="dxa" w:w="1984"/>
          </w:tcPr>
          <w:p>
            <w:pPr>
              <w:spacing w:after="20"/>
            </w:pPr>
            <w:r/>
            <w:r>
              <w:rPr>
                <w:b w:val="0"/>
                <w:sz w:val="17"/>
              </w:rPr>
              <w:t>VLAN prod (NET-01)</w:t>
            </w:r>
          </w:p>
          <w:p>
            <w:pPr>
              <w:spacing w:after="20"/>
            </w:pPr>
            <w:r>
              <w:rPr>
                <w:b w:val="0"/>
                <w:sz w:val="17"/>
              </w:rPr>
              <w:t>IP + FQDN (AD-01)</w:t>
            </w:r>
          </w:p>
        </w:tc>
      </w:tr>
    </w:tbl>
    <w:p>
      <w:pPr>
        <w:spacing w:after="40"/>
      </w:pPr>
    </w:p>
    <w:tbl>
      <w:tblPr>
        <w:tblStyle w:val="TableGrid"/>
        <w:tblW w:type="auto" w:w="0"/>
        <w:tblLook w:firstColumn="1" w:firstRow="1" w:lastColumn="0" w:lastRow="0" w:noHBand="0" w:noVBand="1" w:val="04A0"/>
      </w:tblPr>
      <w:tblGrid>
        <w:gridCol w:w="10426"/>
      </w:tblGrid>
      <w:tr>
        <w:tc>
          <w:tcPr>
            <w:tcW w:type="dxa" w:w="10426"/>
            <w:shd w:val="clear" w:fill="F4F6FA"/>
          </w:tcPr>
          <w:p>
            <w:r/>
            <w:r>
              <w:rPr>
                <w:b/>
                <w:color w:val="1F3864"/>
                <w:sz w:val="19"/>
              </w:rPr>
              <w:t xml:space="preserve">Note — </w:t>
            </w:r>
            <w:r>
              <w:rPr>
                <w:i/>
                <w:color w:val="555555"/>
                <w:sz w:val="19"/>
              </w:rPr>
              <w:t xml:space="preserve"> Le nœud de rebond (hop) est exempté du plancher de 16 Go RAM (8 Go) mais conserve le plancher de 60 Go de disque. À ce minimum, contrôleurs et nœuds d'exécution risquent d'être justes en charge — voir le comparatif.</w:t>
            </w:r>
          </w:p>
        </w:tc>
      </w:tr>
    </w:tbl>
    <w:p>
      <w:pPr>
        <w:spacing w:after="40"/>
      </w:pPr>
    </w:p>
    <w:p>
      <w:pPr>
        <w:spacing w:after="80"/>
        <w:pBdr>
          <w:bottom w:val="single" w:sz="6" w:space="1" w:color="1F3864"/>
        </w:pBdr>
      </w:pPr>
    </w:p>
    <w:p>
      <w:r>
        <w:br w:type="page"/>
      </w:r>
    </w:p>
    <w:tbl>
      <w:tblPr>
        <w:tblStyle w:val="TableGrid"/>
        <w:tblW w:type="auto" w:w="0"/>
        <w:tblLook w:firstColumn="1" w:firstRow="1" w:lastColumn="0" w:lastRow="0" w:noHBand="0" w:noVBand="1" w:val="04A0"/>
      </w:tblPr>
      <w:tblGrid>
        <w:gridCol w:w="10426"/>
      </w:tblGrid>
      <w:tr>
        <w:tc>
          <w:tcPr>
            <w:tcW w:type="dxa" w:w="10426"/>
            <w:shd w:val="clear" w:fill="1F3864"/>
          </w:tcPr>
          <w:p>
            <w:r/>
            <w:r>
              <w:rPr>
                <w:b/>
                <w:color w:val="FFFFFF"/>
                <w:sz w:val="22"/>
              </w:rPr>
              <w:t>PARC 3 · CLUSTER AAP 2.6 — QUALIFICATION (11 VM) — MINIMUM</w:t>
            </w:r>
          </w:p>
        </w:tc>
      </w:tr>
    </w:tbl>
    <w:p>
      <w:pPr>
        <w:spacing w:after="20"/>
      </w:pPr>
    </w:p>
    <w:p>
      <w:pPr>
        <w:spacing w:after="60" w:before="0"/>
      </w:pPr>
      <w:r>
        <w:rPr>
          <w:b w:val="0"/>
          <w:i/>
          <w:color w:val="555555"/>
          <w:sz w:val="19"/>
        </w:rPr>
        <w:t>Topologie identique à la production (l'estimation ne réduit pas le nombre de VM). Specs minimales appliquées.</w:t>
      </w:r>
    </w:p>
    <w:tbl>
      <w:tblPr>
        <w:tblStyle w:val="TableGrid"/>
        <w:tblW w:type="auto" w:w="0"/>
        <w:tblLayout w:type="fixed"/>
        <w:tblLook w:firstColumn="1" w:firstRow="1" w:lastColumn="0" w:lastRow="0" w:noHBand="0" w:noVBand="1" w:val="04A0"/>
      </w:tblPr>
      <w:tblGrid>
        <w:gridCol w:w="1738"/>
        <w:gridCol w:w="1738"/>
        <w:gridCol w:w="1738"/>
        <w:gridCol w:w="1738"/>
        <w:gridCol w:w="1738"/>
        <w:gridCol w:w="1738"/>
      </w:tblGrid>
      <w:tr>
        <w:tc>
          <w:tcPr>
            <w:tcW w:type="dxa" w:w="1701"/>
            <w:shd w:val="clear" w:fill="1F3864"/>
          </w:tcPr>
          <w:p>
            <w:r/>
            <w:r>
              <w:rPr>
                <w:b/>
                <w:color w:val="FFFFFF"/>
                <w:sz w:val="18"/>
              </w:rPr>
              <w:t>Réf. VM</w:t>
            </w:r>
          </w:p>
        </w:tc>
        <w:tc>
          <w:tcPr>
            <w:tcW w:type="dxa" w:w="2268"/>
            <w:shd w:val="clear" w:fill="1F3864"/>
          </w:tcPr>
          <w:p>
            <w:r/>
            <w:r>
              <w:rPr>
                <w:b/>
                <w:color w:val="FFFFFF"/>
                <w:sz w:val="18"/>
              </w:rPr>
              <w:t>Rôle</w:t>
            </w:r>
          </w:p>
        </w:tc>
        <w:tc>
          <w:tcPr>
            <w:tcW w:type="dxa" w:w="1077"/>
            <w:shd w:val="clear" w:fill="1F3864"/>
          </w:tcPr>
          <w:p>
            <w:r/>
            <w:r>
              <w:rPr>
                <w:b/>
                <w:color w:val="FFFFFF"/>
                <w:sz w:val="18"/>
              </w:rPr>
              <w:t>vCPU (min)</w:t>
            </w:r>
          </w:p>
        </w:tc>
        <w:tc>
          <w:tcPr>
            <w:tcW w:type="dxa" w:w="1417"/>
            <w:shd w:val="clear" w:fill="1F3864"/>
          </w:tcPr>
          <w:p>
            <w:r/>
            <w:r>
              <w:rPr>
                <w:b/>
                <w:color w:val="FFFFFF"/>
                <w:sz w:val="18"/>
              </w:rPr>
              <w:t>RAM (min)</w:t>
            </w:r>
          </w:p>
        </w:tc>
        <w:tc>
          <w:tcPr>
            <w:tcW w:type="dxa" w:w="1417"/>
            <w:shd w:val="clear" w:fill="1F3864"/>
          </w:tcPr>
          <w:p>
            <w:r/>
            <w:r>
              <w:rPr>
                <w:b/>
                <w:color w:val="FFFFFF"/>
                <w:sz w:val="18"/>
              </w:rPr>
              <w:t>Disque (min)</w:t>
            </w:r>
          </w:p>
        </w:tc>
        <w:tc>
          <w:tcPr>
            <w:tcW w:type="dxa" w:w="1984"/>
            <w:shd w:val="clear" w:fill="1F3864"/>
          </w:tcPr>
          <w:p>
            <w:r/>
            <w:r>
              <w:rPr>
                <w:b/>
                <w:color w:val="FFFFFF"/>
                <w:sz w:val="18"/>
              </w:rPr>
              <w:t>Réseau</w:t>
            </w:r>
          </w:p>
        </w:tc>
      </w:tr>
      <w:tr>
        <w:tc>
          <w:tcPr>
            <w:tcW w:type="dxa" w:w="1701"/>
          </w:tcPr>
          <w:p>
            <w:pPr>
              <w:spacing w:after="20"/>
            </w:pPr>
            <w:r/>
            <w:r>
              <w:rPr>
                <w:b/>
                <w:sz w:val="18"/>
              </w:rPr>
              <w:t>AAP-Q-GW-01</w:t>
            </w:r>
          </w:p>
        </w:tc>
        <w:tc>
          <w:tcPr>
            <w:tcW w:type="dxa" w:w="2268"/>
          </w:tcPr>
          <w:p>
            <w:pPr>
              <w:spacing w:after="20"/>
            </w:pPr>
            <w:r/>
            <w:r>
              <w:rPr>
                <w:b w:val="0"/>
                <w:sz w:val="18"/>
              </w:rPr>
              <w:t>Passerelle</w:t>
            </w:r>
          </w:p>
        </w:tc>
        <w:tc>
          <w:tcPr>
            <w:tcW w:type="dxa" w:w="1077"/>
          </w:tcPr>
          <w:p>
            <w:pPr>
              <w:spacing w:after="20"/>
              <w:jc w:val="center"/>
            </w:pPr>
            <w:r/>
            <w:r>
              <w:rPr>
                <w:b w:val="0"/>
                <w:color w:val="8A2B06"/>
                <w:sz w:val="18"/>
              </w:rPr>
              <w:t>2 ○</w:t>
            </w:r>
          </w:p>
        </w:tc>
        <w:tc>
          <w:tcPr>
            <w:tcW w:type="dxa" w:w="1417"/>
          </w:tcPr>
          <w:p>
            <w:pPr>
              <w:spacing w:after="20"/>
              <w:jc w:val="center"/>
            </w:pPr>
            <w:r/>
            <w:r>
              <w:rPr>
                <w:b w:val="0"/>
                <w:sz w:val="18"/>
              </w:rPr>
              <w:t>16 Go ★</w:t>
            </w:r>
          </w:p>
        </w:tc>
        <w:tc>
          <w:tcPr>
            <w:tcW w:type="dxa" w:w="1417"/>
          </w:tcPr>
          <w:p>
            <w:pPr>
              <w:spacing w:after="20"/>
              <w:jc w:val="center"/>
            </w:pPr>
            <w:r/>
            <w:r>
              <w:rPr>
                <w:b w:val="0"/>
                <w:sz w:val="18"/>
              </w:rPr>
              <w:t>60 Go ★</w:t>
            </w:r>
          </w:p>
        </w:tc>
        <w:tc>
          <w:tcPr>
            <w:tcW w:type="dxa" w:w="1984"/>
          </w:tcPr>
          <w:p>
            <w:pPr>
              <w:spacing w:after="20"/>
            </w:pPr>
            <w:r/>
            <w:r>
              <w:rPr>
                <w:b w:val="0"/>
                <w:sz w:val="17"/>
              </w:rPr>
              <w:t>VLAN qual (NET-01)</w:t>
            </w:r>
          </w:p>
          <w:p>
            <w:pPr>
              <w:spacing w:after="20"/>
            </w:pPr>
            <w:r>
              <w:rPr>
                <w:b w:val="0"/>
                <w:sz w:val="17"/>
              </w:rPr>
              <w:t>IP + FQDN (AD-01)</w:t>
            </w:r>
          </w:p>
        </w:tc>
      </w:tr>
      <w:tr>
        <w:tc>
          <w:tcPr>
            <w:tcW w:type="dxa" w:w="1701"/>
          </w:tcPr>
          <w:p>
            <w:pPr>
              <w:spacing w:after="20"/>
            </w:pPr>
            <w:r/>
            <w:r>
              <w:rPr>
                <w:b/>
                <w:sz w:val="18"/>
              </w:rPr>
              <w:t>AAP-Q-GW-02</w:t>
            </w:r>
          </w:p>
        </w:tc>
        <w:tc>
          <w:tcPr>
            <w:tcW w:type="dxa" w:w="2268"/>
          </w:tcPr>
          <w:p>
            <w:pPr>
              <w:spacing w:after="20"/>
            </w:pPr>
            <w:r/>
            <w:r>
              <w:rPr>
                <w:b w:val="0"/>
                <w:sz w:val="18"/>
              </w:rPr>
              <w:t>Passerelle</w:t>
            </w:r>
          </w:p>
        </w:tc>
        <w:tc>
          <w:tcPr>
            <w:tcW w:type="dxa" w:w="1077"/>
          </w:tcPr>
          <w:p>
            <w:pPr>
              <w:spacing w:after="20"/>
              <w:jc w:val="center"/>
            </w:pPr>
            <w:r/>
            <w:r>
              <w:rPr>
                <w:b w:val="0"/>
                <w:color w:val="8A2B06"/>
                <w:sz w:val="18"/>
              </w:rPr>
              <w:t>2 ○</w:t>
            </w:r>
          </w:p>
        </w:tc>
        <w:tc>
          <w:tcPr>
            <w:tcW w:type="dxa" w:w="1417"/>
          </w:tcPr>
          <w:p>
            <w:pPr>
              <w:spacing w:after="20"/>
              <w:jc w:val="center"/>
            </w:pPr>
            <w:r/>
            <w:r>
              <w:rPr>
                <w:b w:val="0"/>
                <w:sz w:val="18"/>
              </w:rPr>
              <w:t>16 Go ★</w:t>
            </w:r>
          </w:p>
        </w:tc>
        <w:tc>
          <w:tcPr>
            <w:tcW w:type="dxa" w:w="1417"/>
          </w:tcPr>
          <w:p>
            <w:pPr>
              <w:spacing w:after="20"/>
              <w:jc w:val="center"/>
            </w:pPr>
            <w:r/>
            <w:r>
              <w:rPr>
                <w:b w:val="0"/>
                <w:sz w:val="18"/>
              </w:rPr>
              <w:t>60 Go ★</w:t>
            </w:r>
          </w:p>
        </w:tc>
        <w:tc>
          <w:tcPr>
            <w:tcW w:type="dxa" w:w="1984"/>
          </w:tcPr>
          <w:p>
            <w:pPr>
              <w:spacing w:after="20"/>
            </w:pPr>
            <w:r/>
            <w:r>
              <w:rPr>
                <w:b w:val="0"/>
                <w:sz w:val="17"/>
              </w:rPr>
              <w:t>VLAN qual (NET-01)</w:t>
            </w:r>
          </w:p>
          <w:p>
            <w:pPr>
              <w:spacing w:after="20"/>
            </w:pPr>
            <w:r>
              <w:rPr>
                <w:b w:val="0"/>
                <w:sz w:val="17"/>
              </w:rPr>
              <w:t>IP + FQDN (AD-01)</w:t>
            </w:r>
          </w:p>
        </w:tc>
      </w:tr>
      <w:tr>
        <w:tc>
          <w:tcPr>
            <w:tcW w:type="dxa" w:w="1701"/>
          </w:tcPr>
          <w:p>
            <w:pPr>
              <w:spacing w:after="20"/>
            </w:pPr>
            <w:r/>
            <w:r>
              <w:rPr>
                <w:b/>
                <w:sz w:val="18"/>
              </w:rPr>
              <w:t>AAP-Q-CTL-01</w:t>
            </w:r>
          </w:p>
        </w:tc>
        <w:tc>
          <w:tcPr>
            <w:tcW w:type="dxa" w:w="2268"/>
          </w:tcPr>
          <w:p>
            <w:pPr>
              <w:spacing w:after="20"/>
            </w:pPr>
            <w:r/>
            <w:r>
              <w:rPr>
                <w:b w:val="0"/>
                <w:sz w:val="18"/>
              </w:rPr>
              <w:t>Contrôleur</w:t>
            </w:r>
          </w:p>
        </w:tc>
        <w:tc>
          <w:tcPr>
            <w:tcW w:type="dxa" w:w="1077"/>
          </w:tcPr>
          <w:p>
            <w:pPr>
              <w:spacing w:after="20"/>
              <w:jc w:val="center"/>
            </w:pPr>
            <w:r/>
            <w:r>
              <w:rPr>
                <w:b w:val="0"/>
                <w:color w:val="8A2B06"/>
                <w:sz w:val="18"/>
              </w:rPr>
              <w:t>2 ○</w:t>
            </w:r>
          </w:p>
        </w:tc>
        <w:tc>
          <w:tcPr>
            <w:tcW w:type="dxa" w:w="1417"/>
          </w:tcPr>
          <w:p>
            <w:pPr>
              <w:spacing w:after="20"/>
              <w:jc w:val="center"/>
            </w:pPr>
            <w:r/>
            <w:r>
              <w:rPr>
                <w:b w:val="0"/>
                <w:sz w:val="18"/>
              </w:rPr>
              <w:t>16 Go ★</w:t>
            </w:r>
          </w:p>
        </w:tc>
        <w:tc>
          <w:tcPr>
            <w:tcW w:type="dxa" w:w="1417"/>
          </w:tcPr>
          <w:p>
            <w:pPr>
              <w:spacing w:after="20"/>
              <w:jc w:val="center"/>
            </w:pPr>
            <w:r/>
            <w:r>
              <w:rPr>
                <w:b w:val="0"/>
                <w:sz w:val="18"/>
              </w:rPr>
              <w:t>60 Go ★</w:t>
            </w:r>
          </w:p>
        </w:tc>
        <w:tc>
          <w:tcPr>
            <w:tcW w:type="dxa" w:w="1984"/>
          </w:tcPr>
          <w:p>
            <w:pPr>
              <w:spacing w:after="20"/>
            </w:pPr>
            <w:r/>
            <w:r>
              <w:rPr>
                <w:b w:val="0"/>
                <w:sz w:val="17"/>
              </w:rPr>
              <w:t>VLAN qual (NET-01)</w:t>
            </w:r>
          </w:p>
          <w:p>
            <w:pPr>
              <w:spacing w:after="20"/>
            </w:pPr>
            <w:r>
              <w:rPr>
                <w:b w:val="0"/>
                <w:sz w:val="17"/>
              </w:rPr>
              <w:t>IP + FQDN (AD-01)</w:t>
            </w:r>
          </w:p>
        </w:tc>
      </w:tr>
      <w:tr>
        <w:tc>
          <w:tcPr>
            <w:tcW w:type="dxa" w:w="1701"/>
          </w:tcPr>
          <w:p>
            <w:pPr>
              <w:spacing w:after="20"/>
            </w:pPr>
            <w:r/>
            <w:r>
              <w:rPr>
                <w:b/>
                <w:sz w:val="18"/>
              </w:rPr>
              <w:t>AAP-Q-CTL-02</w:t>
            </w:r>
          </w:p>
        </w:tc>
        <w:tc>
          <w:tcPr>
            <w:tcW w:type="dxa" w:w="2268"/>
          </w:tcPr>
          <w:p>
            <w:pPr>
              <w:spacing w:after="20"/>
            </w:pPr>
            <w:r/>
            <w:r>
              <w:rPr>
                <w:b w:val="0"/>
                <w:sz w:val="18"/>
              </w:rPr>
              <w:t>Contrôleur</w:t>
            </w:r>
          </w:p>
        </w:tc>
        <w:tc>
          <w:tcPr>
            <w:tcW w:type="dxa" w:w="1077"/>
          </w:tcPr>
          <w:p>
            <w:pPr>
              <w:spacing w:after="20"/>
              <w:jc w:val="center"/>
            </w:pPr>
            <w:r/>
            <w:r>
              <w:rPr>
                <w:b w:val="0"/>
                <w:color w:val="8A2B06"/>
                <w:sz w:val="18"/>
              </w:rPr>
              <w:t>2 ○</w:t>
            </w:r>
          </w:p>
        </w:tc>
        <w:tc>
          <w:tcPr>
            <w:tcW w:type="dxa" w:w="1417"/>
          </w:tcPr>
          <w:p>
            <w:pPr>
              <w:spacing w:after="20"/>
              <w:jc w:val="center"/>
            </w:pPr>
            <w:r/>
            <w:r>
              <w:rPr>
                <w:b w:val="0"/>
                <w:sz w:val="18"/>
              </w:rPr>
              <w:t>16 Go ★</w:t>
            </w:r>
          </w:p>
        </w:tc>
        <w:tc>
          <w:tcPr>
            <w:tcW w:type="dxa" w:w="1417"/>
          </w:tcPr>
          <w:p>
            <w:pPr>
              <w:spacing w:after="20"/>
              <w:jc w:val="center"/>
            </w:pPr>
            <w:r/>
            <w:r>
              <w:rPr>
                <w:b w:val="0"/>
                <w:sz w:val="18"/>
              </w:rPr>
              <w:t>60 Go ★</w:t>
            </w:r>
          </w:p>
        </w:tc>
        <w:tc>
          <w:tcPr>
            <w:tcW w:type="dxa" w:w="1984"/>
          </w:tcPr>
          <w:p>
            <w:pPr>
              <w:spacing w:after="20"/>
            </w:pPr>
            <w:r/>
            <w:r>
              <w:rPr>
                <w:b w:val="0"/>
                <w:sz w:val="17"/>
              </w:rPr>
              <w:t>VLAN qual (NET-01)</w:t>
            </w:r>
          </w:p>
          <w:p>
            <w:pPr>
              <w:spacing w:after="20"/>
            </w:pPr>
            <w:r>
              <w:rPr>
                <w:b w:val="0"/>
                <w:sz w:val="17"/>
              </w:rPr>
              <w:t>IP + FQDN (AD-01)</w:t>
            </w:r>
          </w:p>
        </w:tc>
      </w:tr>
      <w:tr>
        <w:tc>
          <w:tcPr>
            <w:tcW w:type="dxa" w:w="1701"/>
          </w:tcPr>
          <w:p>
            <w:pPr>
              <w:spacing w:after="20"/>
            </w:pPr>
            <w:r/>
            <w:r>
              <w:rPr>
                <w:b/>
                <w:sz w:val="18"/>
              </w:rPr>
              <w:t>AAP-Q-HUB-01</w:t>
            </w:r>
          </w:p>
        </w:tc>
        <w:tc>
          <w:tcPr>
            <w:tcW w:type="dxa" w:w="2268"/>
          </w:tcPr>
          <w:p>
            <w:pPr>
              <w:spacing w:after="20"/>
            </w:pPr>
            <w:r/>
            <w:r>
              <w:rPr>
                <w:b w:val="0"/>
                <w:sz w:val="18"/>
              </w:rPr>
              <w:t>Hub de contenu</w:t>
            </w:r>
          </w:p>
        </w:tc>
        <w:tc>
          <w:tcPr>
            <w:tcW w:type="dxa" w:w="1077"/>
          </w:tcPr>
          <w:p>
            <w:pPr>
              <w:spacing w:after="20"/>
              <w:jc w:val="center"/>
            </w:pPr>
            <w:r/>
            <w:r>
              <w:rPr>
                <w:b w:val="0"/>
                <w:color w:val="8A2B06"/>
                <w:sz w:val="18"/>
              </w:rPr>
              <w:t>2 ○</w:t>
            </w:r>
          </w:p>
        </w:tc>
        <w:tc>
          <w:tcPr>
            <w:tcW w:type="dxa" w:w="1417"/>
          </w:tcPr>
          <w:p>
            <w:pPr>
              <w:spacing w:after="20"/>
              <w:jc w:val="center"/>
            </w:pPr>
            <w:r/>
            <w:r>
              <w:rPr>
                <w:b w:val="0"/>
                <w:sz w:val="18"/>
              </w:rPr>
              <w:t>16 Go ★</w:t>
            </w:r>
          </w:p>
        </w:tc>
        <w:tc>
          <w:tcPr>
            <w:tcW w:type="dxa" w:w="1417"/>
          </w:tcPr>
          <w:p>
            <w:pPr>
              <w:spacing w:after="20"/>
              <w:jc w:val="center"/>
            </w:pPr>
            <w:r/>
            <w:r>
              <w:rPr>
                <w:b w:val="0"/>
                <w:sz w:val="18"/>
              </w:rPr>
              <w:t>60 Go ★</w:t>
            </w:r>
          </w:p>
        </w:tc>
        <w:tc>
          <w:tcPr>
            <w:tcW w:type="dxa" w:w="1984"/>
          </w:tcPr>
          <w:p>
            <w:pPr>
              <w:spacing w:after="20"/>
            </w:pPr>
            <w:r/>
            <w:r>
              <w:rPr>
                <w:b w:val="0"/>
                <w:sz w:val="17"/>
              </w:rPr>
              <w:t>VLAN qual (NET-01)</w:t>
            </w:r>
          </w:p>
          <w:p>
            <w:pPr>
              <w:spacing w:after="20"/>
            </w:pPr>
            <w:r>
              <w:rPr>
                <w:b w:val="0"/>
                <w:sz w:val="17"/>
              </w:rPr>
              <w:t>IP + FQDN (AD-01)</w:t>
            </w:r>
          </w:p>
        </w:tc>
      </w:tr>
      <w:tr>
        <w:tc>
          <w:tcPr>
            <w:tcW w:type="dxa" w:w="1701"/>
          </w:tcPr>
          <w:p>
            <w:pPr>
              <w:spacing w:after="20"/>
            </w:pPr>
            <w:r/>
            <w:r>
              <w:rPr>
                <w:b/>
                <w:sz w:val="18"/>
              </w:rPr>
              <w:t>AAP-Q-HUB-02</w:t>
            </w:r>
          </w:p>
        </w:tc>
        <w:tc>
          <w:tcPr>
            <w:tcW w:type="dxa" w:w="2268"/>
          </w:tcPr>
          <w:p>
            <w:pPr>
              <w:spacing w:after="20"/>
            </w:pPr>
            <w:r/>
            <w:r>
              <w:rPr>
                <w:b w:val="0"/>
                <w:sz w:val="18"/>
              </w:rPr>
              <w:t>Hub de contenu</w:t>
            </w:r>
          </w:p>
        </w:tc>
        <w:tc>
          <w:tcPr>
            <w:tcW w:type="dxa" w:w="1077"/>
          </w:tcPr>
          <w:p>
            <w:pPr>
              <w:spacing w:after="20"/>
              <w:jc w:val="center"/>
            </w:pPr>
            <w:r/>
            <w:r>
              <w:rPr>
                <w:b w:val="0"/>
                <w:color w:val="8A2B06"/>
                <w:sz w:val="18"/>
              </w:rPr>
              <w:t>2 ○</w:t>
            </w:r>
          </w:p>
        </w:tc>
        <w:tc>
          <w:tcPr>
            <w:tcW w:type="dxa" w:w="1417"/>
          </w:tcPr>
          <w:p>
            <w:pPr>
              <w:spacing w:after="20"/>
              <w:jc w:val="center"/>
            </w:pPr>
            <w:r/>
            <w:r>
              <w:rPr>
                <w:b w:val="0"/>
                <w:sz w:val="18"/>
              </w:rPr>
              <w:t>16 Go ★</w:t>
            </w:r>
          </w:p>
        </w:tc>
        <w:tc>
          <w:tcPr>
            <w:tcW w:type="dxa" w:w="1417"/>
          </w:tcPr>
          <w:p>
            <w:pPr>
              <w:spacing w:after="20"/>
              <w:jc w:val="center"/>
            </w:pPr>
            <w:r/>
            <w:r>
              <w:rPr>
                <w:b w:val="0"/>
                <w:sz w:val="18"/>
              </w:rPr>
              <w:t>60 Go ★</w:t>
            </w:r>
          </w:p>
        </w:tc>
        <w:tc>
          <w:tcPr>
            <w:tcW w:type="dxa" w:w="1984"/>
          </w:tcPr>
          <w:p>
            <w:pPr>
              <w:spacing w:after="20"/>
            </w:pPr>
            <w:r/>
            <w:r>
              <w:rPr>
                <w:b w:val="0"/>
                <w:sz w:val="17"/>
              </w:rPr>
              <w:t>VLAN qual (NET-01)</w:t>
            </w:r>
          </w:p>
          <w:p>
            <w:pPr>
              <w:spacing w:after="20"/>
            </w:pPr>
            <w:r>
              <w:rPr>
                <w:b w:val="0"/>
                <w:sz w:val="17"/>
              </w:rPr>
              <w:t>IP + FQDN (AD-01)</w:t>
            </w:r>
          </w:p>
        </w:tc>
      </w:tr>
      <w:tr>
        <w:tc>
          <w:tcPr>
            <w:tcW w:type="dxa" w:w="1701"/>
          </w:tcPr>
          <w:p>
            <w:pPr>
              <w:spacing w:after="20"/>
            </w:pPr>
            <w:r/>
            <w:r>
              <w:rPr>
                <w:b/>
                <w:sz w:val="18"/>
              </w:rPr>
              <w:t>AAP-Q-EDA-01</w:t>
            </w:r>
          </w:p>
        </w:tc>
        <w:tc>
          <w:tcPr>
            <w:tcW w:type="dxa" w:w="2268"/>
          </w:tcPr>
          <w:p>
            <w:pPr>
              <w:spacing w:after="20"/>
            </w:pPr>
            <w:r/>
            <w:r>
              <w:rPr>
                <w:b w:val="0"/>
                <w:sz w:val="18"/>
              </w:rPr>
              <w:t>Moteur d'événements</w:t>
            </w:r>
          </w:p>
        </w:tc>
        <w:tc>
          <w:tcPr>
            <w:tcW w:type="dxa" w:w="1077"/>
          </w:tcPr>
          <w:p>
            <w:pPr>
              <w:spacing w:after="20"/>
              <w:jc w:val="center"/>
            </w:pPr>
            <w:r/>
            <w:r>
              <w:rPr>
                <w:b w:val="0"/>
                <w:color w:val="8A2B06"/>
                <w:sz w:val="18"/>
              </w:rPr>
              <w:t>2 ○</w:t>
            </w:r>
          </w:p>
        </w:tc>
        <w:tc>
          <w:tcPr>
            <w:tcW w:type="dxa" w:w="1417"/>
          </w:tcPr>
          <w:p>
            <w:pPr>
              <w:spacing w:after="20"/>
              <w:jc w:val="center"/>
            </w:pPr>
            <w:r/>
            <w:r>
              <w:rPr>
                <w:b w:val="0"/>
                <w:sz w:val="18"/>
              </w:rPr>
              <w:t>16 Go ★</w:t>
            </w:r>
          </w:p>
        </w:tc>
        <w:tc>
          <w:tcPr>
            <w:tcW w:type="dxa" w:w="1417"/>
          </w:tcPr>
          <w:p>
            <w:pPr>
              <w:spacing w:after="20"/>
              <w:jc w:val="center"/>
            </w:pPr>
            <w:r/>
            <w:r>
              <w:rPr>
                <w:b w:val="0"/>
                <w:sz w:val="18"/>
              </w:rPr>
              <w:t>60 Go ★</w:t>
            </w:r>
          </w:p>
        </w:tc>
        <w:tc>
          <w:tcPr>
            <w:tcW w:type="dxa" w:w="1984"/>
          </w:tcPr>
          <w:p>
            <w:pPr>
              <w:spacing w:after="20"/>
            </w:pPr>
            <w:r/>
            <w:r>
              <w:rPr>
                <w:b w:val="0"/>
                <w:sz w:val="17"/>
              </w:rPr>
              <w:t>VLAN qual (NET-01)</w:t>
            </w:r>
          </w:p>
          <w:p>
            <w:pPr>
              <w:spacing w:after="20"/>
            </w:pPr>
            <w:r>
              <w:rPr>
                <w:b w:val="0"/>
                <w:sz w:val="17"/>
              </w:rPr>
              <w:t>IP + FQDN (AD-01)</w:t>
            </w:r>
          </w:p>
        </w:tc>
      </w:tr>
      <w:tr>
        <w:tc>
          <w:tcPr>
            <w:tcW w:type="dxa" w:w="1701"/>
          </w:tcPr>
          <w:p>
            <w:pPr>
              <w:spacing w:after="20"/>
            </w:pPr>
            <w:r/>
            <w:r>
              <w:rPr>
                <w:b/>
                <w:sz w:val="18"/>
              </w:rPr>
              <w:t>AAP-Q-EDA-02</w:t>
            </w:r>
          </w:p>
        </w:tc>
        <w:tc>
          <w:tcPr>
            <w:tcW w:type="dxa" w:w="2268"/>
          </w:tcPr>
          <w:p>
            <w:pPr>
              <w:spacing w:after="20"/>
            </w:pPr>
            <w:r/>
            <w:r>
              <w:rPr>
                <w:b w:val="0"/>
                <w:sz w:val="18"/>
              </w:rPr>
              <w:t>Moteur d'événements</w:t>
            </w:r>
          </w:p>
        </w:tc>
        <w:tc>
          <w:tcPr>
            <w:tcW w:type="dxa" w:w="1077"/>
          </w:tcPr>
          <w:p>
            <w:pPr>
              <w:spacing w:after="20"/>
              <w:jc w:val="center"/>
            </w:pPr>
            <w:r/>
            <w:r>
              <w:rPr>
                <w:b w:val="0"/>
                <w:color w:val="8A2B06"/>
                <w:sz w:val="18"/>
              </w:rPr>
              <w:t>2 ○</w:t>
            </w:r>
          </w:p>
        </w:tc>
        <w:tc>
          <w:tcPr>
            <w:tcW w:type="dxa" w:w="1417"/>
          </w:tcPr>
          <w:p>
            <w:pPr>
              <w:spacing w:after="20"/>
              <w:jc w:val="center"/>
            </w:pPr>
            <w:r/>
            <w:r>
              <w:rPr>
                <w:b w:val="0"/>
                <w:sz w:val="18"/>
              </w:rPr>
              <w:t>16 Go ★</w:t>
            </w:r>
          </w:p>
        </w:tc>
        <w:tc>
          <w:tcPr>
            <w:tcW w:type="dxa" w:w="1417"/>
          </w:tcPr>
          <w:p>
            <w:pPr>
              <w:spacing w:after="20"/>
              <w:jc w:val="center"/>
            </w:pPr>
            <w:r/>
            <w:r>
              <w:rPr>
                <w:b w:val="0"/>
                <w:sz w:val="18"/>
              </w:rPr>
              <w:t>60 Go ★</w:t>
            </w:r>
          </w:p>
        </w:tc>
        <w:tc>
          <w:tcPr>
            <w:tcW w:type="dxa" w:w="1984"/>
          </w:tcPr>
          <w:p>
            <w:pPr>
              <w:spacing w:after="20"/>
            </w:pPr>
            <w:r/>
            <w:r>
              <w:rPr>
                <w:b w:val="0"/>
                <w:sz w:val="17"/>
              </w:rPr>
              <w:t>VLAN qual (NET-01)</w:t>
            </w:r>
          </w:p>
          <w:p>
            <w:pPr>
              <w:spacing w:after="20"/>
            </w:pPr>
            <w:r>
              <w:rPr>
                <w:b w:val="0"/>
                <w:sz w:val="17"/>
              </w:rPr>
              <w:t>IP + FQDN (AD-01)</w:t>
            </w:r>
          </w:p>
        </w:tc>
      </w:tr>
      <w:tr>
        <w:tc>
          <w:tcPr>
            <w:tcW w:type="dxa" w:w="1701"/>
          </w:tcPr>
          <w:p>
            <w:pPr>
              <w:spacing w:after="20"/>
            </w:pPr>
            <w:r/>
            <w:r>
              <w:rPr>
                <w:b/>
                <w:sz w:val="18"/>
              </w:rPr>
              <w:t>AAP-Q-HOP-01</w:t>
            </w:r>
          </w:p>
        </w:tc>
        <w:tc>
          <w:tcPr>
            <w:tcW w:type="dxa" w:w="2268"/>
          </w:tcPr>
          <w:p>
            <w:pPr>
              <w:spacing w:after="20"/>
            </w:pPr>
            <w:r/>
            <w:r>
              <w:rPr>
                <w:b w:val="0"/>
                <w:sz w:val="18"/>
              </w:rPr>
              <w:t>Nœud de rebond</w:t>
            </w:r>
          </w:p>
        </w:tc>
        <w:tc>
          <w:tcPr>
            <w:tcW w:type="dxa" w:w="1077"/>
          </w:tcPr>
          <w:p>
            <w:pPr>
              <w:spacing w:after="20"/>
              <w:jc w:val="center"/>
            </w:pPr>
            <w:r/>
            <w:r>
              <w:rPr>
                <w:b w:val="0"/>
                <w:color w:val="8A2B06"/>
                <w:sz w:val="18"/>
              </w:rPr>
              <w:t>2 ○</w:t>
            </w:r>
          </w:p>
        </w:tc>
        <w:tc>
          <w:tcPr>
            <w:tcW w:type="dxa" w:w="1417"/>
          </w:tcPr>
          <w:p>
            <w:pPr>
              <w:spacing w:after="20"/>
              <w:jc w:val="center"/>
            </w:pPr>
            <w:r/>
            <w:r>
              <w:rPr>
                <w:b w:val="0"/>
                <w:sz w:val="18"/>
              </w:rPr>
              <w:t>8 Go ○</w:t>
            </w:r>
          </w:p>
        </w:tc>
        <w:tc>
          <w:tcPr>
            <w:tcW w:type="dxa" w:w="1417"/>
          </w:tcPr>
          <w:p>
            <w:pPr>
              <w:spacing w:after="20"/>
              <w:jc w:val="center"/>
            </w:pPr>
            <w:r/>
            <w:r>
              <w:rPr>
                <w:b w:val="0"/>
                <w:sz w:val="18"/>
              </w:rPr>
              <w:t>60 Go ★</w:t>
            </w:r>
          </w:p>
        </w:tc>
        <w:tc>
          <w:tcPr>
            <w:tcW w:type="dxa" w:w="1984"/>
          </w:tcPr>
          <w:p>
            <w:pPr>
              <w:spacing w:after="20"/>
            </w:pPr>
            <w:r/>
            <w:r>
              <w:rPr>
                <w:b w:val="0"/>
                <w:sz w:val="17"/>
              </w:rPr>
              <w:t>VLAN qual (NET-01)</w:t>
            </w:r>
          </w:p>
          <w:p>
            <w:pPr>
              <w:spacing w:after="20"/>
            </w:pPr>
            <w:r>
              <w:rPr>
                <w:b w:val="0"/>
                <w:sz w:val="17"/>
              </w:rPr>
              <w:t>IP + FQDN (AD-01)</w:t>
            </w:r>
          </w:p>
        </w:tc>
      </w:tr>
      <w:tr>
        <w:tc>
          <w:tcPr>
            <w:tcW w:type="dxa" w:w="1701"/>
          </w:tcPr>
          <w:p>
            <w:pPr>
              <w:spacing w:after="20"/>
            </w:pPr>
            <w:r/>
            <w:r>
              <w:rPr>
                <w:b/>
                <w:sz w:val="18"/>
              </w:rPr>
              <w:t>AAP-Q-EXE-01</w:t>
            </w:r>
          </w:p>
        </w:tc>
        <w:tc>
          <w:tcPr>
            <w:tcW w:type="dxa" w:w="2268"/>
          </w:tcPr>
          <w:p>
            <w:pPr>
              <w:spacing w:after="20"/>
            </w:pPr>
            <w:r/>
            <w:r>
              <w:rPr>
                <w:b w:val="0"/>
                <w:sz w:val="18"/>
              </w:rPr>
              <w:t>Nœud d'exécution</w:t>
            </w:r>
          </w:p>
        </w:tc>
        <w:tc>
          <w:tcPr>
            <w:tcW w:type="dxa" w:w="1077"/>
          </w:tcPr>
          <w:p>
            <w:pPr>
              <w:spacing w:after="20"/>
              <w:jc w:val="center"/>
            </w:pPr>
            <w:r/>
            <w:r>
              <w:rPr>
                <w:b w:val="0"/>
                <w:color w:val="8A2B06"/>
                <w:sz w:val="18"/>
              </w:rPr>
              <w:t>2 ○</w:t>
            </w:r>
          </w:p>
        </w:tc>
        <w:tc>
          <w:tcPr>
            <w:tcW w:type="dxa" w:w="1417"/>
          </w:tcPr>
          <w:p>
            <w:pPr>
              <w:spacing w:after="20"/>
              <w:jc w:val="center"/>
            </w:pPr>
            <w:r/>
            <w:r>
              <w:rPr>
                <w:b w:val="0"/>
                <w:sz w:val="18"/>
              </w:rPr>
              <w:t>16 Go ★</w:t>
            </w:r>
          </w:p>
        </w:tc>
        <w:tc>
          <w:tcPr>
            <w:tcW w:type="dxa" w:w="1417"/>
          </w:tcPr>
          <w:p>
            <w:pPr>
              <w:spacing w:after="20"/>
              <w:jc w:val="center"/>
            </w:pPr>
            <w:r/>
            <w:r>
              <w:rPr>
                <w:b w:val="0"/>
                <w:sz w:val="18"/>
              </w:rPr>
              <w:t>60 Go ★</w:t>
            </w:r>
          </w:p>
        </w:tc>
        <w:tc>
          <w:tcPr>
            <w:tcW w:type="dxa" w:w="1984"/>
          </w:tcPr>
          <w:p>
            <w:pPr>
              <w:spacing w:after="20"/>
            </w:pPr>
            <w:r/>
            <w:r>
              <w:rPr>
                <w:b w:val="0"/>
                <w:sz w:val="17"/>
              </w:rPr>
              <w:t>VLAN qual (NET-01)</w:t>
            </w:r>
          </w:p>
          <w:p>
            <w:pPr>
              <w:spacing w:after="20"/>
            </w:pPr>
            <w:r>
              <w:rPr>
                <w:b w:val="0"/>
                <w:sz w:val="17"/>
              </w:rPr>
              <w:t>IP + FQDN (AD-01)</w:t>
            </w:r>
          </w:p>
        </w:tc>
      </w:tr>
      <w:tr>
        <w:tc>
          <w:tcPr>
            <w:tcW w:type="dxa" w:w="1701"/>
          </w:tcPr>
          <w:p>
            <w:pPr>
              <w:spacing w:after="20"/>
            </w:pPr>
            <w:r/>
            <w:r>
              <w:rPr>
                <w:b/>
                <w:sz w:val="18"/>
              </w:rPr>
              <w:t>AAP-Q-EXE-02</w:t>
            </w:r>
          </w:p>
        </w:tc>
        <w:tc>
          <w:tcPr>
            <w:tcW w:type="dxa" w:w="2268"/>
          </w:tcPr>
          <w:p>
            <w:pPr>
              <w:spacing w:after="20"/>
            </w:pPr>
            <w:r/>
            <w:r>
              <w:rPr>
                <w:b w:val="0"/>
                <w:sz w:val="18"/>
              </w:rPr>
              <w:t>Nœud d'exécution</w:t>
            </w:r>
          </w:p>
        </w:tc>
        <w:tc>
          <w:tcPr>
            <w:tcW w:type="dxa" w:w="1077"/>
          </w:tcPr>
          <w:p>
            <w:pPr>
              <w:spacing w:after="20"/>
              <w:jc w:val="center"/>
            </w:pPr>
            <w:r/>
            <w:r>
              <w:rPr>
                <w:b w:val="0"/>
                <w:color w:val="8A2B06"/>
                <w:sz w:val="18"/>
              </w:rPr>
              <w:t>2 ○</w:t>
            </w:r>
          </w:p>
        </w:tc>
        <w:tc>
          <w:tcPr>
            <w:tcW w:type="dxa" w:w="1417"/>
          </w:tcPr>
          <w:p>
            <w:pPr>
              <w:spacing w:after="20"/>
              <w:jc w:val="center"/>
            </w:pPr>
            <w:r/>
            <w:r>
              <w:rPr>
                <w:b w:val="0"/>
                <w:sz w:val="18"/>
              </w:rPr>
              <w:t>16 Go ★</w:t>
            </w:r>
          </w:p>
        </w:tc>
        <w:tc>
          <w:tcPr>
            <w:tcW w:type="dxa" w:w="1417"/>
          </w:tcPr>
          <w:p>
            <w:pPr>
              <w:spacing w:after="20"/>
              <w:jc w:val="center"/>
            </w:pPr>
            <w:r/>
            <w:r>
              <w:rPr>
                <w:b w:val="0"/>
                <w:sz w:val="18"/>
              </w:rPr>
              <w:t>60 Go ★</w:t>
            </w:r>
          </w:p>
        </w:tc>
        <w:tc>
          <w:tcPr>
            <w:tcW w:type="dxa" w:w="1984"/>
          </w:tcPr>
          <w:p>
            <w:pPr>
              <w:spacing w:after="20"/>
            </w:pPr>
            <w:r/>
            <w:r>
              <w:rPr>
                <w:b w:val="0"/>
                <w:sz w:val="17"/>
              </w:rPr>
              <w:t>VLAN qual (NET-01)</w:t>
            </w:r>
          </w:p>
          <w:p>
            <w:pPr>
              <w:spacing w:after="20"/>
            </w:pPr>
            <w:r>
              <w:rPr>
                <w:b w:val="0"/>
                <w:sz w:val="17"/>
              </w:rPr>
              <w:t>IP + FQDN (AD-01)</w:t>
            </w:r>
          </w:p>
        </w:tc>
      </w:tr>
    </w:tbl>
    <w:p>
      <w:pPr>
        <w:spacing w:after="40"/>
      </w:pPr>
    </w:p>
    <w:p>
      <w:pPr>
        <w:spacing w:after="80"/>
        <w:pBdr>
          <w:bottom w:val="single" w:sz="6" w:space="1" w:color="1F3864"/>
        </w:pBdr>
      </w:pPr>
    </w:p>
    <w:tbl>
      <w:tblPr>
        <w:tblStyle w:val="TableGrid"/>
        <w:tblW w:type="auto" w:w="0"/>
        <w:tblLook w:firstColumn="1" w:firstRow="1" w:lastColumn="0" w:lastRow="0" w:noHBand="0" w:noVBand="1" w:val="04A0"/>
      </w:tblPr>
      <w:tblGrid>
        <w:gridCol w:w="10426"/>
      </w:tblGrid>
      <w:tr>
        <w:tc>
          <w:tcPr>
            <w:tcW w:type="dxa" w:w="10426"/>
            <w:shd w:val="clear" w:fill="1F3864"/>
          </w:tcPr>
          <w:p>
            <w:r/>
            <w:r>
              <w:rPr>
                <w:b/>
                <w:color w:val="FFFFFF"/>
                <w:sz w:val="22"/>
              </w:rPr>
              <w:t>COMPARATIF — MINIMUM vs RECOMMANDÉ</w:t>
            </w:r>
          </w:p>
        </w:tc>
      </w:tr>
    </w:tbl>
    <w:p>
      <w:pPr>
        <w:spacing w:after="20"/>
      </w:pPr>
    </w:p>
    <w:p>
      <w:pPr>
        <w:spacing w:after="60" w:before="0"/>
      </w:pPr>
      <w:r>
        <w:rPr>
          <w:b w:val="0"/>
          <w:i/>
          <w:color w:val="555555"/>
          <w:sz w:val="19"/>
        </w:rPr>
        <w:t>La borne basse (ce document) face au dimensionnement recommandé (bon de commande de référence). Sert à cadrer la fourchette d'estimation.</w:t>
      </w:r>
    </w:p>
    <w:tbl>
      <w:tblPr>
        <w:tblStyle w:val="TableGrid"/>
        <w:tblW w:type="auto" w:w="0"/>
        <w:tblLayout w:type="fixed"/>
        <w:tblLook w:firstColumn="1" w:firstRow="1" w:lastColumn="0" w:lastRow="0" w:noHBand="0" w:noVBand="1" w:val="04A0"/>
      </w:tblPr>
      <w:tblGrid>
        <w:gridCol w:w="2606"/>
        <w:gridCol w:w="2606"/>
        <w:gridCol w:w="2606"/>
        <w:gridCol w:w="2606"/>
      </w:tblGrid>
      <w:tr>
        <w:tc>
          <w:tcPr>
            <w:tcW w:type="dxa" w:w="2608"/>
            <w:shd w:val="clear" w:fill="1F3864"/>
          </w:tcPr>
          <w:p>
            <w:r/>
            <w:r>
              <w:rPr>
                <w:b/>
                <w:color w:val="FFFFFF"/>
                <w:sz w:val="18"/>
              </w:rPr>
              <w:t>Poste</w:t>
            </w:r>
          </w:p>
        </w:tc>
        <w:tc>
          <w:tcPr>
            <w:tcW w:type="dxa" w:w="2608"/>
            <w:shd w:val="clear" w:fill="1F3864"/>
          </w:tcPr>
          <w:p>
            <w:r/>
            <w:r>
              <w:rPr>
                <w:b/>
                <w:color w:val="FFFFFF"/>
                <w:sz w:val="18"/>
              </w:rPr>
              <w:t>Minimum (plancher)</w:t>
            </w:r>
          </w:p>
        </w:tc>
        <w:tc>
          <w:tcPr>
            <w:tcW w:type="dxa" w:w="2381"/>
            <w:shd w:val="clear" w:fill="1F3864"/>
          </w:tcPr>
          <w:p>
            <w:r/>
            <w:r>
              <w:rPr>
                <w:b/>
                <w:color w:val="FFFFFF"/>
                <w:sz w:val="18"/>
              </w:rPr>
              <w:t>Recommandé</w:t>
            </w:r>
          </w:p>
        </w:tc>
        <w:tc>
          <w:tcPr>
            <w:tcW w:type="dxa" w:w="1701"/>
            <w:shd w:val="clear" w:fill="1F3864"/>
          </w:tcPr>
          <w:p>
            <w:r/>
            <w:r>
              <w:rPr>
                <w:b/>
                <w:color w:val="FFFFFF"/>
                <w:sz w:val="18"/>
              </w:rPr>
              <w:t>Écart</w:t>
            </w:r>
          </w:p>
        </w:tc>
      </w:tr>
      <w:tr>
        <w:tc>
          <w:tcPr>
            <w:tcW w:type="dxa" w:w="2608"/>
          </w:tcPr>
          <w:p>
            <w:pPr>
              <w:spacing w:after="20"/>
            </w:pPr>
            <w:r/>
            <w:r>
              <w:rPr>
                <w:b/>
                <w:sz w:val="18"/>
              </w:rPr>
              <w:t>Nombre de VM</w:t>
            </w:r>
          </w:p>
        </w:tc>
        <w:tc>
          <w:tcPr>
            <w:tcW w:type="dxa" w:w="2608"/>
          </w:tcPr>
          <w:p>
            <w:pPr>
              <w:spacing w:after="20"/>
              <w:jc w:val="center"/>
            </w:pPr>
            <w:r/>
            <w:r>
              <w:rPr>
                <w:b w:val="0"/>
                <w:color w:val="8A2B06"/>
                <w:sz w:val="18"/>
              </w:rPr>
              <w:t>24</w:t>
            </w:r>
          </w:p>
        </w:tc>
        <w:tc>
          <w:tcPr>
            <w:tcW w:type="dxa" w:w="2381"/>
          </w:tcPr>
          <w:p>
            <w:pPr>
              <w:spacing w:after="20"/>
              <w:jc w:val="center"/>
            </w:pPr>
            <w:r/>
            <w:r>
              <w:rPr>
                <w:b w:val="0"/>
                <w:color w:val="1B5E20"/>
                <w:sz w:val="18"/>
              </w:rPr>
              <w:t>24</w:t>
            </w:r>
          </w:p>
        </w:tc>
        <w:tc>
          <w:tcPr>
            <w:tcW w:type="dxa" w:w="1701"/>
          </w:tcPr>
          <w:p>
            <w:pPr>
              <w:spacing w:after="20"/>
              <w:jc w:val="center"/>
            </w:pPr>
            <w:r/>
            <w:r>
              <w:rPr>
                <w:b w:val="0"/>
                <w:sz w:val="18"/>
              </w:rPr>
              <w:t>—</w:t>
            </w:r>
          </w:p>
        </w:tc>
      </w:tr>
      <w:tr>
        <w:tc>
          <w:tcPr>
            <w:tcW w:type="dxa" w:w="2608"/>
          </w:tcPr>
          <w:p>
            <w:pPr>
              <w:spacing w:after="20"/>
            </w:pPr>
            <w:r/>
            <w:r>
              <w:rPr>
                <w:b/>
                <w:sz w:val="18"/>
              </w:rPr>
              <w:t>vCPU (total parc)</w:t>
            </w:r>
          </w:p>
        </w:tc>
        <w:tc>
          <w:tcPr>
            <w:tcW w:type="dxa" w:w="2608"/>
          </w:tcPr>
          <w:p>
            <w:pPr>
              <w:spacing w:after="20"/>
              <w:jc w:val="center"/>
            </w:pPr>
            <w:r/>
            <w:r>
              <w:rPr>
                <w:b w:val="0"/>
                <w:color w:val="8A2B06"/>
                <w:sz w:val="18"/>
              </w:rPr>
              <w:t>52</w:t>
            </w:r>
          </w:p>
        </w:tc>
        <w:tc>
          <w:tcPr>
            <w:tcW w:type="dxa" w:w="2381"/>
          </w:tcPr>
          <w:p>
            <w:pPr>
              <w:spacing w:after="20"/>
              <w:jc w:val="center"/>
            </w:pPr>
            <w:r/>
            <w:r>
              <w:rPr>
                <w:b w:val="0"/>
                <w:color w:val="1B5E20"/>
                <w:sz w:val="18"/>
              </w:rPr>
              <w:t>124</w:t>
            </w:r>
          </w:p>
        </w:tc>
        <w:tc>
          <w:tcPr>
            <w:tcW w:type="dxa" w:w="1701"/>
          </w:tcPr>
          <w:p>
            <w:pPr>
              <w:spacing w:after="20"/>
              <w:jc w:val="center"/>
            </w:pPr>
            <w:r/>
            <w:r>
              <w:rPr>
                <w:b w:val="0"/>
                <w:sz w:val="18"/>
              </w:rPr>
              <w:t>−72</w:t>
            </w:r>
          </w:p>
        </w:tc>
      </w:tr>
      <w:tr>
        <w:tc>
          <w:tcPr>
            <w:tcW w:type="dxa" w:w="2608"/>
          </w:tcPr>
          <w:p>
            <w:pPr>
              <w:spacing w:after="20"/>
            </w:pPr>
            <w:r/>
            <w:r>
              <w:rPr>
                <w:b/>
                <w:sz w:val="18"/>
              </w:rPr>
              <w:t>RAM (total parc)</w:t>
            </w:r>
          </w:p>
        </w:tc>
        <w:tc>
          <w:tcPr>
            <w:tcW w:type="dxa" w:w="2608"/>
          </w:tcPr>
          <w:p>
            <w:pPr>
              <w:spacing w:after="20"/>
              <w:jc w:val="center"/>
            </w:pPr>
            <w:r/>
            <w:r>
              <w:rPr>
                <w:b w:val="0"/>
                <w:color w:val="8A2B06"/>
                <w:sz w:val="18"/>
              </w:rPr>
              <w:t>376 Go</w:t>
            </w:r>
          </w:p>
        </w:tc>
        <w:tc>
          <w:tcPr>
            <w:tcW w:type="dxa" w:w="2381"/>
          </w:tcPr>
          <w:p>
            <w:pPr>
              <w:spacing w:after="20"/>
              <w:jc w:val="center"/>
            </w:pPr>
            <w:r/>
            <w:r>
              <w:rPr>
                <w:b w:val="0"/>
                <w:color w:val="1B5E20"/>
                <w:sz w:val="18"/>
              </w:rPr>
              <w:t>504 Go</w:t>
            </w:r>
          </w:p>
        </w:tc>
        <w:tc>
          <w:tcPr>
            <w:tcW w:type="dxa" w:w="1701"/>
          </w:tcPr>
          <w:p>
            <w:pPr>
              <w:spacing w:after="20"/>
              <w:jc w:val="center"/>
            </w:pPr>
            <w:r/>
            <w:r>
              <w:rPr>
                <w:b w:val="0"/>
                <w:sz w:val="18"/>
              </w:rPr>
              <w:t>−128 Go</w:t>
            </w:r>
          </w:p>
        </w:tc>
      </w:tr>
      <w:tr>
        <w:tc>
          <w:tcPr>
            <w:tcW w:type="dxa" w:w="2608"/>
          </w:tcPr>
          <w:p>
            <w:pPr>
              <w:spacing w:after="20"/>
            </w:pPr>
            <w:r/>
            <w:r>
              <w:rPr>
                <w:b/>
                <w:sz w:val="18"/>
              </w:rPr>
              <w:t>Disque (total parc)</w:t>
            </w:r>
          </w:p>
        </w:tc>
        <w:tc>
          <w:tcPr>
            <w:tcW w:type="dxa" w:w="2608"/>
          </w:tcPr>
          <w:p>
            <w:pPr>
              <w:spacing w:after="20"/>
              <w:jc w:val="center"/>
            </w:pPr>
            <w:r/>
            <w:r>
              <w:rPr>
                <w:b w:val="0"/>
                <w:color w:val="8A2B06"/>
                <w:sz w:val="18"/>
              </w:rPr>
              <w:t>≈ 2 385 Go (~2,3 To)</w:t>
            </w:r>
          </w:p>
        </w:tc>
        <w:tc>
          <w:tcPr>
            <w:tcW w:type="dxa" w:w="2381"/>
          </w:tcPr>
          <w:p>
            <w:pPr>
              <w:spacing w:after="20"/>
              <w:jc w:val="center"/>
            </w:pPr>
            <w:r/>
            <w:r>
              <w:rPr>
                <w:b w:val="0"/>
                <w:color w:val="1B5E20"/>
                <w:sz w:val="18"/>
              </w:rPr>
              <w:t>≈ 2 625 Go (~2,6 To)</w:t>
            </w:r>
          </w:p>
        </w:tc>
        <w:tc>
          <w:tcPr>
            <w:tcW w:type="dxa" w:w="1701"/>
          </w:tcPr>
          <w:p>
            <w:pPr>
              <w:spacing w:after="20"/>
              <w:jc w:val="center"/>
            </w:pPr>
            <w:r/>
            <w:r>
              <w:rPr>
                <w:b w:val="0"/>
                <w:sz w:val="18"/>
              </w:rPr>
              <w:t>≈ −240 Go</w:t>
            </w:r>
          </w:p>
        </w:tc>
      </w:tr>
    </w:tbl>
    <w:p>
      <w:pPr>
        <w:spacing w:after="60"/>
      </w:pPr>
    </w:p>
    <w:p>
      <w:pPr>
        <w:spacing w:after="40" w:before="40"/>
      </w:pPr>
      <w:r>
        <w:rPr>
          <w:b/>
          <w:i w:val="0"/>
          <w:color w:val="1F3864"/>
          <w:sz w:val="19"/>
        </w:rPr>
        <w:t>Détail des totaux minimum par parc :</w:t>
      </w:r>
    </w:p>
    <w:tbl>
      <w:tblPr>
        <w:tblStyle w:val="TableGrid"/>
        <w:tblW w:type="auto" w:w="0"/>
        <w:tblLayout w:type="fixed"/>
        <w:tblLook w:firstColumn="1" w:firstRow="1" w:lastColumn="0" w:lastRow="0" w:noHBand="0" w:noVBand="1" w:val="04A0"/>
      </w:tblPr>
      <w:tblGrid>
        <w:gridCol w:w="2085"/>
        <w:gridCol w:w="2085"/>
        <w:gridCol w:w="2085"/>
        <w:gridCol w:w="2085"/>
        <w:gridCol w:w="2085"/>
      </w:tblGrid>
      <w:tr>
        <w:tc>
          <w:tcPr>
            <w:tcW w:type="dxa" w:w="2381"/>
            <w:shd w:val="clear" w:fill="1F3864"/>
          </w:tcPr>
          <w:p>
            <w:r/>
            <w:r>
              <w:rPr>
                <w:b/>
                <w:color w:val="FFFFFF"/>
                <w:sz w:val="18"/>
              </w:rPr>
              <w:t>Parc</w:t>
            </w:r>
          </w:p>
        </w:tc>
        <w:tc>
          <w:tcPr>
            <w:tcW w:type="dxa" w:w="1134"/>
            <w:shd w:val="clear" w:fill="1F3864"/>
          </w:tcPr>
          <w:p>
            <w:r/>
            <w:r>
              <w:rPr>
                <w:b/>
                <w:color w:val="FFFFFF"/>
                <w:sz w:val="18"/>
              </w:rPr>
              <w:t>Nb VM</w:t>
            </w:r>
          </w:p>
        </w:tc>
        <w:tc>
          <w:tcPr>
            <w:tcW w:type="dxa" w:w="1134"/>
            <w:shd w:val="clear" w:fill="1F3864"/>
          </w:tcPr>
          <w:p>
            <w:r/>
            <w:r>
              <w:rPr>
                <w:b/>
                <w:color w:val="FFFFFF"/>
                <w:sz w:val="18"/>
              </w:rPr>
              <w:t>vCPU</w:t>
            </w:r>
          </w:p>
        </w:tc>
        <w:tc>
          <w:tcPr>
            <w:tcW w:type="dxa" w:w="1701"/>
            <w:shd w:val="clear" w:fill="1F3864"/>
          </w:tcPr>
          <w:p>
            <w:r/>
            <w:r>
              <w:rPr>
                <w:b/>
                <w:color w:val="FFFFFF"/>
                <w:sz w:val="18"/>
              </w:rPr>
              <w:t>RAM</w:t>
            </w:r>
          </w:p>
        </w:tc>
        <w:tc>
          <w:tcPr>
            <w:tcW w:type="dxa" w:w="3402"/>
            <w:shd w:val="clear" w:fill="1F3864"/>
          </w:tcPr>
          <w:p>
            <w:r/>
            <w:r>
              <w:rPr>
                <w:b/>
                <w:color w:val="FFFFFF"/>
                <w:sz w:val="18"/>
              </w:rPr>
              <w:t>Disque</w:t>
            </w:r>
          </w:p>
        </w:tc>
      </w:tr>
      <w:tr>
        <w:tc>
          <w:tcPr>
            <w:tcW w:type="dxa" w:w="2381"/>
          </w:tcPr>
          <w:p>
            <w:pPr>
              <w:spacing w:after="20"/>
            </w:pPr>
            <w:r/>
            <w:r>
              <w:rPr>
                <w:b w:val="0"/>
                <w:sz w:val="18"/>
              </w:rPr>
              <w:t>Satellite (prod+qual)</w:t>
            </w:r>
          </w:p>
        </w:tc>
        <w:tc>
          <w:tcPr>
            <w:tcW w:type="dxa" w:w="1134"/>
          </w:tcPr>
          <w:p>
            <w:pPr>
              <w:spacing w:after="20"/>
              <w:jc w:val="center"/>
            </w:pPr>
            <w:r/>
            <w:r>
              <w:rPr>
                <w:b w:val="0"/>
                <w:sz w:val="18"/>
              </w:rPr>
              <w:t>2</w:t>
            </w:r>
          </w:p>
        </w:tc>
        <w:tc>
          <w:tcPr>
            <w:tcW w:type="dxa" w:w="1134"/>
          </w:tcPr>
          <w:p>
            <w:pPr>
              <w:spacing w:after="20"/>
              <w:jc w:val="center"/>
            </w:pPr>
            <w:r/>
            <w:r>
              <w:rPr>
                <w:b w:val="0"/>
                <w:sz w:val="18"/>
              </w:rPr>
              <w:t>8</w:t>
            </w:r>
          </w:p>
        </w:tc>
        <w:tc>
          <w:tcPr>
            <w:tcW w:type="dxa" w:w="1701"/>
          </w:tcPr>
          <w:p>
            <w:pPr>
              <w:spacing w:after="20"/>
              <w:jc w:val="center"/>
            </w:pPr>
            <w:r/>
            <w:r>
              <w:rPr>
                <w:b w:val="0"/>
                <w:sz w:val="18"/>
              </w:rPr>
              <w:t>40 Go</w:t>
            </w:r>
          </w:p>
        </w:tc>
        <w:tc>
          <w:tcPr>
            <w:tcW w:type="dxa" w:w="3402"/>
          </w:tcPr>
          <w:p>
            <w:pPr>
              <w:spacing w:after="20"/>
              <w:jc w:val="center"/>
            </w:pPr>
            <w:r/>
            <w:r>
              <w:rPr>
                <w:b w:val="0"/>
                <w:sz w:val="18"/>
              </w:rPr>
              <w:t>≈ 1 065 Go + sauvegardes</w:t>
            </w:r>
          </w:p>
        </w:tc>
      </w:tr>
      <w:tr>
        <w:tc>
          <w:tcPr>
            <w:tcW w:type="dxa" w:w="2381"/>
          </w:tcPr>
          <w:p>
            <w:pPr>
              <w:spacing w:after="20"/>
            </w:pPr>
            <w:r/>
            <w:r>
              <w:rPr>
                <w:b w:val="0"/>
                <w:sz w:val="18"/>
              </w:rPr>
              <w:t>AAP Production</w:t>
            </w:r>
          </w:p>
        </w:tc>
        <w:tc>
          <w:tcPr>
            <w:tcW w:type="dxa" w:w="1134"/>
          </w:tcPr>
          <w:p>
            <w:pPr>
              <w:spacing w:after="20"/>
              <w:jc w:val="center"/>
            </w:pPr>
            <w:r/>
            <w:r>
              <w:rPr>
                <w:b w:val="0"/>
                <w:sz w:val="18"/>
              </w:rPr>
              <w:t>11</w:t>
            </w:r>
          </w:p>
        </w:tc>
        <w:tc>
          <w:tcPr>
            <w:tcW w:type="dxa" w:w="1134"/>
          </w:tcPr>
          <w:p>
            <w:pPr>
              <w:spacing w:after="20"/>
              <w:jc w:val="center"/>
            </w:pPr>
            <w:r/>
            <w:r>
              <w:rPr>
                <w:b w:val="0"/>
                <w:sz w:val="18"/>
              </w:rPr>
              <w:t>22</w:t>
            </w:r>
          </w:p>
        </w:tc>
        <w:tc>
          <w:tcPr>
            <w:tcW w:type="dxa" w:w="1701"/>
          </w:tcPr>
          <w:p>
            <w:pPr>
              <w:spacing w:after="20"/>
              <w:jc w:val="center"/>
            </w:pPr>
            <w:r/>
            <w:r>
              <w:rPr>
                <w:b w:val="0"/>
                <w:sz w:val="18"/>
              </w:rPr>
              <w:t>168 Go</w:t>
            </w:r>
          </w:p>
        </w:tc>
        <w:tc>
          <w:tcPr>
            <w:tcW w:type="dxa" w:w="3402"/>
          </w:tcPr>
          <w:p>
            <w:pPr>
              <w:spacing w:after="20"/>
              <w:jc w:val="center"/>
            </w:pPr>
            <w:r/>
            <w:r>
              <w:rPr>
                <w:b w:val="0"/>
                <w:sz w:val="18"/>
              </w:rPr>
              <w:t>660 Go</w:t>
            </w:r>
          </w:p>
        </w:tc>
      </w:tr>
      <w:tr>
        <w:tc>
          <w:tcPr>
            <w:tcW w:type="dxa" w:w="2381"/>
          </w:tcPr>
          <w:p>
            <w:pPr>
              <w:spacing w:after="20"/>
            </w:pPr>
            <w:r/>
            <w:r>
              <w:rPr>
                <w:b w:val="0"/>
                <w:sz w:val="18"/>
              </w:rPr>
              <w:t>AAP Qualification</w:t>
            </w:r>
          </w:p>
        </w:tc>
        <w:tc>
          <w:tcPr>
            <w:tcW w:type="dxa" w:w="1134"/>
          </w:tcPr>
          <w:p>
            <w:pPr>
              <w:spacing w:after="20"/>
              <w:jc w:val="center"/>
            </w:pPr>
            <w:r/>
            <w:r>
              <w:rPr>
                <w:b w:val="0"/>
                <w:sz w:val="18"/>
              </w:rPr>
              <w:t>11</w:t>
            </w:r>
          </w:p>
        </w:tc>
        <w:tc>
          <w:tcPr>
            <w:tcW w:type="dxa" w:w="1134"/>
          </w:tcPr>
          <w:p>
            <w:pPr>
              <w:spacing w:after="20"/>
              <w:jc w:val="center"/>
            </w:pPr>
            <w:r/>
            <w:r>
              <w:rPr>
                <w:b w:val="0"/>
                <w:sz w:val="18"/>
              </w:rPr>
              <w:t>22</w:t>
            </w:r>
          </w:p>
        </w:tc>
        <w:tc>
          <w:tcPr>
            <w:tcW w:type="dxa" w:w="1701"/>
          </w:tcPr>
          <w:p>
            <w:pPr>
              <w:spacing w:after="20"/>
              <w:jc w:val="center"/>
            </w:pPr>
            <w:r/>
            <w:r>
              <w:rPr>
                <w:b w:val="0"/>
                <w:sz w:val="18"/>
              </w:rPr>
              <w:t>168 Go</w:t>
            </w:r>
          </w:p>
        </w:tc>
        <w:tc>
          <w:tcPr>
            <w:tcW w:type="dxa" w:w="3402"/>
          </w:tcPr>
          <w:p>
            <w:pPr>
              <w:spacing w:after="20"/>
              <w:jc w:val="center"/>
            </w:pPr>
            <w:r/>
            <w:r>
              <w:rPr>
                <w:b w:val="0"/>
                <w:sz w:val="18"/>
              </w:rPr>
              <w:t>660 Go</w:t>
            </w:r>
          </w:p>
        </w:tc>
      </w:tr>
      <w:tr>
        <w:tc>
          <w:tcPr>
            <w:tcW w:type="dxa" w:w="2381"/>
          </w:tcPr>
          <w:p>
            <w:pPr>
              <w:spacing w:after="20"/>
            </w:pPr>
            <w:r/>
            <w:r>
              <w:rPr>
                <w:b/>
                <w:sz w:val="18"/>
              </w:rPr>
              <w:t>TOTAL minimum</w:t>
            </w:r>
          </w:p>
        </w:tc>
        <w:tc>
          <w:tcPr>
            <w:tcW w:type="dxa" w:w="1134"/>
          </w:tcPr>
          <w:p>
            <w:pPr>
              <w:spacing w:after="20"/>
              <w:jc w:val="center"/>
            </w:pPr>
            <w:r/>
            <w:r>
              <w:rPr>
                <w:b/>
                <w:sz w:val="18"/>
              </w:rPr>
              <w:t>24</w:t>
            </w:r>
          </w:p>
        </w:tc>
        <w:tc>
          <w:tcPr>
            <w:tcW w:type="dxa" w:w="1134"/>
          </w:tcPr>
          <w:p>
            <w:pPr>
              <w:spacing w:after="20"/>
              <w:jc w:val="center"/>
            </w:pPr>
            <w:r/>
            <w:r>
              <w:rPr>
                <w:b/>
                <w:sz w:val="18"/>
              </w:rPr>
              <w:t>52</w:t>
            </w:r>
          </w:p>
        </w:tc>
        <w:tc>
          <w:tcPr>
            <w:tcW w:type="dxa" w:w="1701"/>
          </w:tcPr>
          <w:p>
            <w:pPr>
              <w:spacing w:after="20"/>
              <w:jc w:val="center"/>
            </w:pPr>
            <w:r/>
            <w:r>
              <w:rPr>
                <w:b/>
                <w:sz w:val="18"/>
              </w:rPr>
              <w:t>376 Go</w:t>
            </w:r>
          </w:p>
        </w:tc>
        <w:tc>
          <w:tcPr>
            <w:tcW w:type="dxa" w:w="3402"/>
          </w:tcPr>
          <w:p>
            <w:pPr>
              <w:spacing w:after="20"/>
              <w:jc w:val="center"/>
            </w:pPr>
            <w:r/>
            <w:r>
              <w:rPr>
                <w:b/>
                <w:sz w:val="18"/>
              </w:rPr>
              <w:t>≈ 2 385 Go (~2,3 To) + sauvegardes</w:t>
            </w:r>
          </w:p>
        </w:tc>
      </w:tr>
    </w:tbl>
    <w:p>
      <w:pPr>
        <w:spacing w:after="60"/>
      </w:pPr>
    </w:p>
    <w:tbl>
      <w:tblPr>
        <w:tblStyle w:val="TableGrid"/>
        <w:tblW w:type="auto" w:w="0"/>
        <w:tblLook w:firstColumn="1" w:firstRow="1" w:lastColumn="0" w:lastRow="0" w:noHBand="0" w:noVBand="1" w:val="04A0"/>
      </w:tblPr>
      <w:tblGrid>
        <w:gridCol w:w="10426"/>
      </w:tblGrid>
      <w:tr>
        <w:tc>
          <w:tcPr>
            <w:tcW w:type="dxa" w:w="10426"/>
            <w:shd w:val="clear" w:fill="FBE9E7"/>
          </w:tcPr>
          <w:p>
            <w:r/>
            <w:r>
              <w:rPr>
                <w:b/>
                <w:color w:val="1F3864"/>
                <w:sz w:val="19"/>
              </w:rPr>
              <w:t xml:space="preserve">Réserve — </w:t>
            </w:r>
            <w:r>
              <w:rPr>
                <w:i/>
                <w:color w:val="8A2B06"/>
                <w:sz w:val="19"/>
              </w:rPr>
              <w:t xml:space="preserve"> Estimation à usage de chiffrage. Le minimum de vCPU (2/nœud) est en deçà de la recommandation Red Hat (≥ 4/nœud) : à ce plancher, prévoir une marge de performance. Aucune décision de projet n'est engagée par ce document.</w:t>
            </w:r>
          </w:p>
        </w:tc>
      </w:tr>
    </w:tbl>
    <w:p>
      <w:pPr>
        <w:spacing w:after="40"/>
      </w:pPr>
    </w:p>
    <w:p>
      <w:pPr>
        <w:spacing w:after="120" w:before="80"/>
      </w:pPr>
      <w:r>
        <w:rPr>
          <w:b w:val="0"/>
          <w:i w:val="0"/>
          <w:sz w:val="19"/>
        </w:rPr>
        <w:t>Contact projet : ____________________     Date d'estimation : ____________</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