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0422B0"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0422B0"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0422B0"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0422B0"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0422B0"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0422B0"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0422B0"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0422B0"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0422B0"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0422B0"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0422B0"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0422B0"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0422B0"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0422B0"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0422B0"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0422B0"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0422B0"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0422B0"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0422B0"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0422B0"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0422B0"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0422B0"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0422B0"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0422B0"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0422B0"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0422B0"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0422B0"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0422B0"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0422B0"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0422B0"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0422B0"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0422B0"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0422B0"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0422B0"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0422B0"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0422B0"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0422B0"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0422B0"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0422B0"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0422B0"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0422B0"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0422B0"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0422B0"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0422B0"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0422B0"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0422B0"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0422B0"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0422B0"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0422B0"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0422B0"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0422B0"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0422B0"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0422B0"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0422B0"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0422B0"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0422B0"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0422B0"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0422B0"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0422B0"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0422B0"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0422B0"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0422B0"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0422B0"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0422B0"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lang w:val="en-US"/>
        </w:rPr>
      </w:pPr>
    </w:p>
    <w:p w:rsidR="008E6533" w:rsidRDefault="008E6533" w:rsidP="00041BEF">
      <w:pPr>
        <w:tabs>
          <w:tab w:val="left" w:pos="1440"/>
        </w:tabs>
        <w:rPr>
          <w:rFonts w:asciiTheme="minorHAnsi" w:hAnsiTheme="minorHAnsi" w:cstheme="minorHAnsi"/>
          <w:sz w:val="32"/>
          <w:szCs w:val="32"/>
          <w:lang w:val="en-US"/>
        </w:rPr>
      </w:pPr>
    </w:p>
    <w:bookmarkStart w:id="5" w:name="συντομογραφιες"/>
    <w:p w:rsidR="00000162" w:rsidRPr="00A87280" w:rsidRDefault="000422B0"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D85EB2"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D85EB2"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lastRenderedPageBreak/>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0422B0"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0422B0"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0422B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0422B0" w:rsidRPr="00896B93">
        <w:rPr>
          <w:rFonts w:ascii="Calibri" w:hAnsi="Calibri"/>
          <w:color w:val="000000" w:themeColor="text1"/>
        </w:rPr>
        <w:fldChar w:fldCharType="separate"/>
      </w:r>
      <w:r w:rsidR="00330EEC" w:rsidRPr="00896B93">
        <w:rPr>
          <w:rFonts w:ascii="Calibri" w:hAnsi="Calibri" w:cs="Calibri"/>
        </w:rPr>
        <w:t>(Kaushik, 2021)</w:t>
      </w:r>
      <w:r w:rsidR="000422B0"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0422B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0422B0" w:rsidRPr="00896B93">
        <w:rPr>
          <w:rFonts w:ascii="Calibri" w:hAnsi="Calibri"/>
          <w:color w:val="000000" w:themeColor="text1"/>
        </w:rPr>
        <w:fldChar w:fldCharType="separate"/>
      </w:r>
      <w:r w:rsidR="00330EEC" w:rsidRPr="00896B93">
        <w:rPr>
          <w:rFonts w:ascii="Calibri" w:hAnsi="Calibri" w:cs="Calibri"/>
        </w:rPr>
        <w:t>(Raunek, 2021)</w:t>
      </w:r>
      <w:r w:rsidR="000422B0"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0422B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0422B0" w:rsidRPr="00896B93">
        <w:rPr>
          <w:rFonts w:ascii="Calibri" w:hAnsi="Calibri"/>
          <w:color w:val="000000" w:themeColor="text1"/>
        </w:rPr>
        <w:fldChar w:fldCharType="separate"/>
      </w:r>
      <w:r w:rsidR="006F46CC" w:rsidRPr="00896B93">
        <w:rPr>
          <w:rFonts w:ascii="Calibri" w:hAnsi="Calibri" w:cs="Calibri"/>
        </w:rPr>
        <w:t>(Kaushik, 2021)</w:t>
      </w:r>
      <w:r w:rsidR="000422B0"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0422B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0422B0" w:rsidRPr="00896B93">
        <w:rPr>
          <w:rFonts w:ascii="Calibri" w:hAnsi="Calibri"/>
          <w:color w:val="000000" w:themeColor="text1"/>
        </w:rPr>
        <w:fldChar w:fldCharType="separate"/>
      </w:r>
      <w:r w:rsidR="006F46CC" w:rsidRPr="00896B93">
        <w:rPr>
          <w:rFonts w:ascii="Calibri" w:hAnsi="Calibri" w:cs="Calibri"/>
        </w:rPr>
        <w:t>(Raunek, 2021)</w:t>
      </w:r>
      <w:r w:rsidR="000422B0"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0422B0"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0422B0" w:rsidRPr="00896B93">
        <w:rPr>
          <w:rFonts w:ascii="Calibri" w:hAnsi="Calibri"/>
          <w:color w:val="000000" w:themeColor="text1"/>
        </w:rPr>
        <w:fldChar w:fldCharType="separate"/>
      </w:r>
      <w:r w:rsidR="001A174E" w:rsidRPr="00896B93">
        <w:rPr>
          <w:rFonts w:ascii="Calibri" w:hAnsi="Calibri" w:cs="Calibri"/>
        </w:rPr>
        <w:t>(Kaushik, 2021)</w:t>
      </w:r>
      <w:r w:rsidR="000422B0"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0422B0"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0422B0"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0422B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0422B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0422B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0422B0"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0422B0"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0422B0"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0422B0"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0422B0"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0422B0" w:rsidRPr="00336763">
        <w:rPr>
          <w:rFonts w:ascii="Calibri" w:hAnsi="Calibri"/>
          <w:color w:val="000000" w:themeColor="text1"/>
        </w:rPr>
        <w:fldChar w:fldCharType="separate"/>
      </w:r>
      <w:r w:rsidR="006655A6" w:rsidRPr="00336763">
        <w:rPr>
          <w:rFonts w:ascii="Calibri" w:hAnsi="Calibri" w:cs="Calibri"/>
        </w:rPr>
        <w:t>(Malan, 1999)</w:t>
      </w:r>
      <w:r w:rsidR="000422B0"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0422B0">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873EB4" w:rsidRPr="00873EB4">
        <w:rPr>
          <w:rFonts w:ascii="Calibri" w:hAnsi="Calibri" w:cs="Calibri"/>
        </w:rPr>
        <w:t>(qracorp, n.d.)</w:t>
      </w:r>
      <w:r w:rsidR="000422B0">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0422B0">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0422B0">
        <w:rPr>
          <w:rFonts w:ascii="Calibri" w:hAnsi="Calibri"/>
          <w:color w:val="000000" w:themeColor="text1"/>
        </w:rPr>
        <w:fldChar w:fldCharType="separate"/>
      </w:r>
      <w:r w:rsidR="0047410F" w:rsidRPr="0047410F">
        <w:rPr>
          <w:rFonts w:ascii="Calibri" w:hAnsi="Calibri" w:cs="Calibri"/>
        </w:rPr>
        <w:t>(Malan, 1999; Systemation, 2015)</w:t>
      </w:r>
      <w:r w:rsidR="000422B0">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873EB4" w:rsidRPr="00873EB4">
        <w:rPr>
          <w:rFonts w:ascii="Calibri" w:hAnsi="Calibri" w:cs="Calibri"/>
        </w:rPr>
        <w:t>(qracorp, n.d.)</w:t>
      </w:r>
      <w:r w:rsidR="000422B0">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0422B0"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D648DE" w:rsidRPr="00873EB4">
        <w:rPr>
          <w:rFonts w:ascii="Calibri" w:hAnsi="Calibri" w:cs="Calibri"/>
        </w:rPr>
        <w:t>(qracorp, n.d.)</w:t>
      </w:r>
      <w:r w:rsidR="000422B0">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D648DE" w:rsidRPr="00873EB4">
        <w:rPr>
          <w:rFonts w:ascii="Calibri" w:hAnsi="Calibri" w:cs="Calibri"/>
        </w:rPr>
        <w:t>(qracorp, n.d.)</w:t>
      </w:r>
      <w:r w:rsidR="000422B0">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D648DE" w:rsidRPr="00873EB4">
        <w:rPr>
          <w:rFonts w:ascii="Calibri" w:hAnsi="Calibri" w:cs="Calibri"/>
        </w:rPr>
        <w:t>(qracorp, n.d.)</w:t>
      </w:r>
      <w:r w:rsidR="000422B0">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D648DE" w:rsidRPr="00873EB4">
        <w:rPr>
          <w:rFonts w:ascii="Calibri" w:hAnsi="Calibri" w:cs="Calibri"/>
        </w:rPr>
        <w:t>(qracorp, n.d.)</w:t>
      </w:r>
      <w:r w:rsidR="000422B0">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0422B0"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0422B0"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0422B0">
        <w:rPr>
          <w:rFonts w:ascii="Calibri" w:hAnsi="Calibri"/>
          <w:color w:val="000000" w:themeColor="text1"/>
        </w:rPr>
        <w:fldChar w:fldCharType="separate"/>
      </w:r>
      <w:r w:rsidR="00E707AB" w:rsidRPr="00873EB4">
        <w:rPr>
          <w:rFonts w:ascii="Calibri" w:hAnsi="Calibri" w:cs="Calibri"/>
        </w:rPr>
        <w:t>(qracorp, n.d.)</w:t>
      </w:r>
      <w:r w:rsidR="000422B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0422B0"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0422B0">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0422B0">
        <w:rPr>
          <w:rFonts w:ascii="Calibri" w:hAnsi="Calibri"/>
        </w:rPr>
        <w:fldChar w:fldCharType="separate"/>
      </w:r>
      <w:r w:rsidRPr="0003497E">
        <w:rPr>
          <w:rFonts w:ascii="Calibri" w:hAnsi="Calibri"/>
        </w:rPr>
        <w:t>(Visual Paradigm, n.d.)</w:t>
      </w:r>
      <w:r w:rsidR="000422B0">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0422B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0422B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0422B0">
        <w:rPr>
          <w:rFonts w:ascii="Calibri" w:hAnsi="Calibri"/>
          <w:color w:val="000000" w:themeColor="text1"/>
        </w:rPr>
        <w:fldChar w:fldCharType="separate"/>
      </w:r>
      <w:r w:rsidR="003B1B32" w:rsidRPr="003B1B32">
        <w:rPr>
          <w:rFonts w:ascii="Calibri" w:hAnsi="Calibri" w:cs="Calibri"/>
        </w:rPr>
        <w:t>(Ion et al., 2011)</w:t>
      </w:r>
      <w:r w:rsidR="000422B0">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0422B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0422B0"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0422B0"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0422B0">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0422B0">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0422B0">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0422B0"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0422B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0422B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0422B0"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0422B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0422B0"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0422B0"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0422B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0422B0"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0422B0"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0422B0" w:rsidRPr="006D4113">
              <w:rPr>
                <w:rFonts w:ascii="Calibri" w:hAnsi="Calibri"/>
                <w:color w:val="365F91"/>
              </w:rPr>
              <w:fldChar w:fldCharType="separate"/>
            </w:r>
            <w:r w:rsidRPr="006D4113">
              <w:rPr>
                <w:rFonts w:ascii="Calibri" w:hAnsi="Calibri"/>
                <w:color w:val="365F91"/>
              </w:rPr>
              <w:t>(Visual Paradigm, n.d.)</w:t>
            </w:r>
            <w:r w:rsidR="000422B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0422B0"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0422B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0422B0"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0422B0"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0422B0" w:rsidRPr="00FE1CCB">
              <w:rPr>
                <w:rFonts w:ascii="Calibri" w:hAnsi="Calibri"/>
                <w:color w:val="365F91"/>
              </w:rPr>
              <w:fldChar w:fldCharType="separate"/>
            </w:r>
            <w:r w:rsidRPr="00FE1CCB">
              <w:rPr>
                <w:rFonts w:ascii="Calibri" w:hAnsi="Calibri"/>
                <w:color w:val="365F91"/>
              </w:rPr>
              <w:t>(Visual Paradigm, n.d.)</w:t>
            </w:r>
            <w:r w:rsidR="000422B0"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0422B0"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997BC3" w:rsidP="00DF226F">
      <w:pPr>
        <w:ind w:left="1440" w:firstLine="720"/>
        <w:jc w:val="both"/>
        <w:rPr>
          <w:rFonts w:ascii="Calibri" w:hAnsi="Calibri"/>
          <w:b/>
          <w:lang w:val="en-US"/>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Default="00D85EB2" w:rsidP="007706EF">
      <w:pPr>
        <w:ind w:left="720"/>
        <w:jc w:val="both"/>
        <w:rPr>
          <w:rFonts w:ascii="Calibri" w:hAnsi="Calibri"/>
          <w:b/>
          <w:lang w:val="en-US"/>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0422B0"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fldChar w:fldCharType="separate"/>
      </w:r>
      <w:r w:rsidRPr="004454AD">
        <w:t>(Kaushik, 2021)</w:t>
      </w:r>
      <w:r>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0422B0" w:rsidRPr="00584F8C">
        <w:rPr>
          <w:color w:val="000000" w:themeColor="text1"/>
        </w:rPr>
        <w:fldChar w:fldCharType="begin"/>
      </w:r>
      <w:r w:rsidR="00D34362" w:rsidRPr="00584F8C">
        <w:rPr>
          <w:color w:val="000000" w:themeColor="text1"/>
        </w:rPr>
        <w:instrText>HYPERLINK \l "περιεχομενα"</w:instrText>
      </w:r>
      <w:r w:rsidR="000422B0"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0422B0"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5501D8" w:rsidRDefault="005501D8" w:rsidP="005501D8">
      <w:pPr>
        <w:ind w:left="1440"/>
        <w:jc w:val="both"/>
        <w:rPr>
          <w:rFonts w:ascii="Calibri" w:hAnsi="Calibri"/>
          <w:color w:val="000000" w:themeColor="text1"/>
        </w:rPr>
      </w:pPr>
    </w:p>
    <w:p w:rsidR="00E42F13" w:rsidRPr="00E42F13" w:rsidRDefault="00E42F13" w:rsidP="00E42F13">
      <w:pPr>
        <w:jc w:val="both"/>
        <w:rPr>
          <w:rFonts w:ascii="Calibri" w:hAnsi="Calibri"/>
          <w:color w:val="000000" w:themeColor="text1"/>
        </w:rPr>
      </w:pPr>
    </w:p>
    <w:p w:rsidR="00E42F13" w:rsidRP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E42F13" w:rsidRPr="00E42F13" w:rsidRDefault="00E42F13"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αλλάξει το χρώμα φόντου της εφαρμογής </w:t>
      </w:r>
    </w:p>
    <w:p w:rsidR="00E42F13" w:rsidRPr="00E42F13" w:rsidRDefault="00E42F13"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Pr="00E42F13" w:rsidRDefault="00E42F13"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EE6967" w:rsidRPr="00E42F13" w:rsidRDefault="00E42F13" w:rsidP="00E42F13">
      <w:pPr>
        <w:pStyle w:val="a7"/>
        <w:numPr>
          <w:ilvl w:val="0"/>
          <w:numId w:val="11"/>
        </w:numPr>
        <w:jc w:val="both"/>
        <w:rPr>
          <w:rFonts w:ascii="Calibri" w:hAnsi="Calibri"/>
          <w:b/>
          <w:color w:val="000000" w:themeColor="text1"/>
        </w:rPr>
      </w:pPr>
      <w:r w:rsidRPr="00E42F13">
        <w:rPr>
          <w:rFonts w:ascii="Calibri" w:hAnsi="Calibri"/>
          <w:color w:val="000000" w:themeColor="text1"/>
        </w:rPr>
        <w:t xml:space="preserve">Δυνατότητα αλληλεπίδρασης και εξατομίκευσης όπως η αλληλεπίδραση με τα αναδυόμενα παράθυρα με τις σχετικές πληροφορίες για την επιλεγμένη θέση του πλοίου </w:t>
      </w: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0422B0"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0422B0"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0422B0" w:rsidP="007706EF">
      <w:pPr>
        <w:ind w:left="1080"/>
        <w:jc w:val="both"/>
        <w:rPr>
          <w:rFonts w:ascii="Calibri" w:hAnsi="Calibri"/>
          <w:b/>
          <w:color w:val="000000" w:themeColor="text1"/>
          <w:lang w:val="en-US"/>
        </w:rPr>
      </w:pPr>
      <w:hyperlink w:anchor="περιεχομενα" w:history="1">
        <w:r w:rsidR="007706EF" w:rsidRPr="00D85EB2">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0422B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0422B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0422B0"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0422B0"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0422B0"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0422B0" w:rsidRPr="00771F34">
        <w:rPr>
          <w:color w:val="000000" w:themeColor="text1"/>
        </w:rPr>
        <w:fldChar w:fldCharType="begin"/>
      </w:r>
      <w:r w:rsidR="00D34362" w:rsidRPr="00771F34">
        <w:rPr>
          <w:color w:val="000000" w:themeColor="text1"/>
        </w:rPr>
        <w:instrText>HYPERLINK \l "περιεχομενα"</w:instrText>
      </w:r>
      <w:r w:rsidR="000422B0"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0422B0"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0422B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0422B0"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0422B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0422B0"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0422B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0422B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0422B0" w:rsidRPr="00160B3A">
        <w:rPr>
          <w:color w:val="000000" w:themeColor="text1"/>
        </w:rPr>
        <w:fldChar w:fldCharType="begin"/>
      </w:r>
      <w:r w:rsidR="00D34362" w:rsidRPr="00160B3A">
        <w:rPr>
          <w:color w:val="000000" w:themeColor="text1"/>
        </w:rPr>
        <w:instrText>HYPERLINK \l "περιεχομενα"</w:instrText>
      </w:r>
      <w:r w:rsidR="000422B0"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0422B0"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0422B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0422B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0422B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0422B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0422B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0422B0" w:rsidRPr="00160B3A">
        <w:rPr>
          <w:color w:val="000000" w:themeColor="text1"/>
        </w:rPr>
        <w:fldChar w:fldCharType="begin"/>
      </w:r>
      <w:r w:rsidR="00D34362" w:rsidRPr="00160B3A">
        <w:rPr>
          <w:color w:val="000000" w:themeColor="text1"/>
        </w:rPr>
        <w:instrText>HYPERLINK \l "περιεχομενα"</w:instrText>
      </w:r>
      <w:r w:rsidR="000422B0"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0422B0"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0422B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0422B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0422B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0422B0"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B0A" w:rsidRDefault="00492B0A" w:rsidP="000B5F62">
      <w:r>
        <w:separator/>
      </w:r>
    </w:p>
  </w:endnote>
  <w:endnote w:type="continuationSeparator" w:id="1">
    <w:p w:rsidR="00492B0A" w:rsidRDefault="00492B0A"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8E504E" w:rsidRDefault="000422B0">
        <w:pPr>
          <w:pStyle w:val="a4"/>
          <w:jc w:val="right"/>
        </w:pPr>
        <w:fldSimple w:instr=" PAGE   \* MERGEFORMAT ">
          <w:r w:rsidR="005501D8">
            <w:rPr>
              <w:noProof/>
            </w:rPr>
            <w:t>33</w:t>
          </w:r>
        </w:fldSimple>
      </w:p>
    </w:sdtContent>
  </w:sdt>
  <w:p w:rsidR="008E504E" w:rsidRPr="006A6169" w:rsidRDefault="008E504E">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B0A" w:rsidRDefault="00492B0A" w:rsidP="000B5F62">
      <w:r>
        <w:separator/>
      </w:r>
    </w:p>
  </w:footnote>
  <w:footnote w:type="continuationSeparator" w:id="1">
    <w:p w:rsidR="00492B0A" w:rsidRDefault="00492B0A"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2">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6">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13"/>
  </w:num>
  <w:num w:numId="8">
    <w:abstractNumId w:val="14"/>
  </w:num>
  <w:num w:numId="9">
    <w:abstractNumId w:val="15"/>
  </w:num>
  <w:num w:numId="10">
    <w:abstractNumId w:val="10"/>
  </w:num>
  <w:num w:numId="11">
    <w:abstractNumId w:val="7"/>
  </w:num>
  <w:num w:numId="12">
    <w:abstractNumId w:val="12"/>
  </w:num>
  <w:num w:numId="13">
    <w:abstractNumId w:val="8"/>
  </w:num>
  <w:num w:numId="14">
    <w:abstractNumId w:val="3"/>
  </w:num>
  <w:num w:numId="15">
    <w:abstractNumId w:val="11"/>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2B0"/>
    <w:rsid w:val="00042C9B"/>
    <w:rsid w:val="00044A87"/>
    <w:rsid w:val="00044C9E"/>
    <w:rsid w:val="0004575A"/>
    <w:rsid w:val="000568F1"/>
    <w:rsid w:val="00057DC1"/>
    <w:rsid w:val="00084960"/>
    <w:rsid w:val="0009412C"/>
    <w:rsid w:val="00096C48"/>
    <w:rsid w:val="000B5F62"/>
    <w:rsid w:val="000C3151"/>
    <w:rsid w:val="000C674E"/>
    <w:rsid w:val="000D0B3C"/>
    <w:rsid w:val="000D117B"/>
    <w:rsid w:val="000E1486"/>
    <w:rsid w:val="000E3B79"/>
    <w:rsid w:val="000F215E"/>
    <w:rsid w:val="000F3FAA"/>
    <w:rsid w:val="001042CB"/>
    <w:rsid w:val="00112577"/>
    <w:rsid w:val="00112D33"/>
    <w:rsid w:val="00116207"/>
    <w:rsid w:val="00121D3C"/>
    <w:rsid w:val="0012512E"/>
    <w:rsid w:val="0012636D"/>
    <w:rsid w:val="0013378E"/>
    <w:rsid w:val="001366DC"/>
    <w:rsid w:val="00145A4F"/>
    <w:rsid w:val="0015168F"/>
    <w:rsid w:val="00154BCE"/>
    <w:rsid w:val="00160B3A"/>
    <w:rsid w:val="001637E0"/>
    <w:rsid w:val="0016597B"/>
    <w:rsid w:val="00167952"/>
    <w:rsid w:val="00186B70"/>
    <w:rsid w:val="00186E90"/>
    <w:rsid w:val="00195CAA"/>
    <w:rsid w:val="001A174E"/>
    <w:rsid w:val="001A343C"/>
    <w:rsid w:val="001A481B"/>
    <w:rsid w:val="001A5DB0"/>
    <w:rsid w:val="001B0C25"/>
    <w:rsid w:val="001B34CE"/>
    <w:rsid w:val="001B4DB8"/>
    <w:rsid w:val="001C1A00"/>
    <w:rsid w:val="001C2D83"/>
    <w:rsid w:val="001C2F59"/>
    <w:rsid w:val="001E14FA"/>
    <w:rsid w:val="001E2C31"/>
    <w:rsid w:val="001E2F09"/>
    <w:rsid w:val="001E38EB"/>
    <w:rsid w:val="001F02C1"/>
    <w:rsid w:val="001F48A0"/>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5C01"/>
    <w:rsid w:val="00336763"/>
    <w:rsid w:val="00340389"/>
    <w:rsid w:val="003403C8"/>
    <w:rsid w:val="003630A5"/>
    <w:rsid w:val="00371DB9"/>
    <w:rsid w:val="00374003"/>
    <w:rsid w:val="003744A2"/>
    <w:rsid w:val="00374A43"/>
    <w:rsid w:val="0037724A"/>
    <w:rsid w:val="00377665"/>
    <w:rsid w:val="003805A0"/>
    <w:rsid w:val="00382E98"/>
    <w:rsid w:val="003867E7"/>
    <w:rsid w:val="0039199A"/>
    <w:rsid w:val="0039460F"/>
    <w:rsid w:val="003A5DF9"/>
    <w:rsid w:val="003A6616"/>
    <w:rsid w:val="003B1B32"/>
    <w:rsid w:val="003B23AC"/>
    <w:rsid w:val="003C0761"/>
    <w:rsid w:val="003E712D"/>
    <w:rsid w:val="003F496B"/>
    <w:rsid w:val="003F7DF3"/>
    <w:rsid w:val="0041144D"/>
    <w:rsid w:val="0041302C"/>
    <w:rsid w:val="0042439F"/>
    <w:rsid w:val="00425E43"/>
    <w:rsid w:val="004277DC"/>
    <w:rsid w:val="00430BF0"/>
    <w:rsid w:val="00444906"/>
    <w:rsid w:val="004454AD"/>
    <w:rsid w:val="00454CCA"/>
    <w:rsid w:val="004601C6"/>
    <w:rsid w:val="004613C5"/>
    <w:rsid w:val="0046153F"/>
    <w:rsid w:val="004626BE"/>
    <w:rsid w:val="00464753"/>
    <w:rsid w:val="00472D5E"/>
    <w:rsid w:val="0047410F"/>
    <w:rsid w:val="00474634"/>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4431"/>
    <w:rsid w:val="004E51FB"/>
    <w:rsid w:val="004F3868"/>
    <w:rsid w:val="004F6DE7"/>
    <w:rsid w:val="005039E3"/>
    <w:rsid w:val="00503A3B"/>
    <w:rsid w:val="005443C2"/>
    <w:rsid w:val="005457FC"/>
    <w:rsid w:val="005501D8"/>
    <w:rsid w:val="005502E0"/>
    <w:rsid w:val="00553E53"/>
    <w:rsid w:val="005756E7"/>
    <w:rsid w:val="00584F8C"/>
    <w:rsid w:val="005908D3"/>
    <w:rsid w:val="00591063"/>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5E9E"/>
    <w:rsid w:val="007461C2"/>
    <w:rsid w:val="007527BD"/>
    <w:rsid w:val="00753CB3"/>
    <w:rsid w:val="00754000"/>
    <w:rsid w:val="00760F23"/>
    <w:rsid w:val="007706EF"/>
    <w:rsid w:val="00771F34"/>
    <w:rsid w:val="00774F22"/>
    <w:rsid w:val="00782ACA"/>
    <w:rsid w:val="00783D7F"/>
    <w:rsid w:val="007919F9"/>
    <w:rsid w:val="00796040"/>
    <w:rsid w:val="007B2AD9"/>
    <w:rsid w:val="007C3A35"/>
    <w:rsid w:val="007D4EF1"/>
    <w:rsid w:val="007E35FD"/>
    <w:rsid w:val="007E5870"/>
    <w:rsid w:val="007F1D32"/>
    <w:rsid w:val="007F4226"/>
    <w:rsid w:val="007F5C5F"/>
    <w:rsid w:val="007F5F6E"/>
    <w:rsid w:val="007F7D4A"/>
    <w:rsid w:val="00803C2B"/>
    <w:rsid w:val="00803ED4"/>
    <w:rsid w:val="0080728C"/>
    <w:rsid w:val="00815B8D"/>
    <w:rsid w:val="00827AEC"/>
    <w:rsid w:val="00832236"/>
    <w:rsid w:val="008347CC"/>
    <w:rsid w:val="00835E26"/>
    <w:rsid w:val="00840B84"/>
    <w:rsid w:val="00841108"/>
    <w:rsid w:val="008415F3"/>
    <w:rsid w:val="00845054"/>
    <w:rsid w:val="0085395A"/>
    <w:rsid w:val="00857722"/>
    <w:rsid w:val="00862EAC"/>
    <w:rsid w:val="00864905"/>
    <w:rsid w:val="00867DED"/>
    <w:rsid w:val="00867F44"/>
    <w:rsid w:val="00873EB4"/>
    <w:rsid w:val="00874DB0"/>
    <w:rsid w:val="008757EB"/>
    <w:rsid w:val="00875C4D"/>
    <w:rsid w:val="00880353"/>
    <w:rsid w:val="00880C10"/>
    <w:rsid w:val="0088351B"/>
    <w:rsid w:val="00886B39"/>
    <w:rsid w:val="00894F86"/>
    <w:rsid w:val="00896B93"/>
    <w:rsid w:val="008B0C3D"/>
    <w:rsid w:val="008B4FA0"/>
    <w:rsid w:val="008D4DF9"/>
    <w:rsid w:val="008E007A"/>
    <w:rsid w:val="008E2327"/>
    <w:rsid w:val="008E402C"/>
    <w:rsid w:val="008E504E"/>
    <w:rsid w:val="008E6533"/>
    <w:rsid w:val="008F0A93"/>
    <w:rsid w:val="008F0B37"/>
    <w:rsid w:val="008F2BEB"/>
    <w:rsid w:val="008F6301"/>
    <w:rsid w:val="008F7619"/>
    <w:rsid w:val="008F7833"/>
    <w:rsid w:val="009065DE"/>
    <w:rsid w:val="00911840"/>
    <w:rsid w:val="00913D9F"/>
    <w:rsid w:val="009141BE"/>
    <w:rsid w:val="00920718"/>
    <w:rsid w:val="00922885"/>
    <w:rsid w:val="009249DD"/>
    <w:rsid w:val="009321C7"/>
    <w:rsid w:val="009402AE"/>
    <w:rsid w:val="00940F82"/>
    <w:rsid w:val="00950A6D"/>
    <w:rsid w:val="00957DD8"/>
    <w:rsid w:val="009715C3"/>
    <w:rsid w:val="00997BC3"/>
    <w:rsid w:val="009A3E16"/>
    <w:rsid w:val="009A53FD"/>
    <w:rsid w:val="009A65D7"/>
    <w:rsid w:val="009B38B6"/>
    <w:rsid w:val="009B6564"/>
    <w:rsid w:val="009C35E0"/>
    <w:rsid w:val="009D0A1A"/>
    <w:rsid w:val="009E7A10"/>
    <w:rsid w:val="009F0E53"/>
    <w:rsid w:val="009F136C"/>
    <w:rsid w:val="009F138B"/>
    <w:rsid w:val="009F3C68"/>
    <w:rsid w:val="00A1063A"/>
    <w:rsid w:val="00A11BB9"/>
    <w:rsid w:val="00A16215"/>
    <w:rsid w:val="00A17DCE"/>
    <w:rsid w:val="00A22F8A"/>
    <w:rsid w:val="00A27E96"/>
    <w:rsid w:val="00A30EB7"/>
    <w:rsid w:val="00A33287"/>
    <w:rsid w:val="00A44471"/>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B015E5"/>
    <w:rsid w:val="00B02754"/>
    <w:rsid w:val="00B1093B"/>
    <w:rsid w:val="00B12757"/>
    <w:rsid w:val="00B14FBE"/>
    <w:rsid w:val="00B20721"/>
    <w:rsid w:val="00B22387"/>
    <w:rsid w:val="00B2332F"/>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A3BF5"/>
    <w:rsid w:val="00BA5BA3"/>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5143C"/>
    <w:rsid w:val="00C66373"/>
    <w:rsid w:val="00C67180"/>
    <w:rsid w:val="00C7587D"/>
    <w:rsid w:val="00C76797"/>
    <w:rsid w:val="00C82264"/>
    <w:rsid w:val="00C84685"/>
    <w:rsid w:val="00C8663B"/>
    <w:rsid w:val="00C87BD8"/>
    <w:rsid w:val="00C92575"/>
    <w:rsid w:val="00CA04BF"/>
    <w:rsid w:val="00CA31B1"/>
    <w:rsid w:val="00CA4871"/>
    <w:rsid w:val="00CA79BE"/>
    <w:rsid w:val="00CD332E"/>
    <w:rsid w:val="00CD6F86"/>
    <w:rsid w:val="00CD7D96"/>
    <w:rsid w:val="00CE20FA"/>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1594"/>
    <w:rsid w:val="00D52F02"/>
    <w:rsid w:val="00D55807"/>
    <w:rsid w:val="00D63501"/>
    <w:rsid w:val="00D648DE"/>
    <w:rsid w:val="00D66C8D"/>
    <w:rsid w:val="00D70F39"/>
    <w:rsid w:val="00D71766"/>
    <w:rsid w:val="00D82A93"/>
    <w:rsid w:val="00D85EB2"/>
    <w:rsid w:val="00D863EE"/>
    <w:rsid w:val="00D93501"/>
    <w:rsid w:val="00D97A1F"/>
    <w:rsid w:val="00DA1AE2"/>
    <w:rsid w:val="00DB467B"/>
    <w:rsid w:val="00DB4F74"/>
    <w:rsid w:val="00DC1848"/>
    <w:rsid w:val="00DD1250"/>
    <w:rsid w:val="00DD16E9"/>
    <w:rsid w:val="00DE147F"/>
    <w:rsid w:val="00DE1EF8"/>
    <w:rsid w:val="00DE5893"/>
    <w:rsid w:val="00DF226F"/>
    <w:rsid w:val="00DF3F22"/>
    <w:rsid w:val="00DF627D"/>
    <w:rsid w:val="00DF6453"/>
    <w:rsid w:val="00DF7BAA"/>
    <w:rsid w:val="00E01A5C"/>
    <w:rsid w:val="00E0209B"/>
    <w:rsid w:val="00E10D3D"/>
    <w:rsid w:val="00E21CB9"/>
    <w:rsid w:val="00E22F6F"/>
    <w:rsid w:val="00E26C87"/>
    <w:rsid w:val="00E31BC5"/>
    <w:rsid w:val="00E361A2"/>
    <w:rsid w:val="00E42F13"/>
    <w:rsid w:val="00E531E9"/>
    <w:rsid w:val="00E55F0F"/>
    <w:rsid w:val="00E64231"/>
    <w:rsid w:val="00E67A8A"/>
    <w:rsid w:val="00E707AB"/>
    <w:rsid w:val="00E729F4"/>
    <w:rsid w:val="00E80E8F"/>
    <w:rsid w:val="00E87FBF"/>
    <w:rsid w:val="00EA077F"/>
    <w:rsid w:val="00EA5E5B"/>
    <w:rsid w:val="00EC1EE0"/>
    <w:rsid w:val="00EC52E9"/>
    <w:rsid w:val="00ED2690"/>
    <w:rsid w:val="00EE0214"/>
    <w:rsid w:val="00EE6967"/>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33</Pages>
  <Words>11440</Words>
  <Characters>61776</Characters>
  <Application>Microsoft Office Word</Application>
  <DocSecurity>0</DocSecurity>
  <Lines>514</Lines>
  <Paragraphs>146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536</cp:revision>
  <dcterms:created xsi:type="dcterms:W3CDTF">2021-07-04T18:57:00Z</dcterms:created>
  <dcterms:modified xsi:type="dcterms:W3CDTF">2021-07-08T20:31:00Z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