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q33ux6t2b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151301</wp:posOffset>
            </wp:positionV>
            <wp:extent cx="2143125" cy="191290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7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12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S.L.C. Agence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Times New Roman" w:cs="Times New Roman" w:eastAsia="Times New Roman" w:hAnsi="Times New Roman"/>
          <w:sz w:val="62"/>
          <w:szCs w:val="62"/>
        </w:rPr>
      </w:pPr>
      <w:bookmarkStart w:colFirst="0" w:colLast="0" w:name="_arytog9gkws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Cahier des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jueugk18ydk" w:id="2"/>
      <w:bookmarkEnd w:id="2"/>
      <w:r w:rsidDel="00000000" w:rsidR="00000000" w:rsidRPr="00000000">
        <w:rPr>
          <w:rtl w:val="0"/>
        </w:rPr>
        <w:t xml:space="preserve">Sommaire :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4"/>
        </w:numPr>
        <w:spacing w:after="0" w:afterAutospacing="0" w:line="360" w:lineRule="auto"/>
        <w:ind w:left="720" w:hanging="360"/>
      </w:pPr>
      <w:bookmarkStart w:colFirst="0" w:colLast="0" w:name="_8tvihdi0rqy" w:id="3"/>
      <w:bookmarkEnd w:id="3"/>
      <w:r w:rsidDel="00000000" w:rsidR="00000000" w:rsidRPr="00000000">
        <w:rPr>
          <w:rtl w:val="0"/>
        </w:rPr>
        <w:t xml:space="preserve">Environnement du projet.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bookmarkStart w:colFirst="0" w:colLast="0" w:name="_m3152het1821" w:id="4"/>
      <w:bookmarkEnd w:id="4"/>
      <w:r w:rsidDel="00000000" w:rsidR="00000000" w:rsidRPr="00000000">
        <w:rPr>
          <w:rtl w:val="0"/>
        </w:rPr>
        <w:t xml:space="preserve">Contexte du projet.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h5s5g3yafnnd" w:id="5"/>
      <w:bookmarkEnd w:id="5"/>
      <w:r w:rsidDel="00000000" w:rsidR="00000000" w:rsidRPr="00000000">
        <w:rPr>
          <w:rtl w:val="0"/>
        </w:rPr>
        <w:t xml:space="preserve">Interlocuteurs.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ko6l5hu317b1" w:id="6"/>
      <w:bookmarkEnd w:id="6"/>
      <w:r w:rsidDel="00000000" w:rsidR="00000000" w:rsidRPr="00000000">
        <w:rPr>
          <w:rtl w:val="0"/>
        </w:rPr>
        <w:t xml:space="preserve">Exigences fonctionnelles.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cv624n5typcb" w:id="7"/>
      <w:bookmarkEnd w:id="7"/>
      <w:r w:rsidDel="00000000" w:rsidR="00000000" w:rsidRPr="00000000">
        <w:rPr>
          <w:rtl w:val="0"/>
        </w:rPr>
        <w:t xml:space="preserve">Exigences non fonctionnelles.</w:t>
      </w:r>
    </w:p>
    <w:p w:rsidR="00000000" w:rsidDel="00000000" w:rsidP="00000000" w:rsidRDefault="00000000" w:rsidRPr="00000000" w14:paraId="00000013">
      <w:pPr>
        <w:pStyle w:val="Heading5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ai5yfwm3bp9c" w:id="8"/>
      <w:bookmarkEnd w:id="8"/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14">
      <w:pPr>
        <w:pStyle w:val="Heading5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743f50j7qskh" w:id="9"/>
      <w:bookmarkEnd w:id="9"/>
      <w:r w:rsidDel="00000000" w:rsidR="00000000" w:rsidRPr="00000000">
        <w:rPr>
          <w:rtl w:val="0"/>
        </w:rPr>
        <w:t xml:space="preserve">Ergonomie.</w:t>
      </w:r>
    </w:p>
    <w:p w:rsidR="00000000" w:rsidDel="00000000" w:rsidP="00000000" w:rsidRDefault="00000000" w:rsidRPr="00000000" w14:paraId="00000015">
      <w:pPr>
        <w:pStyle w:val="Heading5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eiorycat9jgn" w:id="10"/>
      <w:bookmarkEnd w:id="10"/>
      <w:r w:rsidDel="00000000" w:rsidR="00000000" w:rsidRPr="00000000">
        <w:rPr>
          <w:rtl w:val="0"/>
        </w:rPr>
        <w:t xml:space="preserve">Volumétrie</w:t>
      </w:r>
    </w:p>
    <w:p w:rsidR="00000000" w:rsidDel="00000000" w:rsidP="00000000" w:rsidRDefault="00000000" w:rsidRPr="00000000" w14:paraId="00000016">
      <w:pPr>
        <w:pStyle w:val="Heading5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bs3bxxssk4ip" w:id="11"/>
      <w:bookmarkEnd w:id="11"/>
      <w:r w:rsidDel="00000000" w:rsidR="00000000" w:rsidRPr="00000000">
        <w:rPr>
          <w:rtl w:val="0"/>
        </w:rPr>
        <w:t xml:space="preserve">Sécurité.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kvcb0grjwea5" w:id="12"/>
      <w:bookmarkEnd w:id="12"/>
      <w:r w:rsidDel="00000000" w:rsidR="00000000" w:rsidRPr="00000000">
        <w:rPr>
          <w:rtl w:val="0"/>
        </w:rPr>
        <w:t xml:space="preserve">Risque du projet.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yom4vvyq4ynh" w:id="13"/>
      <w:bookmarkEnd w:id="13"/>
      <w:r w:rsidDel="00000000" w:rsidR="00000000" w:rsidRPr="00000000">
        <w:rPr>
          <w:rtl w:val="0"/>
        </w:rPr>
        <w:t xml:space="preserve">Principaux jalons.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ba96u07w0ufm" w:id="14"/>
      <w:bookmarkEnd w:id="14"/>
      <w:r w:rsidDel="00000000" w:rsidR="00000000" w:rsidRPr="00000000">
        <w:rPr>
          <w:rtl w:val="0"/>
        </w:rPr>
        <w:t xml:space="preserve">Limites du projet.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t39kgib8idj" w:id="15"/>
      <w:bookmarkEnd w:id="15"/>
      <w:r w:rsidDel="00000000" w:rsidR="00000000" w:rsidRPr="00000000">
        <w:rPr>
          <w:rtl w:val="0"/>
        </w:rPr>
        <w:t xml:space="preserve">Livrables.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do6blm3ulgk6" w:id="16"/>
      <w:bookmarkEnd w:id="16"/>
      <w:r w:rsidDel="00000000" w:rsidR="00000000" w:rsidRPr="00000000">
        <w:rPr>
          <w:rtl w:val="0"/>
        </w:rPr>
        <w:t xml:space="preserve">Budget.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bookmarkStart w:colFirst="0" w:colLast="0" w:name="_qbgpctq0l6rq" w:id="17"/>
      <w:bookmarkEnd w:id="17"/>
      <w:r w:rsidDel="00000000" w:rsidR="00000000" w:rsidRPr="00000000">
        <w:rPr>
          <w:rtl w:val="0"/>
        </w:rPr>
        <w:t xml:space="preserve">Plan du futur studio.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4"/>
        </w:numPr>
        <w:spacing w:before="0" w:beforeAutospacing="0"/>
        <w:ind w:left="720" w:hanging="360"/>
      </w:pPr>
      <w:bookmarkStart w:colFirst="0" w:colLast="0" w:name="_t8ugo5xsb9iv" w:id="18"/>
      <w:bookmarkEnd w:id="18"/>
      <w:r w:rsidDel="00000000" w:rsidR="00000000" w:rsidRPr="00000000">
        <w:rPr>
          <w:rtl w:val="0"/>
        </w:rPr>
        <w:t xml:space="preserve">Rentabilité du studio</w:t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wctvhdd31my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l243guumxgzl" w:id="20"/>
      <w:bookmarkEnd w:id="20"/>
      <w:r w:rsidDel="00000000" w:rsidR="00000000" w:rsidRPr="00000000">
        <w:rPr>
          <w:rtl w:val="0"/>
        </w:rPr>
        <w:t xml:space="preserve">Environnement du projet.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Le projet se déroule dans un pavillon à Sarcelle Village. Le quartier est bien desservi, avec des commerçants et des écoles à proximité.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3zhntu8tzy5f" w:id="21"/>
      <w:bookmarkEnd w:id="21"/>
      <w:r w:rsidDel="00000000" w:rsidR="00000000" w:rsidRPr="00000000">
        <w:rPr>
          <w:rtl w:val="0"/>
        </w:rPr>
        <w:t xml:space="preserve">Contexte du projet.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Mes parents, propriétaire d’un pavillon, souhaitent réaménager ma chambre de 30m2 en studio afin de le louer après mon départ, à la fin de mes études.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Mes parents vont bientôt prendre leur retraite, ainsi louer ma chambre leur donnera un revenu supplémentaire. Il est donc important que le projet soit rentable et réalisable avec 7000€ de budget et le délai qui est fixé à fin Août.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Cependant, ma mère et ma sœur s’opposent à la location du studio.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i3vm8trjcv8p" w:id="22"/>
      <w:bookmarkEnd w:id="22"/>
      <w:r w:rsidDel="00000000" w:rsidR="00000000" w:rsidRPr="00000000">
        <w:rPr>
          <w:rtl w:val="0"/>
        </w:rPr>
        <w:t xml:space="preserve">Interlocuteurs.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Au sein de ce projet, nous avons les agents suivants: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 père 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Rôle : Client du projet et plombier.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Fonctions : </w:t>
      </w:r>
      <w:r w:rsidDel="00000000" w:rsidR="00000000" w:rsidRPr="00000000">
        <w:rPr>
          <w:rtl w:val="0"/>
        </w:rPr>
        <w:t xml:space="preserve">installer</w:t>
      </w:r>
      <w:r w:rsidDel="00000000" w:rsidR="00000000" w:rsidRPr="00000000">
        <w:rPr>
          <w:rtl w:val="0"/>
        </w:rPr>
        <w:t xml:space="preserve"> le coin douche dans le studio.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 mère 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Rôle : Client du projet.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Moi 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Rôle : Chef du projet.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Fonction : organiser le projet, transformer les besoins des clients en exigences afin de les satisfaire grâce aux ressources.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1lcbm6dglguv" w:id="23"/>
      <w:bookmarkEnd w:id="23"/>
      <w:r w:rsidDel="00000000" w:rsidR="00000000" w:rsidRPr="00000000">
        <w:rPr>
          <w:rtl w:val="0"/>
        </w:rPr>
        <w:t xml:space="preserve">Exigences fonctionnelles.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Mes parents, clients du projets ont exprimé les besoins suivants 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Réaménager la chambre en studio rénové, meublé avec coin douche pour 7000€ de budget, afin de le louer avant fin Août.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Acheter les matériaux nécessaires à la rénovation de la chambre avec 50% du budget du client pour début Juillet.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Refaire et vérifier l’isolation totale du studio grâce aux matériaux achetés pour fin Juillet.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3r3pmeo5gxma" w:id="24"/>
      <w:bookmarkEnd w:id="24"/>
      <w:r w:rsidDel="00000000" w:rsidR="00000000" w:rsidRPr="00000000">
        <w:rPr>
          <w:rtl w:val="0"/>
        </w:rPr>
        <w:t xml:space="preserve">Exigences non fonctionnelles.</w:t>
      </w:r>
    </w:p>
    <w:p w:rsidR="00000000" w:rsidDel="00000000" w:rsidP="00000000" w:rsidRDefault="00000000" w:rsidRPr="00000000" w14:paraId="0000003C">
      <w:pPr>
        <w:pStyle w:val="Heading4"/>
        <w:numPr>
          <w:ilvl w:val="1"/>
          <w:numId w:val="1"/>
        </w:numPr>
        <w:spacing w:before="0" w:beforeAutospacing="0" w:line="360" w:lineRule="auto"/>
        <w:ind w:left="1440" w:hanging="360"/>
        <w:jc w:val="both"/>
        <w:rPr>
          <w:color w:val="666666"/>
          <w:sz w:val="24"/>
          <w:szCs w:val="24"/>
        </w:rPr>
      </w:pPr>
      <w:bookmarkStart w:colFirst="0" w:colLast="0" w:name="_8pwtc6ptx688" w:id="25"/>
      <w:bookmarkEnd w:id="25"/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Les clients ont besoin de rénover puis louer ma chambre de 30m2 qui respecte les normes de location pour qu’elle soit </w:t>
      </w:r>
      <w:r w:rsidDel="00000000" w:rsidR="00000000" w:rsidRPr="00000000">
        <w:rPr>
          <w:rtl w:val="0"/>
        </w:rPr>
        <w:t xml:space="preserve">louable.</w:t>
      </w:r>
      <w:r w:rsidDel="00000000" w:rsidR="00000000" w:rsidRPr="00000000">
        <w:rPr>
          <w:rtl w:val="0"/>
        </w:rPr>
        <w:t xml:space="preserve"> Ensuite, ils souhaitent que la chambre ait un accès extérieur pour le futur locataire.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1"/>
          <w:numId w:val="1"/>
        </w:numPr>
        <w:spacing w:line="360" w:lineRule="auto"/>
        <w:ind w:left="1440" w:hanging="360"/>
        <w:jc w:val="both"/>
        <w:rPr>
          <w:color w:val="666666"/>
          <w:sz w:val="24"/>
          <w:szCs w:val="24"/>
        </w:rPr>
      </w:pPr>
      <w:bookmarkStart w:colFirst="0" w:colLast="0" w:name="_1k4b5vt85fnx" w:id="26"/>
      <w:bookmarkEnd w:id="26"/>
      <w:r w:rsidDel="00000000" w:rsidR="00000000" w:rsidRPr="00000000">
        <w:rPr>
          <w:rtl w:val="0"/>
        </w:rPr>
        <w:t xml:space="preserve">Ergonomie.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Mes parents souhaitent que le futur studio soit insonorisé, isolé et spacieux afin que je puisse jouer tranquillement avec mon groupe de musique.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Ils désirent aussi qu’il y </w:t>
      </w:r>
      <w:r w:rsidDel="00000000" w:rsidR="00000000" w:rsidRPr="00000000">
        <w:rPr>
          <w:rtl w:val="0"/>
        </w:rPr>
        <w:t xml:space="preserve">ait</w:t>
      </w:r>
      <w:r w:rsidDel="00000000" w:rsidR="00000000" w:rsidRPr="00000000">
        <w:rPr>
          <w:rtl w:val="0"/>
        </w:rPr>
        <w:t xml:space="preserve"> un coin douche pour le futur locataire.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Et enfin, ils souhaitent que la location ait une bonne rentabilité.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1"/>
          <w:numId w:val="1"/>
        </w:numPr>
        <w:spacing w:line="360" w:lineRule="auto"/>
        <w:ind w:left="1440" w:hanging="360"/>
        <w:jc w:val="both"/>
        <w:rPr>
          <w:color w:val="666666"/>
          <w:sz w:val="24"/>
          <w:szCs w:val="24"/>
        </w:rPr>
      </w:pPr>
      <w:bookmarkStart w:colFirst="0" w:colLast="0" w:name="_3p3qfkphue4v" w:id="27"/>
      <w:bookmarkEnd w:id="27"/>
      <w:r w:rsidDel="00000000" w:rsidR="00000000" w:rsidRPr="00000000">
        <w:rPr>
          <w:rtl w:val="0"/>
        </w:rPr>
        <w:t xml:space="preserve">Volumétrie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Dans notre pavillon, nous avons la chambre à rénover de 30m2 dont la surface des murs est de 50m2 environ. Puis nous avons un garage pour pouvoir stocker les matériaux.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j9jxout1tak9" w:id="28"/>
      <w:bookmarkEnd w:id="28"/>
      <w:r w:rsidDel="00000000" w:rsidR="00000000" w:rsidRPr="00000000">
        <w:rPr>
          <w:rtl w:val="0"/>
        </w:rPr>
        <w:t xml:space="preserve">Risque du projet.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Afin que le projet se réalise, il est important d’anticiper les risques suivants 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RISQUES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CONSÉQUENCES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ma mère et ma soeur refusent la location du studio.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 projet va échouer car le studio ne sera pas loué.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Faire un compromis entre ma mère et mon père sur le futur de la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qualité du projet ne convient pas à mes parents.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durée du projet sera rallongée et ne respectera pas le coût et le délai.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Rallonger le délai et le coût du projet pour augmenter sa qualité.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le studio n’est pas loué après la fin des travaux.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 projet n’aura aucun retour sur l’investissement et n’aura servi à rien.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Revoir le prix du loyer et la rentabilité du projet.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l’un des acteurs n’est plus disponible.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réalisation du projet sera compromise et cela rallongera fortement la durée du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Trouver un autre acteur ou confier la ou les tâches à l’ouvrier engagé afin de limiter le retard du projet.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oiigqkkr6ito" w:id="29"/>
      <w:bookmarkEnd w:id="29"/>
      <w:r w:rsidDel="00000000" w:rsidR="00000000" w:rsidRPr="00000000">
        <w:rPr>
          <w:rtl w:val="0"/>
        </w:rPr>
        <w:t xml:space="preserve">Principaux jalons.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Début du projet</w:t>
      </w:r>
      <w:r w:rsidDel="00000000" w:rsidR="00000000" w:rsidRPr="00000000">
        <w:rPr>
          <w:rtl w:val="0"/>
        </w:rPr>
        <w:t xml:space="preserve"> : 10/06/2022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Fin du projet</w:t>
      </w:r>
      <w:r w:rsidDel="00000000" w:rsidR="00000000" w:rsidRPr="00000000">
        <w:rPr>
          <w:rtl w:val="0"/>
        </w:rPr>
        <w:t xml:space="preserve"> : 26/08/2022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fyrxnvpw5hr4" w:id="30"/>
      <w:bookmarkEnd w:id="30"/>
      <w:r w:rsidDel="00000000" w:rsidR="00000000" w:rsidRPr="00000000">
        <w:rPr>
          <w:rtl w:val="0"/>
        </w:rPr>
        <w:t xml:space="preserve">Limites du projet.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Afin que le projet se réalise, il est important de préciser les limites du projet 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Pour le studio, il n’y aura pas de coin cuisine.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location du studio sera à la responsabilité de mes parents.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1"/>
        </w:numPr>
        <w:spacing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vv96pzecmlnc" w:id="31"/>
      <w:bookmarkEnd w:id="31"/>
      <w:r w:rsidDel="00000000" w:rsidR="00000000" w:rsidRPr="00000000">
        <w:rPr>
          <w:rtl w:val="0"/>
        </w:rPr>
        <w:t xml:space="preserve">Livrables.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gridCol w:w="2610"/>
        <w:tblGridChange w:id="0">
          <w:tblGrid>
            <w:gridCol w:w="639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Acheter et recevoir la livraison du matériel.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20/06/2022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Refaire l'isolation sonore et humidité de la chambre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Installer la douche et les toilettes.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22/07/2022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Peindre les murs.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12/08/2022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Aménager et décorer la chambre avec les meubles.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26/08/2022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1"/>
        </w:numPr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blztl6r6t9vt" w:id="32"/>
      <w:bookmarkEnd w:id="32"/>
      <w:r w:rsidDel="00000000" w:rsidR="00000000" w:rsidRPr="00000000">
        <w:rPr>
          <w:rtl w:val="0"/>
        </w:rPr>
        <w:t xml:space="preserve">Budget.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60.0" w:type="pct"/>
        <w:tblLayout w:type="fixed"/>
        <w:tblLook w:val="0600"/>
      </w:tblPr>
      <w:tblGrid>
        <w:gridCol w:w="6285"/>
        <w:gridCol w:w="2805"/>
        <w:tblGridChange w:id="0">
          <w:tblGrid>
            <w:gridCol w:w="6285"/>
            <w:gridCol w:w="280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4d4d4d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</w:t>
            </w:r>
          </w:p>
        </w:tc>
        <w:tc>
          <w:tcPr>
            <w:tcBorders>
              <w:top w:color="4d4d4d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Père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Mère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Copine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Sasha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Soeur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Omar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Ouvrier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2400,00 €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595959" w:space="0" w:sz="6" w:val="single"/>
              <w:left w:color="4d4d4d" w:space="0" w:sz="6" w:val="single"/>
              <w:bottom w:color="595959" w:space="0" w:sz="6" w:val="single"/>
              <w:right w:color="595959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Fournisseur (Matériaux)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4d4d4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4000,00 €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595959" w:space="0" w:sz="6" w:val="single"/>
              <w:left w:color="4d4d4d" w:space="0" w:sz="6" w:val="single"/>
              <w:bottom w:color="4d4d4d" w:space="0" w:sz="6" w:val="single"/>
              <w:right w:color="595959" w:space="0" w:sz="6" w:val="single"/>
            </w:tcBorders>
            <w:shd w:fill="ffe5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4d4d4d" w:space="0" w:sz="6" w:val="single"/>
              <w:right w:color="4d4d4d" w:space="0" w:sz="6" w:val="single"/>
            </w:tcBorders>
            <w:shd w:fill="ffe59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6400,00 €</w:t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1"/>
        </w:numPr>
        <w:ind w:left="720" w:hanging="360"/>
        <w:jc w:val="both"/>
        <w:rPr/>
      </w:pPr>
      <w:bookmarkStart w:colFirst="0" w:colLast="0" w:name="_fwxoqolfqonz" w:id="33"/>
      <w:bookmarkEnd w:id="33"/>
      <w:r w:rsidDel="00000000" w:rsidR="00000000" w:rsidRPr="00000000">
        <w:rPr>
          <w:rtl w:val="0"/>
        </w:rPr>
        <w:t xml:space="preserve">Plan du futur studio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0638" cy="44482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44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aiq5iupe936j" w:id="34"/>
      <w:bookmarkEnd w:id="34"/>
      <w:r w:rsidDel="00000000" w:rsidR="00000000" w:rsidRPr="00000000">
        <w:rPr>
          <w:rtl w:val="0"/>
        </w:rPr>
        <w:t xml:space="preserve">Rentabilité du Studio 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Pour déterminer le retour sur investissement sur le studio, il faut connaître le prix du loyer pour le futur locataire. Nous avons investi pour 6400 € donc il faut déterminer le seuil de rentabilité sur le loyer.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Prix du loyer (par mois)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Seuil de rentabilité (en mois)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partir de 9 mois.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partir de 13 mois.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partir de 22 mois.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Après avoir étudié le marché de location de studio, il est préférable de placer le loyer à 500 € par mois pour avoir un début de rentabilité après 1 an de location.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Date de la dernière mise à jour : 30 mars 2022</w:t>
    </w:r>
    <w:r w:rsidDel="00000000" w:rsidR="00000000" w:rsidRPr="00000000">
      <w:rPr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Samuel Dorismond</w:t>
    </w:r>
  </w:p>
  <w:p w:rsidR="00000000" w:rsidDel="00000000" w:rsidP="00000000" w:rsidRDefault="00000000" w:rsidRPr="00000000" w14:paraId="000000A4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Lucas Aguetaï</w:t>
    </w:r>
  </w:p>
  <w:p w:rsidR="00000000" w:rsidDel="00000000" w:rsidP="00000000" w:rsidRDefault="00000000" w:rsidRPr="00000000" w14:paraId="000000A5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Charaf Essayah</w:t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