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住宅IP代理详解：工作原理、类型与使用场景选型指南（2026）</w:t>
      </w:r>
    </w:p>
    <w:p>
      <w:pPr/>
      <w:r>
        <w:t xml:space="preserve">本文详细解析住宅代理的定义、工作原理、核心类型与使用场景，并提供实用的住宅IP选型指南和常见问题解答，帮助用户在跨境电商、社媒运营、广告投放等场景中选择最合适的住宅代理解决方案。</w:t>
      </w:r>
    </w:p>
    <w:p>
      <w:pPr/>
      <w:r/>
      <w:r>
        <w:drawing>
          <wp:inline distT="0" distB="0" distL="0" distR="0">
            <wp:extent cx="6953250" cy="4115572"/>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953250" cy="4115572"/>
                    </a:xfrm>
                    <a:prstGeom prst="rect">
                      <a:avLst/>
                    </a:prstGeom>
                  </pic:spPr>
                </pic:pic>
              </a:graphicData>
            </a:graphic>
          </wp:inline>
        </w:drawing>
      </w:r>
      <w:r/>
    </w:p>
    <w:p>
      <w:pPr/>
      <w:r/>
      <w:r>
        <w:drawing>
          <wp:inline distT="0" distB="0" distL="0" distR="0">
            <wp:extent cx="6324600" cy="4191000"/>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324600" cy="4191000"/>
                    </a:xfrm>
                    <a:prstGeom prst="rect">
                      <a:avLst/>
                    </a:prstGeom>
                  </pic:spPr>
                </pic:pic>
              </a:graphicData>
            </a:graphic>
          </wp:inline>
        </w:drawing>
      </w:r>
      <w:r/>
    </w:p>
    <w:p>
      <w:bookmarkStart w:id="mpf3yxe946ddzkhan2c" w:name="mpf3yxe946ddzkhan2c"/>
      <w:pPr>
        <w:pStyle w:val="dingding-heading2"/>
      </w:pPr>
      <w:r>
        <w:t xml:space="preserve">一、什么是住宅代理？</w:t>
      </w:r>
      <w:bookmarkEnd w:id="mpf3yxe946ddzkhan2c"/>
    </w:p>
    <w:p>
      <w:pPr/>
      <w:r>
        <w:rPr>
          <w:b w:val="1"/>
        </w:rPr>
        <w:t xml:space="preserve">住宅代理</w:t>
      </w:r>
      <w:r>
        <w:t xml:space="preserve">是指通过互联网服务提供商（ISP）分配给真实家庭用户的IP地址所构建的代理网络。与数据中心代理不同，住宅代理的每一个IP都与真实的物理地址绑定，对目标网站而言，访问请求看起来和普通家庭宽带用户上网别无二致，通常被识别为“可信用户”。</w:t>
      </w:r>
    </w:p>
    <w:p>
      <w:pPr/>
      <w:r>
        <w:t xml:space="preserve">住宅代理的工作原理是当用户使用住宅代理发起请求时，流量会先经过代理服务商的转发节点，再由一个真实的家庭宽带IP发出，最终抵达目标服务器。目标网站在日志中记录的，是这个家庭宽带IP，而非用户的真实IP。整个链路涉及三个核心角色：</w:t>
      </w:r>
    </w:p>
    <w:p>
      <w:pPr/>
      <w:r>
        <w:rPr>
          <w:b w:val="1"/>
        </w:rPr>
        <w:t xml:space="preserve">用户端</w:t>
      </w:r>
      <w:r>
        <w:t xml:space="preserve">：发起请求的设备（电脑、手机、服务器等）</w:t>
      </w:r>
    </w:p>
    <w:p>
      <w:pPr/>
      <w:r>
        <w:rPr>
          <w:b w:val="1"/>
        </w:rPr>
        <w:t xml:space="preserve">代理节点</w:t>
      </w:r>
      <w:r>
        <w:t xml:space="preserve">：代理服务商提供的真实住宅IP网络，遍布全球各地</w:t>
      </w:r>
    </w:p>
    <w:p>
      <w:pPr/>
      <w:r>
        <w:rPr>
          <w:b w:val="1"/>
        </w:rPr>
        <w:t xml:space="preserve">目标服务器</w:t>
      </w:r>
      <w:r>
        <w:t xml:space="preserve">：电商平台、社交媒体、数据接口等目标网站</w:t>
      </w:r>
    </w:p>
    <w:p>
      <w:bookmarkStart w:id="mpf3yxeb4qjyd20nvnc" w:name="mpf3yxeb4qjyd20nvnc"/>
      <w:pPr>
        <w:pStyle w:val="dingding-heading2"/>
      </w:pPr>
      <w:r>
        <w:t xml:space="preserve">二、住宅代理的核心类型与使用场景</w:t>
      </w:r>
      <w:bookmarkEnd w:id="mpf3yxeb4qjyd20nvnc"/>
    </w:p>
    <w:p>
      <w:pPr/>
      <w:r>
        <w:t xml:space="preserve">住宅代理并非"一种产品"，而是一个涵盖多种维度的技术体系。理解不同类型之间的差异，是做好住宅IP选型的前提。</w:t>
      </w:r>
    </w:p>
    <w:p>
      <w:bookmarkStart w:id="mpf3yxebm6g76gr1i6" w:name="mpf3yxebm6g76gr1i6"/>
      <w:pPr>
        <w:pStyle w:val="dingding-heading3"/>
      </w:pPr>
      <w:r>
        <w:t xml:space="preserve">1. 静态住宅IP vs 动态住宅IP</w:t>
      </w:r>
      <w:bookmarkEnd w:id="mpf3yxebm6g76gr1i6"/>
    </w:p>
    <w:p>
      <w:pPr/>
      <w:r>
        <w:rPr>
          <w:b w:val="1"/>
        </w:rPr>
        <w:t xml:space="preserve">静态住宅IP</w:t>
      </w:r>
      <w:r>
        <w:t xml:space="preserve"> 指长期固定不变的住宅IP地址，用户使用期间IP保持一致，不会因为重连或刷新而发生变更。其核心优势在于稳定性：固定IP有助于在目标平台建立持续的"身份画像"，降低因IP波动引发的风控触发概率。不过，静态住宅IP资源有限，因此成本较高</w:t>
      </w:r>
    </w:p>
    <w:p>
      <w:pPr/>
      <w:r>
        <w:t xml:space="preserve">适用场景包括：</w:t>
      </w:r>
    </w:p>
    <w:p>
      <w:pPr>
        <w:numPr>
          <w:ilvl w:val="0"/>
          <w:numId w:val="1"/>
        </w:numPr>
      </w:pPr>
      <w:r>
        <w:t xml:space="preserve">社媒账号长期养号（TikTok、Instagram、Facebook）</w:t>
      </w:r>
    </w:p>
    <w:p>
      <w:pPr>
        <w:numPr>
          <w:ilvl w:val="0"/>
          <w:numId w:val="1"/>
        </w:numPr>
      </w:pPr>
      <w:r>
        <w:t xml:space="preserve">跨境电商店铺日常运营</w:t>
      </w:r>
    </w:p>
    <w:p>
      <w:pPr>
        <w:numPr>
          <w:ilvl w:val="0"/>
          <w:numId w:val="1"/>
        </w:numPr>
      </w:pPr>
      <w:r>
        <w:t xml:space="preserve">以及需要绑定固定IP的支付或结算系统</w:t>
      </w:r>
    </w:p>
    <w:p>
      <w:pPr/>
      <w:r>
        <w:rPr>
          <w:b w:val="1"/>
        </w:rPr>
        <w:t xml:space="preserve">动态住宅IP</w:t>
      </w:r>
      <w:r>
        <w:t xml:space="preserve"> 则会在每次连接或按照设定的会话周期自动轮换IP地址，拥有更大的IP资源池。其优势是灵活性强、成本相对较低。缺点是连续操作可能受影响。</w:t>
      </w:r>
    </w:p>
    <w:p>
      <w:pPr/>
      <w:r>
        <w:t xml:space="preserve">适用高并发、短会话场景：</w:t>
      </w:r>
    </w:p>
    <w:p>
      <w:pPr>
        <w:numPr>
          <w:ilvl w:val="0"/>
          <w:numId w:val="2"/>
        </w:numPr>
      </w:pPr>
      <w:r>
        <w:t xml:space="preserve">大规模数据采集</w:t>
      </w:r>
    </w:p>
    <w:p>
      <w:pPr>
        <w:numPr>
          <w:ilvl w:val="0"/>
          <w:numId w:val="2"/>
        </w:numPr>
      </w:pPr>
      <w:r>
        <w:t xml:space="preserve">价格监控</w:t>
      </w:r>
    </w:p>
    <w:p>
      <w:pPr>
        <w:numPr>
          <w:ilvl w:val="0"/>
          <w:numId w:val="2"/>
        </w:numPr>
      </w:pPr>
      <w:r>
        <w:t xml:space="preserve">广告验证</w:t>
      </w:r>
    </w:p>
    <w:p>
      <w:pPr>
        <w:numPr>
          <w:ilvl w:val="0"/>
          <w:numId w:val="2"/>
        </w:numPr>
      </w:pPr>
      <w:r>
        <w:t xml:space="preserve">自动化任务</w:t>
      </w:r>
    </w:p>
    <w:p>
      <w:bookmarkStart w:id="mpf3yxecmkp27rexhy" w:name="mpf3yxecmkp27rexhy"/>
      <w:pPr>
        <w:pStyle w:val="dingding-heading3"/>
      </w:pPr>
      <w:r>
        <w:t xml:space="preserve">2. 原生住宅IP vs 非原生住宅IP</w:t>
      </w:r>
      <w:bookmarkEnd w:id="mpf3yxecmkp27rexhy"/>
    </w:p>
    <w:p>
      <w:pPr/>
      <w:r>
        <w:rPr>
          <w:b w:val="1"/>
        </w:rPr>
        <w:t xml:space="preserve">原生IP（Native IP）</w:t>
      </w:r>
      <w:r>
        <w:t xml:space="preserve"> 的核心特征是IP的注册地与实际使用地完全一致。例如，一个美国原生住宅IP，其Whois记录显示的归属地、ISP信息均指向美国本土运营商，且从未被标记为数据中心或代理出口IP。这类IP具有极高的纯净度，是流媒体解锁、广告精准投放、游戏防封号等对地域真实性要求极严场景的首选。</w:t>
      </w:r>
    </w:p>
    <w:p>
      <w:pPr/>
      <w:r>
        <w:rPr>
          <w:b w:val="1"/>
        </w:rPr>
        <w:t xml:space="preserve">非原生IP</w:t>
      </w:r>
      <w:r>
        <w:t xml:space="preserve"> 则是指IP注册地与实际机房所在地不一致的情况，通常是数据中心IP经过"住宅化"包装后对外提供。这类IP在部分平台的风控模型中识别率较高，更适合对地域真实性要求不严格、主要需要匿名性的场景，如通用数据抓取、内容访问代理等。</w:t>
      </w:r>
    </w:p>
    <w:p>
      <w:pPr/>
      <w:r>
        <w:t xml:space="preserve">可通过以下表格对原生住宅IP和非原生住宅IP进行对比。</w:t>
      </w:r>
    </w:p>
    <w:tbl>
      <w:tblPr>
        <w:tblStyle w:val="TableGrid"/>
        <w:tblW w:w="0" w:type="auto"/>
      </w:tblPr>
      <w:tblGrid>
        <w:gridCol w:w="3240"/>
        <w:gridCol w:w="3240"/>
        <w:gridCol w:w="3240"/>
      </w:tblGrid>
      <w:tr>
        <w:trPr>
          <w:trHeight w:val="0"/>
        </w:trPr>
        <w:tc>
          <w:tcPr>
            <w:tcW w:w="3240" w:type="dxa"/>
          </w:tcPr>
          <w:p>
            <w:pPr/>
            <w:r>
              <w:t xml:space="preserve">维度</w:t>
            </w:r>
          </w:p>
        </w:tc>
        <w:tc>
          <w:tcPr>
            <w:tcW w:w="3240" w:type="dxa"/>
          </w:tcPr>
          <w:p>
            <w:pPr/>
            <w:r>
              <w:t xml:space="preserve">原生住宅IP</w:t>
            </w:r>
          </w:p>
        </w:tc>
        <w:tc>
          <w:tcPr>
            <w:tcW w:w="3240" w:type="dxa"/>
          </w:tcPr>
          <w:p>
            <w:pPr/>
            <w:r>
              <w:t xml:space="preserve">非原生住宅IP</w:t>
            </w:r>
          </w:p>
        </w:tc>
      </w:tr>
      <w:tr>
        <w:trPr>
          <w:trHeight w:val="0"/>
        </w:trPr>
        <w:tc>
          <w:tcPr>
            <w:tcW w:w="3240" w:type="dxa"/>
          </w:tcPr>
          <w:p>
            <w:pPr/>
            <w:r>
              <w:t xml:space="preserve">IP注册地与使用地</w:t>
            </w:r>
          </w:p>
        </w:tc>
        <w:tc>
          <w:tcPr>
            <w:tcW w:w="3240" w:type="dxa"/>
          </w:tcPr>
          <w:p>
            <w:pPr/>
            <w:r>
              <w:t xml:space="preserve">完全一致</w:t>
            </w:r>
          </w:p>
        </w:tc>
        <w:tc>
          <w:tcPr>
            <w:tcW w:w="3240" w:type="dxa"/>
          </w:tcPr>
          <w:p>
            <w:pPr/>
            <w:r>
              <w:t xml:space="preserve">可能不一致</w:t>
            </w:r>
          </w:p>
        </w:tc>
      </w:tr>
      <w:tr>
        <w:trPr>
          <w:trHeight w:val="0"/>
        </w:trPr>
        <w:tc>
          <w:tcPr>
            <w:tcW w:w="3240" w:type="dxa"/>
          </w:tcPr>
          <w:p>
            <w:pPr/>
            <w:r>
              <w:t xml:space="preserve">平台识别风险</w:t>
            </w:r>
          </w:p>
        </w:tc>
        <w:tc>
          <w:tcPr>
            <w:tcW w:w="3240" w:type="dxa"/>
          </w:tcPr>
          <w:p>
            <w:pPr/>
            <w:r>
              <w:t xml:space="preserve">极低</w:t>
            </w:r>
          </w:p>
        </w:tc>
        <w:tc>
          <w:tcPr>
            <w:tcW w:w="3240" w:type="dxa"/>
          </w:tcPr>
          <w:p>
            <w:pPr/>
            <w:r>
              <w:t xml:space="preserve">中等</w:t>
            </w:r>
          </w:p>
        </w:tc>
      </w:tr>
      <w:tr>
        <w:trPr>
          <w:trHeight w:val="0"/>
        </w:trPr>
        <w:tc>
          <w:tcPr>
            <w:tcW w:w="3240" w:type="dxa"/>
          </w:tcPr>
          <w:p>
            <w:pPr/>
            <w:r>
              <w:t xml:space="preserve">适用场景</w:t>
            </w:r>
          </w:p>
        </w:tc>
        <w:tc>
          <w:tcPr>
            <w:tcW w:w="3240" w:type="dxa"/>
          </w:tcPr>
          <w:p>
            <w:pPr/>
            <w:r>
              <w:t xml:space="preserve">流媒体解锁、广告投放、严格风控场景</w:t>
            </w:r>
          </w:p>
        </w:tc>
        <w:tc>
          <w:tcPr>
            <w:tcW w:w="3240" w:type="dxa"/>
          </w:tcPr>
          <w:p>
            <w:pPr/>
            <w:r>
              <w:t xml:space="preserve">通用采集、匿名访问</w:t>
            </w:r>
          </w:p>
        </w:tc>
      </w:tr>
      <w:tr>
        <w:trPr>
          <w:trHeight w:val="0"/>
        </w:trPr>
        <w:tc>
          <w:tcPr>
            <w:tcW w:w="3240" w:type="dxa"/>
          </w:tcPr>
          <w:p>
            <w:pPr/>
            <w:r>
              <w:t xml:space="preserve">成本</w:t>
            </w:r>
          </w:p>
        </w:tc>
        <w:tc>
          <w:tcPr>
            <w:tcW w:w="3240" w:type="dxa"/>
          </w:tcPr>
          <w:p>
            <w:pPr/>
            <w:r>
              <w:t xml:space="preserve">较高</w:t>
            </w:r>
          </w:p>
        </w:tc>
        <w:tc>
          <w:tcPr>
            <w:tcW w:w="3240" w:type="dxa"/>
          </w:tcPr>
          <w:p>
            <w:pPr/>
            <w:r>
              <w:t xml:space="preserve">较低</w:t>
            </w:r>
          </w:p>
        </w:tc>
      </w:tr>
    </w:tbl>
    <w:p>
      <w:bookmarkStart w:id="mpf3yxedwp0gy3kclld" w:name="mpf3yxedwp0gy3kclld"/>
      <w:pPr>
        <w:pStyle w:val="dingding-heading3"/>
      </w:pPr>
      <w:r>
        <w:t xml:space="preserve">3. 单ISP vs 双ISP住宅IP</w:t>
      </w:r>
      <w:bookmarkEnd w:id="mpf3yxedwp0gy3kclld"/>
    </w:p>
    <w:p>
      <w:pPr/>
      <w:r>
        <w:rPr>
          <w:b w:val="1"/>
        </w:rPr>
        <w:t xml:space="preserve">双ISP住宅IP</w:t>
      </w:r>
      <w:r>
        <w:t xml:space="preserve">是近年来在高稳定性需求场景中兴起的一种住宅代理形态，也是住宅代理使用场景中的高级选项。普通住宅IP仅由一家ISP提供路由，而双ISP住宅IP同时具备两个互联网运营商出口。当主线路出现波动或故障时，备用线路能够在极短时间内（通常50ms以内）自动接管，业务几乎感知不到中断。</w:t>
      </w:r>
    </w:p>
    <w:p>
      <w:pPr/>
      <w:r>
        <w:t xml:space="preserve">这种冗余架构特别适合：</w:t>
      </w:r>
    </w:p>
    <w:p>
      <w:pPr>
        <w:numPr>
          <w:ilvl w:val="0"/>
          <w:numId w:val="3"/>
        </w:numPr>
      </w:pPr>
      <w:r>
        <w:t xml:space="preserve">金融交易系统</w:t>
      </w:r>
    </w:p>
    <w:p>
      <w:pPr>
        <w:numPr>
          <w:ilvl w:val="0"/>
          <w:numId w:val="3"/>
        </w:numPr>
      </w:pPr>
      <w:r>
        <w:t xml:space="preserve">广告投放自动化平台</w:t>
      </w:r>
    </w:p>
    <w:p>
      <w:pPr>
        <w:numPr>
          <w:ilvl w:val="0"/>
          <w:numId w:val="3"/>
        </w:numPr>
      </w:pPr>
      <w:r>
        <w:t xml:space="preserve">24小时不间断直播矩阵</w:t>
      </w:r>
    </w:p>
    <w:p>
      <w:pPr>
        <w:numPr>
          <w:ilvl w:val="0"/>
          <w:numId w:val="3"/>
        </w:numPr>
      </w:pPr>
      <w:r>
        <w:t xml:space="preserve">对连接稳定性有SLA要求的企业级业务</w:t>
      </w:r>
    </w:p>
    <w:p>
      <w:pPr/>
      <w:r>
        <w:t xml:space="preserve">相对应地，双ISP方案的成本也高于普通住宅IP，适合对稳定性要求高于成本控制的场景。</w:t>
      </w:r>
    </w:p>
    <w:p>
      <w:pPr/>
      <w:r>
        <w:t xml:space="preserve">但在实际应用中，住宅代理的使用场景并非只单一匹配某个类型。例如，一个跨境电商团队可能同时需要：为核心店铺账号配置</w:t>
      </w:r>
      <w:r>
        <w:rPr>
          <w:b w:val="1"/>
        </w:rPr>
        <w:t xml:space="preserve">静态原生住宅IP</w:t>
      </w:r>
      <w:r>
        <w:t xml:space="preserve">以保障长期稳定登录，同时为竞品价格监控任务使用</w:t>
      </w:r>
      <w:r>
        <w:rPr>
          <w:b w:val="1"/>
        </w:rPr>
        <w:t xml:space="preserve">动态住宅IP</w:t>
      </w:r>
      <w:r>
        <w:t xml:space="preserve">以降低数据采集成本，关键时间节点的广告投放则选用</w:t>
      </w:r>
      <w:r>
        <w:rPr>
          <w:b w:val="1"/>
        </w:rPr>
        <w:t xml:space="preserve">双ISP住宅IP</w:t>
      </w:r>
      <w:r>
        <w:t xml:space="preserve">来规避因网络抖动导致的投放中断。</w:t>
      </w:r>
    </w:p>
    <w:p>
      <w:pPr/>
      <w:r>
        <w:t xml:space="preserve">在获取住宅代理时，选择靠谱的专业代理服务商即可覆盖多个需求场景，例如IPFoxy就提供包括静态、动态在内的独享不复用住宅代理IP，可自由更改协议类型，适配数据爬取、自动化脚本运行、矩阵账号运营等多个复杂需求场景。</w:t>
      </w:r>
    </w:p>
    <w:p>
      <w:pPr/>
      <w:r/>
      <w:r>
        <w:drawing>
          <wp:inline distT="0" distB="0" distL="0" distR="0">
            <wp:extent cx="6953250" cy="3692187"/>
            <wp:effectExtent b="0" l="0" r="0" t="0"/>
            <wp:docPr id="3" name="png-中文静态代理.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953250" cy="3692187"/>
                    </a:xfrm>
                    <a:prstGeom prst="rect">
                      <a:avLst/>
                    </a:prstGeom>
                  </pic:spPr>
                </pic:pic>
              </a:graphicData>
            </a:graphic>
          </wp:inline>
        </w:drawing>
      </w:r>
      <w:r/>
    </w:p>
    <w:p>
      <w:bookmarkStart w:id="mpf3yxeeg41ypnzwfb" w:name="mpf3yxeeg41ypnzwfb"/>
      <w:pPr>
        <w:pStyle w:val="dingding-heading3"/>
      </w:pPr>
      <w:r>
        <w:t xml:space="preserve">4.各类型速览对比表</w:t>
      </w:r>
      <w:bookmarkEnd w:id="mpf3yxeeg41ypnzwfb"/>
    </w:p>
    <w:tbl>
      <w:tblPr>
        <w:tblStyle w:val="TableGrid"/>
        <w:tblW w:w="0" w:type="auto"/>
      </w:tblPr>
      <w:tblGrid>
        <w:gridCol w:w="1950"/>
        <w:gridCol w:w="1950"/>
        <w:gridCol w:w="1575"/>
        <w:gridCol w:w="2685"/>
        <w:gridCol w:w="1950"/>
      </w:tblGrid>
      <w:tr>
        <w:trPr>
          <w:trHeight w:val="0"/>
        </w:trPr>
        <w:tc>
          <w:tcPr>
            <w:tcW w:w="1950" w:type="dxa"/>
          </w:tcPr>
          <w:p>
            <w:pPr/>
            <w:r>
              <w:t xml:space="preserve">类型</w:t>
            </w:r>
          </w:p>
        </w:tc>
        <w:tc>
          <w:tcPr>
            <w:tcW w:w="1950" w:type="dxa"/>
          </w:tcPr>
          <w:p>
            <w:pPr/>
            <w:r>
              <w:t xml:space="preserve">稳定性</w:t>
            </w:r>
          </w:p>
        </w:tc>
        <w:tc>
          <w:tcPr>
            <w:tcW w:w="1575" w:type="dxa"/>
          </w:tcPr>
          <w:p>
            <w:pPr/>
            <w:r>
              <w:t xml:space="preserve">匿名性</w:t>
            </w:r>
          </w:p>
        </w:tc>
        <w:tc>
          <w:tcPr>
            <w:tcW w:w="2685" w:type="dxa"/>
          </w:tcPr>
          <w:p>
            <w:pPr/>
            <w:r>
              <w:t xml:space="preserve">推荐场景</w:t>
            </w:r>
          </w:p>
        </w:tc>
        <w:tc>
          <w:tcPr>
            <w:tcW w:w="1950" w:type="dxa"/>
          </w:tcPr>
          <w:p>
            <w:pPr/>
            <w:r>
              <w:t xml:space="preserve">相对成本</w:t>
            </w:r>
          </w:p>
        </w:tc>
      </w:tr>
      <w:tr>
        <w:trPr>
          <w:trHeight w:val="0"/>
        </w:trPr>
        <w:tc>
          <w:tcPr>
            <w:tcW w:w="1950" w:type="dxa"/>
          </w:tcPr>
          <w:p>
            <w:pPr/>
            <w:r>
              <w:t xml:space="preserve">静态住宅IP</w:t>
            </w:r>
          </w:p>
        </w:tc>
        <w:tc>
          <w:tcPr>
            <w:tcW w:w="1950" w:type="dxa"/>
          </w:tcPr>
          <w:p>
            <w:pPr/>
            <w:r>
              <w:t xml:space="preserve">★★★★★</w:t>
            </w:r>
          </w:p>
        </w:tc>
        <w:tc>
          <w:tcPr>
            <w:tcW w:w="1575" w:type="dxa"/>
          </w:tcPr>
          <w:p>
            <w:pPr/>
            <w:r>
              <w:t xml:space="preserve">★★★★</w:t>
            </w:r>
          </w:p>
        </w:tc>
        <w:tc>
          <w:tcPr>
            <w:tcW w:w="2685" w:type="dxa"/>
          </w:tcPr>
          <w:p>
            <w:pPr/>
            <w:r>
              <w:t xml:space="preserve">账号养号、长期运营</w:t>
            </w:r>
          </w:p>
        </w:tc>
        <w:tc>
          <w:tcPr>
            <w:tcW w:w="1950" w:type="dxa"/>
          </w:tcPr>
          <w:p>
            <w:pPr/>
            <w:r>
              <w:t xml:space="preserve">中</w:t>
            </w:r>
          </w:p>
        </w:tc>
      </w:tr>
      <w:tr>
        <w:trPr>
          <w:trHeight w:val="0"/>
        </w:trPr>
        <w:tc>
          <w:tcPr>
            <w:tcW w:w="1950" w:type="dxa"/>
          </w:tcPr>
          <w:p>
            <w:pPr/>
            <w:r>
              <w:t xml:space="preserve">动态住宅IP</w:t>
            </w:r>
          </w:p>
        </w:tc>
        <w:tc>
          <w:tcPr>
            <w:tcW w:w="1950" w:type="dxa"/>
          </w:tcPr>
          <w:p>
            <w:pPr/>
            <w:r>
              <w:t xml:space="preserve">★★★</w:t>
            </w:r>
          </w:p>
        </w:tc>
        <w:tc>
          <w:tcPr>
            <w:tcW w:w="1575" w:type="dxa"/>
          </w:tcPr>
          <w:p>
            <w:pPr/>
            <w:r>
              <w:t xml:space="preserve">★★★★★</w:t>
            </w:r>
          </w:p>
        </w:tc>
        <w:tc>
          <w:tcPr>
            <w:tcW w:w="2685" w:type="dxa"/>
          </w:tcPr>
          <w:p>
            <w:pPr/>
            <w:r>
              <w:t xml:space="preserve">数据采集、广告验证</w:t>
            </w:r>
          </w:p>
        </w:tc>
        <w:tc>
          <w:tcPr>
            <w:tcW w:w="1950" w:type="dxa"/>
          </w:tcPr>
          <w:p>
            <w:pPr/>
            <w:r>
              <w:t xml:space="preserve">低</w:t>
            </w:r>
          </w:p>
        </w:tc>
      </w:tr>
      <w:tr>
        <w:trPr>
          <w:trHeight w:val="0"/>
        </w:trPr>
        <w:tc>
          <w:tcPr>
            <w:tcW w:w="1950" w:type="dxa"/>
          </w:tcPr>
          <w:p>
            <w:pPr/>
            <w:r>
              <w:t xml:space="preserve">原生住宅IP</w:t>
            </w:r>
          </w:p>
        </w:tc>
        <w:tc>
          <w:tcPr>
            <w:tcW w:w="1950" w:type="dxa"/>
          </w:tcPr>
          <w:p>
            <w:pPr/>
            <w:r>
              <w:t xml:space="preserve">★★★★</w:t>
            </w:r>
          </w:p>
        </w:tc>
        <w:tc>
          <w:tcPr>
            <w:tcW w:w="1575" w:type="dxa"/>
          </w:tcPr>
          <w:p>
            <w:pPr/>
            <w:r>
              <w:t xml:space="preserve">★★★★★</w:t>
            </w:r>
          </w:p>
        </w:tc>
        <w:tc>
          <w:tcPr>
            <w:tcW w:w="2685" w:type="dxa"/>
          </w:tcPr>
          <w:p>
            <w:pPr/>
            <w:r>
              <w:t xml:space="preserve">流媒体解锁、精准广告</w:t>
            </w:r>
          </w:p>
        </w:tc>
        <w:tc>
          <w:tcPr>
            <w:tcW w:w="1950" w:type="dxa"/>
          </w:tcPr>
          <w:p>
            <w:pPr/>
            <w:r>
              <w:t xml:space="preserve">高</w:t>
            </w:r>
          </w:p>
        </w:tc>
      </w:tr>
      <w:tr>
        <w:trPr>
          <w:trHeight w:val="0"/>
        </w:trPr>
        <w:tc>
          <w:tcPr>
            <w:tcW w:w="1950" w:type="dxa"/>
          </w:tcPr>
          <w:p>
            <w:pPr/>
            <w:r>
              <w:t xml:space="preserve">双ISP住宅IP</w:t>
            </w:r>
          </w:p>
        </w:tc>
        <w:tc>
          <w:tcPr>
            <w:tcW w:w="1950" w:type="dxa"/>
          </w:tcPr>
          <w:p>
            <w:pPr/>
            <w:r>
              <w:t xml:space="preserve">★★★★★</w:t>
            </w:r>
          </w:p>
        </w:tc>
        <w:tc>
          <w:tcPr>
            <w:tcW w:w="1575" w:type="dxa"/>
          </w:tcPr>
          <w:p>
            <w:pPr/>
            <w:r>
              <w:t xml:space="preserve">★★★★</w:t>
            </w:r>
          </w:p>
        </w:tc>
        <w:tc>
          <w:tcPr>
            <w:tcW w:w="2685" w:type="dxa"/>
          </w:tcPr>
          <w:p>
            <w:pPr/>
            <w:r>
              <w:t xml:space="preserve">金融、直播、企业级</w:t>
            </w:r>
          </w:p>
        </w:tc>
        <w:tc>
          <w:tcPr>
            <w:tcW w:w="1950" w:type="dxa"/>
          </w:tcPr>
          <w:p>
            <w:pPr/>
            <w:r>
              <w:t xml:space="preserve">高</w:t>
            </w:r>
          </w:p>
        </w:tc>
      </w:tr>
    </w:tbl>
    <w:p>
      <w:bookmarkStart w:id="mpf3yxeenrrtt5e59jf" w:name="mpf3yxeenrrtt5e59jf"/>
      <w:pPr>
        <w:pStyle w:val="dingding-heading2"/>
      </w:pPr>
      <w:r>
        <w:t xml:space="preserve">三、如何选择住宅代理？住宅IP选型核心维度</w:t>
      </w:r>
      <w:bookmarkEnd w:id="mpf3yxeenrrtt5e59jf"/>
    </w:p>
    <w:p>
      <w:pPr/>
      <w:r>
        <w:t xml:space="preserve">不同代理服务商的产品在指标上差异显著，以下六个维度构成完整的</w:t>
      </w:r>
      <w:r>
        <w:rPr>
          <w:b w:val="1"/>
        </w:rPr>
        <w:t xml:space="preserve">住宅IP选型指南</w:t>
      </w:r>
      <w:r>
        <w:t xml:space="preserve">，可作为采购和测试的基础框架。</w:t>
      </w:r>
    </w:p>
    <w:p>
      <w:bookmarkStart w:id="mpf3yxefltkavcnsaci" w:name="mpf3yxefltkavcnsaci"/>
      <w:pPr>
        <w:pStyle w:val="dingding-heading3"/>
        <w:spacing w:line="223.99999999999997"/>
      </w:pPr>
      <w:r>
        <w:rPr>
          <w:sz w:val="29"/>
          <w:b w:val="1"/>
        </w:rPr>
        <w:t xml:space="preserve">1.IP资源与地理分布</w:t>
      </w:r>
      <w:bookmarkEnd w:id="mpf3yxefltkavcnsaci"/>
    </w:p>
    <w:p>
      <w:pPr/>
      <w:r>
        <w:t xml:space="preserve">优先评估服务商的IP池体量和覆盖的国家/城市数量。业务需要精准定位到特定城市（如美国纽约、英国伦敦）的场景，还需确认服务商是否支持城市级甚至ISP级别的精准定位。例如，跨境电商调研应选择覆盖目标国家市场的IP代理服务商。</w:t>
      </w:r>
    </w:p>
    <w:p>
      <w:bookmarkStart w:id="mpf3yxefvhxlelk4mkn" w:name="mpf3yxefvhxlelk4mkn"/>
      <w:pPr>
        <w:pStyle w:val="dingding-heading3"/>
        <w:spacing w:line="223.99999999999997"/>
      </w:pPr>
      <w:r>
        <w:rPr>
          <w:sz w:val="29"/>
          <w:b w:val="1"/>
        </w:rPr>
        <w:t xml:space="preserve">2.匿名性与IP纯净度</w:t>
      </w:r>
      <w:bookmarkEnd w:id="mpf3yxefvhxlelk4mkn"/>
    </w:p>
    <w:p>
      <w:pPr/>
      <w:r>
        <w:t xml:space="preserve">所选的代理商应支持HTTPS、SOCKS5，无DNS泄露，避免因IP暴露真实地址导致封号或信息泄露。对于IP纯净度可通过IPinfo.io、Whoer.net等工具自行验证IP的ISP归属是否为真实住宅运营商，确认IP未被主流风控数据库标记为代理或黑名单地址。</w:t>
      </w:r>
    </w:p>
    <w:p>
      <w:bookmarkStart w:id="mpf3yxef59w41od5hfd" w:name="mpf3yxef59w41od5hfd"/>
      <w:pPr>
        <w:pStyle w:val="dingding-heading3"/>
        <w:spacing w:line="223.99999999999997"/>
      </w:pPr>
      <w:r>
        <w:rPr>
          <w:sz w:val="29"/>
          <w:b w:val="1"/>
        </w:rPr>
        <w:t xml:space="preserve">3.连接性能指标</w:t>
      </w:r>
      <w:bookmarkEnd w:id="mpf3yxef59w41od5hfd"/>
    </w:p>
    <w:p>
      <w:pPr/>
      <w:r>
        <w:t xml:space="preserve">重点关注连接成功率以及平均响应延迟，以及是否支持粘性会话（Sticky Session）。 对于需要维持登录状态的场景而言，同一IP是否可在一段时间内保持登录、IP被平台检测封禁后是否可自由切换其他IP至关重要。例如，高并发抓取、抢票或广告投放等场景就需要低延迟、可粘性会话的代理IP。</w:t>
      </w:r>
    </w:p>
    <w:p>
      <w:bookmarkStart w:id="mpf3yxefrfc52anqute" w:name="mpf3yxefrfc52anqute"/>
      <w:pPr>
        <w:pStyle w:val="dingding-heading3"/>
        <w:spacing w:line="223.99999999999997"/>
      </w:pPr>
      <w:r>
        <w:rPr>
          <w:sz w:val="29"/>
          <w:b w:val="1"/>
        </w:rPr>
        <w:t xml:space="preserve">4.技术兼容性</w:t>
      </w:r>
      <w:bookmarkEnd w:id="mpf3yxefrfc52anqute"/>
    </w:p>
    <w:p>
      <w:pPr/>
      <w:r>
        <w:t xml:space="preserve">确认代理服务是否支持HTTP/HTTPS/SOCKS5协议，是否提供API接口方便程序化调用，以及是否兼容主流自动化工具（Selenium、Puppeteer、自研爬虫框架等）。例如动态住宅IP可与自动化脚本无缝配合。</w:t>
      </w:r>
    </w:p>
    <w:p>
      <w:bookmarkStart w:id="mpf3yxef2tf3fqc969r" w:name="mpf3yxef2tf3fqc969r"/>
      <w:pPr>
        <w:pStyle w:val="dingding-heading3"/>
        <w:spacing w:line="223.99999999999997"/>
      </w:pPr>
      <w:r>
        <w:rPr>
          <w:sz w:val="29"/>
          <w:b w:val="1"/>
        </w:rPr>
        <w:t xml:space="preserve">5.成本结构与套餐模型</w:t>
      </w:r>
      <w:bookmarkEnd w:id="mpf3yxef2tf3fqc969r"/>
    </w:p>
    <w:p>
      <w:pPr/>
      <w:r>
        <w:t xml:space="preserve">住宅代理通常有按流量计费和按端口/账号计费两种模式。高频数据采集选按流量更划算，账号运营场景选按独享IP的固定套餐更稳定。注意评估"隐性成本"，如超量收费、流量有效期等。</w:t>
      </w:r>
    </w:p>
    <w:p>
      <w:bookmarkStart w:id="mpf3yxefv4n3a4ref6m" w:name="mpf3yxefv4n3a4ref6m"/>
      <w:pPr>
        <w:pStyle w:val="dingding-heading3"/>
        <w:spacing w:line="223.99999999999997"/>
      </w:pPr>
      <w:r>
        <w:rPr>
          <w:sz w:val="29"/>
          <w:b w:val="1"/>
        </w:rPr>
        <w:t xml:space="preserve">6.合法合规与服务保障</w:t>
      </w:r>
      <w:bookmarkEnd w:id="mpf3yxefv4n3a4ref6m"/>
    </w:p>
    <w:p>
      <w:pPr/>
      <w:r>
        <w:t xml:space="preserve">选择来源透明、经用户授权纳入IP池的服务商，规避使用灰色来源IP带来的法律风险。同时关注服务商是否提供SLA保障和技术支持，尤其是涉及企业级业务时，响应速度至关重要。</w:t>
      </w:r>
    </w:p>
    <w:p>
      <w:pPr/>
      <w:r/>
      <w:r>
        <w:drawing>
          <wp:inline distT="0" distB="0" distL="0" distR="0">
            <wp:extent cx="6953250" cy="3476592"/>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953250" cy="3476592"/>
                    </a:xfrm>
                    <a:prstGeom prst="rect">
                      <a:avLst/>
                    </a:prstGeom>
                  </pic:spPr>
                </pic:pic>
              </a:graphicData>
            </a:graphic>
          </wp:inline>
        </w:drawing>
      </w:r>
      <w:r/>
    </w:p>
    <w:p>
      <w:bookmarkStart w:id="mpf3yxegt2u2meeo3zg" w:name="mpf3yxegt2u2meeo3zg"/>
      <w:pPr>
        <w:pStyle w:val="dingding-heading2"/>
      </w:pPr>
      <w:r>
        <w:t xml:space="preserve">四、FAQ：住宅代理常见问题</w:t>
      </w:r>
      <w:bookmarkEnd w:id="mpf3yxegt2u2meeo3zg"/>
    </w:p>
    <w:p>
      <w:bookmarkStart w:id="mpf3yxeg7031u11fg6h" w:name="mpf3yxeg7031u11fg6h"/>
      <w:pPr>
        <w:pStyle w:val="dingding-heading3"/>
        <w:spacing w:line="223.99999999999997"/>
      </w:pPr>
      <w:r>
        <w:rPr>
          <w:sz w:val="29"/>
          <w:b w:val="1"/>
        </w:rPr>
        <w:t xml:space="preserve">Q1：如何测试住宅代理的速度和稳定性？</w:t>
      </w:r>
      <w:bookmarkEnd w:id="mpf3yxeg7031u11fg6h"/>
    </w:p>
    <w:p>
      <w:pPr/>
      <w:r>
        <w:t xml:space="preserve">可用Ping、HTTP请求延迟、并发抓取测试，以及服务商提供的测速工具。</w:t>
      </w:r>
    </w:p>
    <w:p>
      <w:bookmarkStart w:id="mpf3yxegzmut62mbv0e" w:name="mpf3yxegzmut62mbv0e"/>
      <w:pPr>
        <w:pStyle w:val="dingding-heading3"/>
        <w:spacing w:line="223.99999999999997"/>
      </w:pPr>
      <w:r>
        <w:rPr>
          <w:sz w:val="29"/>
          <w:b w:val="1"/>
        </w:rPr>
        <w:t xml:space="preserve">Q2：住宅IP可以用于哪些行业？</w:t>
      </w:r>
      <w:bookmarkEnd w:id="mpf3yxegzmut62mbv0e"/>
    </w:p>
    <w:p>
      <w:pPr/>
      <w:r>
        <w:t xml:space="preserve">住宅代理的住宅代理使用场景覆盖面非常广泛：跨境电商、社交媒体营销、广告技术、SEO工具、金融科技、市场调研等。</w:t>
      </w:r>
    </w:p>
    <w:p>
      <w:bookmarkStart w:id="mpf3yxeg34r22pbcfxv" w:name="mpf3yxeg34r22pbcfxv"/>
      <w:pPr>
        <w:pStyle w:val="dingding-heading3"/>
        <w:spacing w:line="223.99999999999997"/>
      </w:pPr>
      <w:r>
        <w:rPr>
          <w:sz w:val="29"/>
          <w:b w:val="1"/>
        </w:rPr>
        <w:t xml:space="preserve">Q3：使用住宅IP会被封号吗？</w:t>
      </w:r>
      <w:bookmarkEnd w:id="mpf3yxeg34r22pbcfxv"/>
    </w:p>
    <w:p>
      <w:pPr/>
      <w:r>
        <w:t xml:space="preserve">住宅IP本身的封号风险显著低于数据中心IP，但不等于零风险。建议将住宅代理与浏览器指纹隔离工具配合使用，才能将封号风险降到最低。</w:t>
      </w:r>
    </w:p>
    <w:p>
      <w:bookmarkStart w:id="mpf3yxehb7z7f65fmjr" w:name="mpf3yxehb7z7f65fmjr"/>
      <w:pPr>
        <w:pStyle w:val="dingding-heading2"/>
      </w:pPr>
      <w:r>
        <w:t xml:space="preserve">五、总结</w:t>
      </w:r>
      <w:bookmarkEnd w:id="mpf3yxehb7z7f65fmjr"/>
    </w:p>
    <w:p>
      <w:pPr/>
      <w:r>
        <w:t xml:space="preserve">住宅代理凭借其来源真实、匿名性强、风控穿透力高的特点，已成为跨境电商、社媒运营、数据采集等出海业务的基础设施之一。在选型时，核心逻辑是先明确业务的时间周期与核心需求，再找到最适配自身业务的代理类型。</w:t>
      </w:r>
    </w:p>
    <w:p>
      <w:pPr/>
      <w:r>
        <w:t xml:space="preserve">希望本篇住宅IP选型指南能帮助你在众多代理产品中找到最适配自身业务的解决方案，避免因错误选型造成不必要的成本浪费和业务风险。</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num w:numId="2">
    <w:abstractNumId w:val="1"/>
  </w: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