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center"/>
        <w:rPr/>
      </w:pPr>
      <w:r>
        <w:rPr/>
        <w:t xml:space="preserve"> </w:t>
      </w:r>
      <w:r>
        <w:rPr/>
        <w:t>AI Compliance Scanner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AI Compliance Scanner</w:t>
      </w:r>
      <w:r>
        <w:rPr/>
        <w:t xml:space="preserve"> allows Administrators to rapidly verify DPDP Act compliance for any website or source code. This powerful tool uses AI to detect critical privacy indicators.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828155" cy="5295900"/>
            <wp:effectExtent l="0" t="0" r="0" b="0"/>
            <wp:docPr id="1" name="Image6" title="AI Compliance Sc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title="AI Compliance Scanne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155" cy="529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Live URL Scanning</w:t>
      </w:r>
      <w:r>
        <w:rPr/>
        <w:t xml:space="preserve">: Administrators can paste a live website URL (e.g., </w:t>
      </w:r>
      <w:r>
        <w:rPr>
          <w:rStyle w:val="SourceText"/>
        </w:rPr>
        <w:t>https://uidai.gov.in/en/</w:t>
      </w:r>
      <w:r>
        <w:rPr/>
        <w:t xml:space="preserve">). The system automatically fetches the HTML content and passes it to the AI for analysis.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Source Code Analysis</w:t>
      </w:r>
      <w:r>
        <w:rPr/>
        <w:t xml:space="preserve">: Alternatively, developers can paste raw React/HTML source code directly into the scanner.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Comprehensive Reporting</w:t>
      </w:r>
      <w:r>
        <w:rPr/>
        <w:t xml:space="preserve">: The AI generates a </w:t>
      </w:r>
      <w:r>
        <w:rPr>
          <w:rStyle w:val="Emphasis"/>
        </w:rPr>
        <w:t>Compliance Report</w:t>
      </w:r>
      <w:r>
        <w:rPr/>
        <w:t xml:space="preserve">, assigning a score (0-100) and explicitly checking for DPDP requirements such as: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Privacy Policy Page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DPO (Data Protection Officer) Contact Information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Grievance Submission Form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Contact Page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Footer Contact Info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Actionable Recommendations</w:t>
      </w:r>
      <w:r>
        <w:rPr/>
        <w:t xml:space="preserve">: If a site fails a check, the AI provides specific recommendations (e.g., "Include DPO name, email, and phone in a visible location"). 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Segoe UI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FreeMono">
    <w:charset w:val="01" w:characterSet="utf-8"/>
    <w:family w:val="modern"/>
    <w:pitch w:val="fixed"/>
  </w:font>
  <w:font w:name="Free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Segoe UI;Arial;sans-serif" w:hAnsi="Segoe UI;Arial;sans-serif" w:eastAsia="Segoe UI;Arial;sans-serif" w:cs="Segoe UI;Arial;sans-serif"/>
      <w:color w:val="3333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EEEEEE"/>
      </w:pBdr>
      <w:spacing w:before="240" w:after="120"/>
      <w:outlineLvl w:val="0"/>
    </w:pPr>
    <w:rPr>
      <w:rFonts w:ascii="FreeSerif" w:hAnsi="FreeSerif" w:eastAsia="FreeSans" w:cs="FreeSans"/>
      <w:b/>
      <w:bCs/>
      <w:color w:val="2C3E50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375" w:after="120"/>
      <w:outlineLvl w:val="1"/>
    </w:pPr>
    <w:rPr>
      <w:rFonts w:ascii="FreeSerif" w:hAnsi="FreeSerif" w:eastAsia="FreeSans" w:cs="FreeSans"/>
      <w:b/>
      <w:bCs/>
      <w:color w:val="34495E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FreeSerif" w:hAnsi="FreeSerif" w:eastAsia="FreeSans" w:cs="FreeSans"/>
      <w:b/>
      <w:bCs/>
      <w:color w:val="4B6584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FreeMono" w:hAnsi="FreeMono" w:eastAsia="FreeMono" w:cs="FreeSans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LibreOffice_project/620$Build-2</Application>
  <AppVersion>15.0000</AppVersion>
  <Pages>2</Pages>
  <Words>143</Words>
  <Characters>813</Characters>
  <CharactersWithSpaces>947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2026-06-18T06:56:10Z</dcterms:modified>
  <cp:revision>1</cp:revision>
  <dc:subject/>
  <dc:title>Ticket System Workflow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