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concurrent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Concurrency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Processes and Threads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Thread Objects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Defining and Starting a Thread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Pausing Execution with Sleep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SimpleThreads 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Thread Interference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Memory Consistency Errors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Synchronized Methods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Intrinsic Locks and Synchronization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Atomic Access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Liveness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Deadlock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Starvation and Livelock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Guarded Blocks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Immutable Objects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Synchronized Class Example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Strategy for Defining Immutable Objects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High Level Concurrency Objects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Lock Objects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Executors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Executor Interfaces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Thread Pools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Fork/Join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Concurrent Collections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Atomic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Concurrent Random Numbers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