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B365D"/>
          <w:sz w:val="48"/>
        </w:rPr>
        <w:t>Enterprise Information Security Policy</w:t>
        <w:br/>
        <w:t>&amp; Compliance Framework</w:t>
      </w:r>
    </w:p>
    <w:p>
      <w:pPr>
        <w:spacing w:after="360"/>
        <w:jc w:val="center"/>
      </w:pPr>
      <w:r>
        <w:rPr>
          <w:i/>
          <w:color w:val="008080"/>
          <w:sz w:val="26"/>
        </w:rPr>
        <w:t>Comprehensive Defense-in-Depth, Operational Controls &amp; Regulatory Governance</w:t>
      </w:r>
    </w:p>
    <w:p>
      <w:pPr>
        <w:spacing w:after="480"/>
        <w:jc w:val="center"/>
      </w:pPr>
      <w:r>
        <w:rPr>
          <w:b/>
          <w:color w:val="1B365D"/>
          <w:sz w:val="24"/>
        </w:rPr>
        <w:t xml:space="preserve">Prepared by: </w:t>
      </w:r>
      <w:r>
        <w:rPr>
          <w:b/>
          <w:color w:val="008080"/>
          <w:sz w:val="24"/>
        </w:rPr>
        <w:t>Jetty Charan</w:t>
      </w:r>
    </w:p>
    <w:p>
      <w:pPr>
        <w:keepNext/>
        <w:spacing w:before="360" w:after="160"/>
      </w:pPr>
      <w:r>
        <w:rPr>
          <w:b/>
          <w:color w:val="1B365D"/>
          <w:sz w:val="32"/>
        </w:rPr>
        <w:t>1. Executive Summary, Purpose, &amp; Scope</w:t>
      </w:r>
    </w:p>
    <w:p>
      <w:pPr>
        <w:keepNext/>
        <w:spacing w:before="280" w:after="120"/>
      </w:pPr>
      <w:r>
        <w:rPr>
          <w:b/>
          <w:color w:val="008080"/>
          <w:sz w:val="26"/>
        </w:rPr>
        <w:t>1.1 Purpose</w:t>
      </w:r>
    </w:p>
    <w:p>
      <w:r>
        <w:t>This Information Security Policy and Compliance Framework establishes mandatory security principles, technical safeguards, and operational controls designed to protect the organization’s information assets, technical infrastructure, intellectual property, and data against unauthorized access, disclosure, disruption, modification, or destruction.</w:t>
      </w:r>
    </w:p>
    <w:p>
      <w:pPr>
        <w:keepNext/>
        <w:spacing w:before="280" w:after="120"/>
      </w:pPr>
      <w:r>
        <w:rPr>
          <w:b/>
          <w:color w:val="008080"/>
          <w:sz w:val="26"/>
        </w:rPr>
        <w:t>1.2 Strategic Business Alignment</w:t>
      </w:r>
    </w:p>
    <w:p>
      <w:r>
        <w:t>Information security is an essential business enabler. This framework directly aligns cybersecurity controls with business risk tolerances, maintaining customer trust, enabling compliance with global privacy regulations, and ensuring seamless operations.</w:t>
      </w:r>
    </w:p>
    <w:p>
      <w:pPr>
        <w:keepNext/>
        <w:spacing w:before="280" w:after="120"/>
      </w:pPr>
      <w:r>
        <w:rPr>
          <w:b/>
          <w:color w:val="008080"/>
          <w:sz w:val="26"/>
        </w:rPr>
        <w:t>1.3 Scope &amp; Applicability Matrix</w:t>
      </w:r>
    </w:p>
    <w:p>
      <w:r>
        <w:t>This policy applies universally across all business units, geographic facilities, and technology environments operated by or on behalf of the organization.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pPr>
              <w:spacing w:after="0"/>
            </w:pPr>
            <w:r>
              <w:rPr>
                <w:b/>
                <w:color w:val="FFFFFF"/>
                <w:sz w:val="20"/>
              </w:rPr>
              <w:t>User Category</w:t>
            </w:r>
          </w:p>
        </w:tc>
        <w:tc>
          <w:tcPr>
            <w:tcW w:type="dxa" w:w="2340"/>
            <w:shd w:fill="1B365D"/>
            <w:tcMar>
              <w:top w:w="120" w:type="dxa"/>
              <w:bottom w:w="120" w:type="dxa"/>
              <w:left w:w="150" w:type="dxa"/>
              <w:right w:w="150" w:type="dxa"/>
            </w:tcMar>
          </w:tcPr>
          <w:p>
            <w:pPr>
              <w:spacing w:after="0"/>
            </w:pPr>
            <w:r>
              <w:rPr>
                <w:b/>
                <w:color w:val="FFFFFF"/>
                <w:sz w:val="20"/>
              </w:rPr>
              <w:t>Access Level</w:t>
            </w:r>
          </w:p>
        </w:tc>
        <w:tc>
          <w:tcPr>
            <w:tcW w:type="dxa" w:w="2340"/>
            <w:shd w:fill="1B365D"/>
            <w:tcMar>
              <w:top w:w="120" w:type="dxa"/>
              <w:bottom w:w="120" w:type="dxa"/>
              <w:left w:w="150" w:type="dxa"/>
              <w:right w:w="150" w:type="dxa"/>
            </w:tcMar>
          </w:tcPr>
          <w:p>
            <w:pPr>
              <w:spacing w:after="0"/>
            </w:pPr>
            <w:r>
              <w:rPr>
                <w:b/>
                <w:color w:val="FFFFFF"/>
                <w:sz w:val="20"/>
              </w:rPr>
              <w:t>Governing Policies</w:t>
            </w:r>
          </w:p>
        </w:tc>
        <w:tc>
          <w:tcPr>
            <w:tcW w:type="dxa" w:w="2340"/>
            <w:shd w:fill="1B365D"/>
            <w:tcMar>
              <w:top w:w="120" w:type="dxa"/>
              <w:bottom w:w="120" w:type="dxa"/>
              <w:left w:w="150" w:type="dxa"/>
              <w:right w:w="150" w:type="dxa"/>
            </w:tcMar>
          </w:tcPr>
          <w:p>
            <w:pPr>
              <w:spacing w:after="0"/>
            </w:pPr>
            <w:r>
              <w:rPr>
                <w:b/>
                <w:color w:val="FFFFFF"/>
                <w:sz w:val="20"/>
              </w:rPr>
              <w:t>Enforcement Mechanisms</w:t>
            </w:r>
          </w:p>
        </w:tc>
      </w:tr>
      <w:tr>
        <w:tc>
          <w:tcPr>
            <w:tcW w:type="dxa" w:w="2340"/>
            <w:shd w:fill="FFFFFF"/>
            <w:tcMar>
              <w:top w:w="100" w:type="dxa"/>
              <w:bottom w:w="100" w:type="dxa"/>
              <w:left w:w="120" w:type="dxa"/>
              <w:right w:w="120" w:type="dxa"/>
            </w:tcMar>
          </w:tcPr>
          <w:p>
            <w:pPr>
              <w:spacing w:after="0"/>
            </w:pPr>
            <w:r>
              <w:rPr>
                <w:sz w:val="19"/>
              </w:rPr>
              <w:t>Full-Time Employees</w:t>
            </w:r>
          </w:p>
        </w:tc>
        <w:tc>
          <w:tcPr>
            <w:tcW w:type="dxa" w:w="2340"/>
            <w:shd w:fill="FFFFFF"/>
            <w:tcMar>
              <w:top w:w="100" w:type="dxa"/>
              <w:bottom w:w="100" w:type="dxa"/>
              <w:left w:w="120" w:type="dxa"/>
              <w:right w:w="120" w:type="dxa"/>
            </w:tcMar>
          </w:tcPr>
          <w:p>
            <w:pPr>
              <w:spacing w:after="0"/>
            </w:pPr>
            <w:r>
              <w:rPr>
                <w:sz w:val="19"/>
              </w:rPr>
              <w:t>Role-Based Workstation &amp; Application Access</w:t>
            </w:r>
          </w:p>
        </w:tc>
        <w:tc>
          <w:tcPr>
            <w:tcW w:type="dxa" w:w="2340"/>
            <w:shd w:fill="FFFFFF"/>
            <w:tcMar>
              <w:top w:w="100" w:type="dxa"/>
              <w:bottom w:w="100" w:type="dxa"/>
              <w:left w:w="120" w:type="dxa"/>
              <w:right w:w="120" w:type="dxa"/>
            </w:tcMar>
          </w:tcPr>
          <w:p>
            <w:pPr>
              <w:spacing w:after="0"/>
            </w:pPr>
            <w:r>
              <w:rPr>
                <w:sz w:val="19"/>
              </w:rPr>
              <w:t>Full Security Policy Suite, AUP</w:t>
            </w:r>
          </w:p>
        </w:tc>
        <w:tc>
          <w:tcPr>
            <w:tcW w:type="dxa" w:w="2340"/>
            <w:shd w:fill="FFFFFF"/>
            <w:tcMar>
              <w:top w:w="100" w:type="dxa"/>
              <w:bottom w:w="100" w:type="dxa"/>
              <w:left w:w="120" w:type="dxa"/>
              <w:right w:w="120" w:type="dxa"/>
            </w:tcMar>
          </w:tcPr>
          <w:p>
            <w:pPr>
              <w:spacing w:after="0"/>
            </w:pPr>
            <w:r>
              <w:rPr>
                <w:sz w:val="19"/>
              </w:rPr>
              <w:t>Automated Endpoint Controls, IdP Policies, EDR</w:t>
            </w:r>
          </w:p>
        </w:tc>
      </w:tr>
      <w:tr>
        <w:tc>
          <w:tcPr>
            <w:tcW w:type="dxa" w:w="2340"/>
            <w:shd w:fill="F4F6F9"/>
            <w:tcMar>
              <w:top w:w="100" w:type="dxa"/>
              <w:bottom w:w="100" w:type="dxa"/>
              <w:left w:w="120" w:type="dxa"/>
              <w:right w:w="120" w:type="dxa"/>
            </w:tcMar>
          </w:tcPr>
          <w:p>
            <w:pPr>
              <w:spacing w:after="0"/>
            </w:pPr>
            <w:r>
              <w:rPr>
                <w:sz w:val="19"/>
              </w:rPr>
              <w:t>Contractors / Temporary</w:t>
            </w:r>
          </w:p>
        </w:tc>
        <w:tc>
          <w:tcPr>
            <w:tcW w:type="dxa" w:w="2340"/>
            <w:shd w:fill="F4F6F9"/>
            <w:tcMar>
              <w:top w:w="100" w:type="dxa"/>
              <w:bottom w:w="100" w:type="dxa"/>
              <w:left w:w="120" w:type="dxa"/>
              <w:right w:w="120" w:type="dxa"/>
            </w:tcMar>
          </w:tcPr>
          <w:p>
            <w:pPr>
              <w:spacing w:after="0"/>
            </w:pPr>
            <w:r>
              <w:rPr>
                <w:sz w:val="19"/>
              </w:rPr>
              <w:t>Time-bound, Least-Privilege Access</w:t>
            </w:r>
          </w:p>
        </w:tc>
        <w:tc>
          <w:tcPr>
            <w:tcW w:type="dxa" w:w="2340"/>
            <w:shd w:fill="F4F6F9"/>
            <w:tcMar>
              <w:top w:w="100" w:type="dxa"/>
              <w:bottom w:w="100" w:type="dxa"/>
              <w:left w:w="120" w:type="dxa"/>
              <w:right w:w="120" w:type="dxa"/>
            </w:tcMar>
          </w:tcPr>
          <w:p>
            <w:pPr>
              <w:spacing w:after="0"/>
            </w:pPr>
            <w:r>
              <w:rPr>
                <w:sz w:val="19"/>
              </w:rPr>
              <w:t>Contractor Security Annex, NDA, AUP</w:t>
            </w:r>
          </w:p>
        </w:tc>
        <w:tc>
          <w:tcPr>
            <w:tcW w:type="dxa" w:w="2340"/>
            <w:shd w:fill="F4F6F9"/>
            <w:tcMar>
              <w:top w:w="100" w:type="dxa"/>
              <w:bottom w:w="100" w:type="dxa"/>
              <w:left w:w="120" w:type="dxa"/>
              <w:right w:w="120" w:type="dxa"/>
            </w:tcMar>
          </w:tcPr>
          <w:p>
            <w:pPr>
              <w:spacing w:after="0"/>
            </w:pPr>
            <w:r>
              <w:rPr>
                <w:sz w:val="19"/>
              </w:rPr>
              <w:t>Ephemeral VDI, Session Monitoring, ZTNA</w:t>
            </w:r>
          </w:p>
        </w:tc>
      </w:tr>
      <w:tr>
        <w:tc>
          <w:tcPr>
            <w:tcW w:type="dxa" w:w="2340"/>
            <w:shd w:fill="FFFFFF"/>
            <w:tcMar>
              <w:top w:w="100" w:type="dxa"/>
              <w:bottom w:w="100" w:type="dxa"/>
              <w:left w:w="120" w:type="dxa"/>
              <w:right w:w="120" w:type="dxa"/>
            </w:tcMar>
          </w:tcPr>
          <w:p>
            <w:pPr>
              <w:spacing w:after="0"/>
            </w:pPr>
            <w:r>
              <w:rPr>
                <w:sz w:val="19"/>
              </w:rPr>
              <w:t>Third-Party Vendors</w:t>
            </w:r>
          </w:p>
        </w:tc>
        <w:tc>
          <w:tcPr>
            <w:tcW w:type="dxa" w:w="2340"/>
            <w:shd w:fill="FFFFFF"/>
            <w:tcMar>
              <w:top w:w="100" w:type="dxa"/>
              <w:bottom w:w="100" w:type="dxa"/>
              <w:left w:w="120" w:type="dxa"/>
              <w:right w:w="120" w:type="dxa"/>
            </w:tcMar>
          </w:tcPr>
          <w:p>
            <w:pPr>
              <w:spacing w:after="0"/>
            </w:pPr>
            <w:r>
              <w:rPr>
                <w:sz w:val="19"/>
              </w:rPr>
              <w:t>Segmented System-to-System / API Access</w:t>
            </w:r>
          </w:p>
        </w:tc>
        <w:tc>
          <w:tcPr>
            <w:tcW w:type="dxa" w:w="2340"/>
            <w:shd w:fill="FFFFFF"/>
            <w:tcMar>
              <w:top w:w="100" w:type="dxa"/>
              <w:bottom w:w="100" w:type="dxa"/>
              <w:left w:w="120" w:type="dxa"/>
              <w:right w:w="120" w:type="dxa"/>
            </w:tcMar>
          </w:tcPr>
          <w:p>
            <w:pPr>
              <w:spacing w:after="0"/>
            </w:pPr>
            <w:r>
              <w:rPr>
                <w:sz w:val="19"/>
              </w:rPr>
              <w:t>Vendor Risk Policy, Data Processing Addendum</w:t>
            </w:r>
          </w:p>
        </w:tc>
        <w:tc>
          <w:tcPr>
            <w:tcW w:type="dxa" w:w="2340"/>
            <w:shd w:fill="FFFFFF"/>
            <w:tcMar>
              <w:top w:w="100" w:type="dxa"/>
              <w:bottom w:w="100" w:type="dxa"/>
              <w:left w:w="120" w:type="dxa"/>
              <w:right w:w="120" w:type="dxa"/>
            </w:tcMar>
          </w:tcPr>
          <w:p>
            <w:pPr>
              <w:spacing w:after="0"/>
            </w:pPr>
            <w:r>
              <w:rPr>
                <w:sz w:val="19"/>
              </w:rPr>
              <w:t>API Gateways, Mutual TLS, IP Whitelisting, SLA Audits</w:t>
            </w:r>
          </w:p>
        </w:tc>
      </w:tr>
    </w:tbl>
    <w:p/>
    <w:p>
      <w:pPr>
        <w:keepNext/>
        <w:spacing w:before="360" w:after="160"/>
      </w:pPr>
      <w:r>
        <w:rPr>
          <w:b/>
          <w:color w:val="1B365D"/>
          <w:sz w:val="32"/>
        </w:rPr>
        <w:t>2. Core Policy Domains &amp; Synergistic Framework</w:t>
      </w:r>
    </w:p>
    <w:p>
      <w:pPr>
        <w:keepNext/>
        <w:spacing w:before="280" w:after="120"/>
      </w:pPr>
      <w:r>
        <w:rPr>
          <w:b/>
          <w:color w:val="008080"/>
          <w:sz w:val="26"/>
        </w:rPr>
        <w:t>2.1 Access Control &amp; Identity Management (IAM)</w:t>
      </w:r>
    </w:p>
    <w:p>
      <w:pPr>
        <w:pStyle w:val="ListBullet"/>
        <w:spacing w:after="80"/>
      </w:pPr>
      <w:r>
        <w:rPr>
          <w:b/>
          <w:color w:val="222222"/>
        </w:rPr>
        <w:t xml:space="preserve">Principle of Least Privilege: </w:t>
      </w:r>
      <w:r>
        <w:rPr>
          <w:color w:val="222222"/>
        </w:rPr>
        <w:t xml:space="preserve"> All access grants are driven by defined enterprise roles and validated business need.</w:t>
      </w:r>
    </w:p>
    <w:p>
      <w:pPr>
        <w:pStyle w:val="ListBullet"/>
        <w:spacing w:after="80"/>
      </w:pPr>
      <w:r>
        <w:rPr>
          <w:b/>
          <w:color w:val="222222"/>
        </w:rPr>
        <w:t xml:space="preserve">Multi-Factor Authentication (MFA): </w:t>
      </w:r>
      <w:r>
        <w:rPr>
          <w:color w:val="222222"/>
        </w:rPr>
        <w:t xml:space="preserve"> Mandatory for all system, cloud infrastructure, and network accesses using phishing-resistant FIDO2 hardware keys or authenticator apps (SMS/Voice MFA prohibited).</w:t>
      </w:r>
    </w:p>
    <w:p>
      <w:pPr>
        <w:pStyle w:val="ListBullet"/>
        <w:spacing w:after="80"/>
      </w:pPr>
      <w:r>
        <w:rPr>
          <w:b/>
          <w:color w:val="222222"/>
        </w:rPr>
        <w:t xml:space="preserve">User Lifecycle Management: </w:t>
      </w:r>
      <w:r>
        <w:rPr>
          <w:color w:val="222222"/>
        </w:rPr>
        <w:t xml:space="preserve"> Automated provisioning and de-provisioning integrated with HR systems. Accounts deactivated immediately upon HR termination trigger.</w:t>
      </w:r>
    </w:p>
    <w:p>
      <w:pPr>
        <w:pStyle w:val="ListBullet"/>
        <w:spacing w:after="80"/>
      </w:pPr>
      <w:r>
        <w:rPr>
          <w:b/>
          <w:color w:val="222222"/>
        </w:rPr>
        <w:t xml:space="preserve">Privileged Accounts: </w:t>
      </w:r>
      <w:r>
        <w:rPr>
          <w:color w:val="222222"/>
        </w:rPr>
        <w:t xml:space="preserve"> Privileged Access Management (PAM) required for all administrative sessions with session recording and dynamic just-in-time (JIT) access elevation.</w:t>
      </w:r>
    </w:p>
    <w:p>
      <w:pPr>
        <w:keepNext/>
        <w:spacing w:before="280" w:after="120"/>
      </w:pPr>
      <w:r>
        <w:rPr>
          <w:b/>
          <w:color w:val="008080"/>
          <w:sz w:val="26"/>
        </w:rPr>
        <w:t>2.2 Data Protection &amp; Privacy Classification</w:t>
      </w:r>
    </w:p>
    <w:p>
      <w:r>
        <w:t>All organizational data assets must be labeled and protected according to the following 4-tier data classification structure: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pPr>
              <w:spacing w:after="0"/>
            </w:pPr>
            <w:r>
              <w:rPr>
                <w:b/>
                <w:color w:val="FFFFFF"/>
                <w:sz w:val="20"/>
              </w:rPr>
              <w:t>Tier</w:t>
            </w:r>
          </w:p>
        </w:tc>
        <w:tc>
          <w:tcPr>
            <w:tcW w:type="dxa" w:w="2340"/>
            <w:shd w:fill="1B365D"/>
            <w:tcMar>
              <w:top w:w="120" w:type="dxa"/>
              <w:bottom w:w="120" w:type="dxa"/>
              <w:left w:w="150" w:type="dxa"/>
              <w:right w:w="150" w:type="dxa"/>
            </w:tcMar>
          </w:tcPr>
          <w:p>
            <w:pPr>
              <w:spacing w:after="0"/>
            </w:pPr>
            <w:r>
              <w:rPr>
                <w:b/>
                <w:color w:val="FFFFFF"/>
                <w:sz w:val="20"/>
              </w:rPr>
              <w:t>Category</w:t>
            </w:r>
          </w:p>
        </w:tc>
        <w:tc>
          <w:tcPr>
            <w:tcW w:type="dxa" w:w="2340"/>
            <w:shd w:fill="1B365D"/>
            <w:tcMar>
              <w:top w:w="120" w:type="dxa"/>
              <w:bottom w:w="120" w:type="dxa"/>
              <w:left w:w="150" w:type="dxa"/>
              <w:right w:w="150" w:type="dxa"/>
            </w:tcMar>
          </w:tcPr>
          <w:p>
            <w:pPr>
              <w:spacing w:after="0"/>
            </w:pPr>
            <w:r>
              <w:rPr>
                <w:b/>
                <w:color w:val="FFFFFF"/>
                <w:sz w:val="20"/>
              </w:rPr>
              <w:t>Handling &amp; Distribution</w:t>
            </w:r>
          </w:p>
        </w:tc>
        <w:tc>
          <w:tcPr>
            <w:tcW w:type="dxa" w:w="2340"/>
            <w:shd w:fill="1B365D"/>
            <w:tcMar>
              <w:top w:w="120" w:type="dxa"/>
              <w:bottom w:w="120" w:type="dxa"/>
              <w:left w:w="150" w:type="dxa"/>
              <w:right w:w="150" w:type="dxa"/>
            </w:tcMar>
          </w:tcPr>
          <w:p>
            <w:pPr>
              <w:spacing w:after="0"/>
            </w:pPr>
            <w:r>
              <w:rPr>
                <w:b/>
                <w:color w:val="FFFFFF"/>
                <w:sz w:val="20"/>
              </w:rPr>
              <w:t>Technical Security Controls</w:t>
            </w:r>
          </w:p>
        </w:tc>
      </w:tr>
      <w:tr>
        <w:tc>
          <w:tcPr>
            <w:tcW w:type="dxa" w:w="2340"/>
            <w:shd w:fill="FFFFFF"/>
            <w:tcMar>
              <w:top w:w="100" w:type="dxa"/>
              <w:bottom w:w="100" w:type="dxa"/>
              <w:left w:w="120" w:type="dxa"/>
              <w:right w:w="120" w:type="dxa"/>
            </w:tcMar>
          </w:tcPr>
          <w:p>
            <w:pPr>
              <w:spacing w:after="0"/>
            </w:pPr>
            <w:r>
              <w:rPr>
                <w:sz w:val="19"/>
              </w:rPr>
              <w:t>L1</w:t>
            </w:r>
          </w:p>
        </w:tc>
        <w:tc>
          <w:tcPr>
            <w:tcW w:type="dxa" w:w="2340"/>
            <w:shd w:fill="FFFFFF"/>
            <w:tcMar>
              <w:top w:w="100" w:type="dxa"/>
              <w:bottom w:w="100" w:type="dxa"/>
              <w:left w:w="120" w:type="dxa"/>
              <w:right w:w="120" w:type="dxa"/>
            </w:tcMar>
          </w:tcPr>
          <w:p>
            <w:pPr>
              <w:spacing w:after="0"/>
            </w:pPr>
            <w:r>
              <w:rPr>
                <w:sz w:val="19"/>
              </w:rPr>
              <w:t>Public</w:t>
            </w:r>
          </w:p>
        </w:tc>
        <w:tc>
          <w:tcPr>
            <w:tcW w:type="dxa" w:w="2340"/>
            <w:shd w:fill="FFFFFF"/>
            <w:tcMar>
              <w:top w:w="100" w:type="dxa"/>
              <w:bottom w:w="100" w:type="dxa"/>
              <w:left w:w="120" w:type="dxa"/>
              <w:right w:w="120" w:type="dxa"/>
            </w:tcMar>
          </w:tcPr>
          <w:p>
            <w:pPr>
              <w:spacing w:after="0"/>
            </w:pPr>
            <w:r>
              <w:rPr>
                <w:sz w:val="19"/>
              </w:rPr>
              <w:t>Unrestricted public distribution permitted.</w:t>
            </w:r>
          </w:p>
        </w:tc>
        <w:tc>
          <w:tcPr>
            <w:tcW w:type="dxa" w:w="2340"/>
            <w:shd w:fill="FFFFFF"/>
            <w:tcMar>
              <w:top w:w="100" w:type="dxa"/>
              <w:bottom w:w="100" w:type="dxa"/>
              <w:left w:w="120" w:type="dxa"/>
              <w:right w:w="120" w:type="dxa"/>
            </w:tcMar>
          </w:tcPr>
          <w:p>
            <w:pPr>
              <w:spacing w:after="0"/>
            </w:pPr>
            <w:r>
              <w:rPr>
                <w:sz w:val="19"/>
              </w:rPr>
              <w:t>Integrity monitoring, public web protection.</w:t>
            </w:r>
          </w:p>
        </w:tc>
      </w:tr>
      <w:tr>
        <w:tc>
          <w:tcPr>
            <w:tcW w:type="dxa" w:w="2340"/>
            <w:shd w:fill="F4F6F9"/>
            <w:tcMar>
              <w:top w:w="100" w:type="dxa"/>
              <w:bottom w:w="100" w:type="dxa"/>
              <w:left w:w="120" w:type="dxa"/>
              <w:right w:w="120" w:type="dxa"/>
            </w:tcMar>
          </w:tcPr>
          <w:p>
            <w:pPr>
              <w:spacing w:after="0"/>
            </w:pPr>
            <w:r>
              <w:rPr>
                <w:sz w:val="19"/>
              </w:rPr>
              <w:t>L2</w:t>
            </w:r>
          </w:p>
        </w:tc>
        <w:tc>
          <w:tcPr>
            <w:tcW w:type="dxa" w:w="2340"/>
            <w:shd w:fill="F4F6F9"/>
            <w:tcMar>
              <w:top w:w="100" w:type="dxa"/>
              <w:bottom w:w="100" w:type="dxa"/>
              <w:left w:w="120" w:type="dxa"/>
              <w:right w:w="120" w:type="dxa"/>
            </w:tcMar>
          </w:tcPr>
          <w:p>
            <w:pPr>
              <w:spacing w:after="0"/>
            </w:pPr>
            <w:r>
              <w:rPr>
                <w:sz w:val="19"/>
              </w:rPr>
              <w:t>Internal</w:t>
            </w:r>
          </w:p>
        </w:tc>
        <w:tc>
          <w:tcPr>
            <w:tcW w:type="dxa" w:w="2340"/>
            <w:shd w:fill="F4F6F9"/>
            <w:tcMar>
              <w:top w:w="100" w:type="dxa"/>
              <w:bottom w:w="100" w:type="dxa"/>
              <w:left w:w="120" w:type="dxa"/>
              <w:right w:w="120" w:type="dxa"/>
            </w:tcMar>
          </w:tcPr>
          <w:p>
            <w:pPr>
              <w:spacing w:after="0"/>
            </w:pPr>
            <w:r>
              <w:rPr>
                <w:sz w:val="19"/>
              </w:rPr>
              <w:t>Internal personnel; disclosure requires manager consent.</w:t>
            </w:r>
          </w:p>
        </w:tc>
        <w:tc>
          <w:tcPr>
            <w:tcW w:type="dxa" w:w="2340"/>
            <w:shd w:fill="F4F6F9"/>
            <w:tcMar>
              <w:top w:w="100" w:type="dxa"/>
              <w:bottom w:w="100" w:type="dxa"/>
              <w:left w:w="120" w:type="dxa"/>
              <w:right w:w="120" w:type="dxa"/>
            </w:tcMar>
          </w:tcPr>
          <w:p>
            <w:pPr>
              <w:spacing w:after="0"/>
            </w:pPr>
            <w:r>
              <w:rPr>
                <w:sz w:val="19"/>
              </w:rPr>
              <w:t>Standard authentication, internal RBAC.</w:t>
            </w:r>
          </w:p>
        </w:tc>
      </w:tr>
      <w:tr>
        <w:tc>
          <w:tcPr>
            <w:tcW w:type="dxa" w:w="2340"/>
            <w:shd w:fill="FFFFFF"/>
            <w:tcMar>
              <w:top w:w="100" w:type="dxa"/>
              <w:bottom w:w="100" w:type="dxa"/>
              <w:left w:w="120" w:type="dxa"/>
              <w:right w:w="120" w:type="dxa"/>
            </w:tcMar>
          </w:tcPr>
          <w:p>
            <w:pPr>
              <w:spacing w:after="0"/>
            </w:pPr>
            <w:r>
              <w:rPr>
                <w:sz w:val="19"/>
              </w:rPr>
              <w:t>L3</w:t>
            </w:r>
          </w:p>
        </w:tc>
        <w:tc>
          <w:tcPr>
            <w:tcW w:type="dxa" w:w="2340"/>
            <w:shd w:fill="FFFFFF"/>
            <w:tcMar>
              <w:top w:w="100" w:type="dxa"/>
              <w:bottom w:w="100" w:type="dxa"/>
              <w:left w:w="120" w:type="dxa"/>
              <w:right w:w="120" w:type="dxa"/>
            </w:tcMar>
          </w:tcPr>
          <w:p>
            <w:pPr>
              <w:spacing w:after="0"/>
            </w:pPr>
            <w:r>
              <w:rPr>
                <w:sz w:val="19"/>
              </w:rPr>
              <w:t>Confidential</w:t>
            </w:r>
          </w:p>
        </w:tc>
        <w:tc>
          <w:tcPr>
            <w:tcW w:type="dxa" w:w="2340"/>
            <w:shd w:fill="FFFFFF"/>
            <w:tcMar>
              <w:top w:w="100" w:type="dxa"/>
              <w:bottom w:w="100" w:type="dxa"/>
              <w:left w:w="120" w:type="dxa"/>
              <w:right w:w="120" w:type="dxa"/>
            </w:tcMar>
          </w:tcPr>
          <w:p>
            <w:pPr>
              <w:spacing w:after="0"/>
            </w:pPr>
            <w:r>
              <w:rPr>
                <w:sz w:val="19"/>
              </w:rPr>
              <w:t>Strict business need; NDA required for externals.</w:t>
            </w:r>
          </w:p>
        </w:tc>
        <w:tc>
          <w:tcPr>
            <w:tcW w:type="dxa" w:w="2340"/>
            <w:shd w:fill="FFFFFF"/>
            <w:tcMar>
              <w:top w:w="100" w:type="dxa"/>
              <w:bottom w:w="100" w:type="dxa"/>
              <w:left w:w="120" w:type="dxa"/>
              <w:right w:w="120" w:type="dxa"/>
            </w:tcMar>
          </w:tcPr>
          <w:p>
            <w:pPr>
              <w:spacing w:after="0"/>
            </w:pPr>
            <w:r>
              <w:rPr>
                <w:sz w:val="19"/>
              </w:rPr>
              <w:t>AES-256 encryption at rest, TLS 1.3 in transit, automated DLP.</w:t>
            </w:r>
          </w:p>
        </w:tc>
      </w:tr>
      <w:tr>
        <w:tc>
          <w:tcPr>
            <w:tcW w:type="dxa" w:w="2340"/>
            <w:shd w:fill="F4F6F9"/>
            <w:tcMar>
              <w:top w:w="100" w:type="dxa"/>
              <w:bottom w:w="100" w:type="dxa"/>
              <w:left w:w="120" w:type="dxa"/>
              <w:right w:w="120" w:type="dxa"/>
            </w:tcMar>
          </w:tcPr>
          <w:p>
            <w:pPr>
              <w:spacing w:after="0"/>
            </w:pPr>
            <w:r>
              <w:rPr>
                <w:sz w:val="19"/>
              </w:rPr>
              <w:t>L4</w:t>
            </w:r>
          </w:p>
        </w:tc>
        <w:tc>
          <w:tcPr>
            <w:tcW w:type="dxa" w:w="2340"/>
            <w:shd w:fill="F4F6F9"/>
            <w:tcMar>
              <w:top w:w="100" w:type="dxa"/>
              <w:bottom w:w="100" w:type="dxa"/>
              <w:left w:w="120" w:type="dxa"/>
              <w:right w:w="120" w:type="dxa"/>
            </w:tcMar>
          </w:tcPr>
          <w:p>
            <w:pPr>
              <w:spacing w:after="0"/>
            </w:pPr>
            <w:r>
              <w:rPr>
                <w:sz w:val="19"/>
              </w:rPr>
              <w:t>Restricted</w:t>
            </w:r>
          </w:p>
        </w:tc>
        <w:tc>
          <w:tcPr>
            <w:tcW w:type="dxa" w:w="2340"/>
            <w:shd w:fill="F4F6F9"/>
            <w:tcMar>
              <w:top w:w="100" w:type="dxa"/>
              <w:bottom w:w="100" w:type="dxa"/>
              <w:left w:w="120" w:type="dxa"/>
              <w:right w:w="120" w:type="dxa"/>
            </w:tcMar>
          </w:tcPr>
          <w:p>
            <w:pPr>
              <w:spacing w:after="0"/>
            </w:pPr>
            <w:r>
              <w:rPr>
                <w:sz w:val="19"/>
              </w:rPr>
              <w:t>PII, PHI, financial keys, trade secrets. Strictly isolated.</w:t>
            </w:r>
          </w:p>
        </w:tc>
        <w:tc>
          <w:tcPr>
            <w:tcW w:type="dxa" w:w="2340"/>
            <w:shd w:fill="F4F6F9"/>
            <w:tcMar>
              <w:top w:w="100" w:type="dxa"/>
              <w:bottom w:w="100" w:type="dxa"/>
              <w:left w:w="120" w:type="dxa"/>
              <w:right w:w="120" w:type="dxa"/>
            </w:tcMar>
          </w:tcPr>
          <w:p>
            <w:pPr>
              <w:spacing w:after="0"/>
            </w:pPr>
            <w:r>
              <w:rPr>
                <w:sz w:val="19"/>
              </w:rPr>
              <w:t>AES-256 encryption, hardware security modules (HSM), audit logging, strict DLP.</w:t>
            </w:r>
          </w:p>
        </w:tc>
      </w:tr>
    </w:tbl>
    <w:p>
      <w:pPr>
        <w:keepNext/>
        <w:spacing w:before="280" w:after="120"/>
      </w:pPr>
      <w:r>
        <w:rPr>
          <w:b/>
          <w:color w:val="008080"/>
          <w:sz w:val="26"/>
        </w:rPr>
        <w:t>2.3 Network &amp; Infrastructure Security</w:t>
      </w:r>
    </w:p>
    <w:p>
      <w:pPr>
        <w:pStyle w:val="ListBullet"/>
        <w:spacing w:after="80"/>
      </w:pPr>
      <w:r>
        <w:rPr>
          <w:b/>
          <w:color w:val="222222"/>
        </w:rPr>
        <w:t xml:space="preserve">Zero Trust Architecture (ZTA): </w:t>
      </w:r>
      <w:r>
        <w:rPr>
          <w:color w:val="222222"/>
        </w:rPr>
        <w:t xml:space="preserve"> Continuous verification of device posture, identity, and context regardless of network location.</w:t>
      </w:r>
    </w:p>
    <w:p>
      <w:pPr>
        <w:pStyle w:val="ListBullet"/>
        <w:spacing w:after="80"/>
      </w:pPr>
      <w:r>
        <w:rPr>
          <w:b/>
          <w:color w:val="222222"/>
        </w:rPr>
        <w:t xml:space="preserve">Micro-Segmentation: </w:t>
      </w:r>
      <w:r>
        <w:rPr>
          <w:color w:val="222222"/>
        </w:rPr>
        <w:t xml:space="preserve"> Network isolation between Production, Development, and Corporate environments enforced via Next-Generation Firewalls (NGFW).</w:t>
      </w:r>
    </w:p>
    <w:p>
      <w:pPr>
        <w:pStyle w:val="ListBullet"/>
        <w:spacing w:after="80"/>
      </w:pPr>
      <w:r>
        <w:rPr>
          <w:b/>
          <w:color w:val="222222"/>
        </w:rPr>
        <w:t xml:space="preserve">Wireless Security: </w:t>
      </w:r>
      <w:r>
        <w:rPr>
          <w:color w:val="222222"/>
        </w:rPr>
        <w:t xml:space="preserve"> WPA3 Enterprise authentication with 802.1X, guest network strictly segregated.</w:t>
      </w:r>
    </w:p>
    <w:p>
      <w:pPr>
        <w:keepNext/>
        <w:spacing w:before="280" w:after="120"/>
      </w:pPr>
      <w:r>
        <w:rPr>
          <w:b/>
          <w:color w:val="008080"/>
          <w:sz w:val="26"/>
        </w:rPr>
        <w:t>2.4 Incident Response &amp; Business Continuity</w:t>
      </w:r>
    </w:p>
    <w:p>
      <w:r>
        <w:t>Incidents are handled according to the NIST SP 800-61 Rev 2 lifecycle: Preparation -&gt; Detection &amp; Analysis -&gt; Containment, Eradication &amp; Recovery -&gt; Post-Incident Activity.</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pPr>
              <w:spacing w:after="0"/>
            </w:pPr>
            <w:r>
              <w:rPr>
                <w:b/>
                <w:color w:val="FFFFFF"/>
                <w:sz w:val="20"/>
              </w:rPr>
              <w:t>Severity Level</w:t>
            </w:r>
          </w:p>
        </w:tc>
        <w:tc>
          <w:tcPr>
            <w:tcW w:type="dxa" w:w="2340"/>
            <w:shd w:fill="1B365D"/>
            <w:tcMar>
              <w:top w:w="120" w:type="dxa"/>
              <w:bottom w:w="120" w:type="dxa"/>
              <w:left w:w="150" w:type="dxa"/>
              <w:right w:w="150" w:type="dxa"/>
            </w:tcMar>
          </w:tcPr>
          <w:p>
            <w:pPr>
              <w:spacing w:after="0"/>
            </w:pPr>
            <w:r>
              <w:rPr>
                <w:b/>
                <w:color w:val="FFFFFF"/>
                <w:sz w:val="20"/>
              </w:rPr>
              <w:t>Definition &amp; Impact</w:t>
            </w:r>
          </w:p>
        </w:tc>
        <w:tc>
          <w:tcPr>
            <w:tcW w:type="dxa" w:w="2340"/>
            <w:shd w:fill="1B365D"/>
            <w:tcMar>
              <w:top w:w="120" w:type="dxa"/>
              <w:bottom w:w="120" w:type="dxa"/>
              <w:left w:w="150" w:type="dxa"/>
              <w:right w:w="150" w:type="dxa"/>
            </w:tcMar>
          </w:tcPr>
          <w:p>
            <w:pPr>
              <w:spacing w:after="0"/>
            </w:pPr>
            <w:r>
              <w:rPr>
                <w:b/>
                <w:color w:val="FFFFFF"/>
                <w:sz w:val="20"/>
              </w:rPr>
              <w:t>SLA Response</w:t>
            </w:r>
          </w:p>
        </w:tc>
        <w:tc>
          <w:tcPr>
            <w:tcW w:type="dxa" w:w="2340"/>
            <w:shd w:fill="1B365D"/>
            <w:tcMar>
              <w:top w:w="120" w:type="dxa"/>
              <w:bottom w:w="120" w:type="dxa"/>
              <w:left w:w="150" w:type="dxa"/>
              <w:right w:w="150" w:type="dxa"/>
            </w:tcMar>
          </w:tcPr>
          <w:p>
            <w:pPr>
              <w:spacing w:after="0"/>
            </w:pPr>
            <w:r>
              <w:rPr>
                <w:b/>
                <w:color w:val="FFFFFF"/>
                <w:sz w:val="20"/>
              </w:rPr>
              <w:t>Escalation Chain</w:t>
            </w:r>
          </w:p>
        </w:tc>
      </w:tr>
      <w:tr>
        <w:tc>
          <w:tcPr>
            <w:tcW w:type="dxa" w:w="2340"/>
            <w:shd w:fill="FFFFFF"/>
            <w:tcMar>
              <w:top w:w="100" w:type="dxa"/>
              <w:bottom w:w="100" w:type="dxa"/>
              <w:left w:w="120" w:type="dxa"/>
              <w:right w:w="120" w:type="dxa"/>
            </w:tcMar>
          </w:tcPr>
          <w:p>
            <w:pPr>
              <w:spacing w:after="0"/>
            </w:pPr>
            <w:r>
              <w:rPr>
                <w:sz w:val="19"/>
              </w:rPr>
              <w:t>Severity 1 (Critical)</w:t>
            </w:r>
          </w:p>
        </w:tc>
        <w:tc>
          <w:tcPr>
            <w:tcW w:type="dxa" w:w="2340"/>
            <w:shd w:fill="FFFFFF"/>
            <w:tcMar>
              <w:top w:w="100" w:type="dxa"/>
              <w:bottom w:w="100" w:type="dxa"/>
              <w:left w:w="120" w:type="dxa"/>
              <w:right w:w="120" w:type="dxa"/>
            </w:tcMar>
          </w:tcPr>
          <w:p>
            <w:pPr>
              <w:spacing w:after="0"/>
            </w:pPr>
            <w:r>
              <w:rPr>
                <w:sz w:val="19"/>
              </w:rPr>
              <w:t>Confirmed breach of L4 Restricted data, active ransomware, or severe core downtime.</w:t>
            </w:r>
          </w:p>
        </w:tc>
        <w:tc>
          <w:tcPr>
            <w:tcW w:type="dxa" w:w="2340"/>
            <w:shd w:fill="FFFFFF"/>
            <w:tcMar>
              <w:top w:w="100" w:type="dxa"/>
              <w:bottom w:w="100" w:type="dxa"/>
              <w:left w:w="120" w:type="dxa"/>
              <w:right w:w="120" w:type="dxa"/>
            </w:tcMar>
          </w:tcPr>
          <w:p>
            <w:pPr>
              <w:spacing w:after="0"/>
            </w:pPr>
            <w:r>
              <w:rPr>
                <w:sz w:val="19"/>
              </w:rPr>
              <w:t>&lt; 15 Minutes</w:t>
            </w:r>
          </w:p>
        </w:tc>
        <w:tc>
          <w:tcPr>
            <w:tcW w:type="dxa" w:w="2340"/>
            <w:shd w:fill="FFFFFF"/>
            <w:tcMar>
              <w:top w:w="100" w:type="dxa"/>
              <w:bottom w:w="100" w:type="dxa"/>
              <w:left w:w="120" w:type="dxa"/>
              <w:right w:w="120" w:type="dxa"/>
            </w:tcMar>
          </w:tcPr>
          <w:p>
            <w:pPr>
              <w:spacing w:after="0"/>
            </w:pPr>
            <w:r>
              <w:rPr>
                <w:sz w:val="19"/>
              </w:rPr>
              <w:t>CISO, Executive Leadership, Incident Response Team, Legal</w:t>
            </w:r>
          </w:p>
        </w:tc>
      </w:tr>
      <w:tr>
        <w:tc>
          <w:tcPr>
            <w:tcW w:type="dxa" w:w="2340"/>
            <w:shd w:fill="F4F6F9"/>
            <w:tcMar>
              <w:top w:w="100" w:type="dxa"/>
              <w:bottom w:w="100" w:type="dxa"/>
              <w:left w:w="120" w:type="dxa"/>
              <w:right w:w="120" w:type="dxa"/>
            </w:tcMar>
          </w:tcPr>
          <w:p>
            <w:pPr>
              <w:spacing w:after="0"/>
            </w:pPr>
            <w:r>
              <w:rPr>
                <w:sz w:val="19"/>
              </w:rPr>
              <w:t>Severity 2 (High)</w:t>
            </w:r>
          </w:p>
        </w:tc>
        <w:tc>
          <w:tcPr>
            <w:tcW w:type="dxa" w:w="2340"/>
            <w:shd w:fill="F4F6F9"/>
            <w:tcMar>
              <w:top w:w="100" w:type="dxa"/>
              <w:bottom w:w="100" w:type="dxa"/>
              <w:left w:w="120" w:type="dxa"/>
              <w:right w:w="120" w:type="dxa"/>
            </w:tcMar>
          </w:tcPr>
          <w:p>
            <w:pPr>
              <w:spacing w:after="0"/>
            </w:pPr>
            <w:r>
              <w:rPr>
                <w:sz w:val="19"/>
              </w:rPr>
              <w:t>Major malware infection, partial service failure, unconfirmed L3 exposure.</w:t>
            </w:r>
          </w:p>
        </w:tc>
        <w:tc>
          <w:tcPr>
            <w:tcW w:type="dxa" w:w="2340"/>
            <w:shd w:fill="F4F6F9"/>
            <w:tcMar>
              <w:top w:w="100" w:type="dxa"/>
              <w:bottom w:w="100" w:type="dxa"/>
              <w:left w:w="120" w:type="dxa"/>
              <w:right w:w="120" w:type="dxa"/>
            </w:tcMar>
          </w:tcPr>
          <w:p>
            <w:pPr>
              <w:spacing w:after="0"/>
            </w:pPr>
            <w:r>
              <w:rPr>
                <w:sz w:val="19"/>
              </w:rPr>
              <w:t>&lt; 1 Hour</w:t>
            </w:r>
          </w:p>
        </w:tc>
        <w:tc>
          <w:tcPr>
            <w:tcW w:type="dxa" w:w="2340"/>
            <w:shd w:fill="F4F6F9"/>
            <w:tcMar>
              <w:top w:w="100" w:type="dxa"/>
              <w:bottom w:w="100" w:type="dxa"/>
              <w:left w:w="120" w:type="dxa"/>
              <w:right w:w="120" w:type="dxa"/>
            </w:tcMar>
          </w:tcPr>
          <w:p>
            <w:pPr>
              <w:spacing w:after="0"/>
            </w:pPr>
            <w:r>
              <w:rPr>
                <w:sz w:val="19"/>
              </w:rPr>
              <w:t>Security Operations Manager, Infrastructure Lead</w:t>
            </w:r>
          </w:p>
        </w:tc>
      </w:tr>
      <w:tr>
        <w:tc>
          <w:tcPr>
            <w:tcW w:type="dxa" w:w="2340"/>
            <w:shd w:fill="FFFFFF"/>
            <w:tcMar>
              <w:top w:w="100" w:type="dxa"/>
              <w:bottom w:w="100" w:type="dxa"/>
              <w:left w:w="120" w:type="dxa"/>
              <w:right w:w="120" w:type="dxa"/>
            </w:tcMar>
          </w:tcPr>
          <w:p>
            <w:pPr>
              <w:spacing w:after="0"/>
            </w:pPr>
            <w:r>
              <w:rPr>
                <w:sz w:val="19"/>
              </w:rPr>
              <w:t>Severity 3 (Low/Medium)</w:t>
            </w:r>
          </w:p>
        </w:tc>
        <w:tc>
          <w:tcPr>
            <w:tcW w:type="dxa" w:w="2340"/>
            <w:shd w:fill="FFFFFF"/>
            <w:tcMar>
              <w:top w:w="100" w:type="dxa"/>
              <w:bottom w:w="100" w:type="dxa"/>
              <w:left w:w="120" w:type="dxa"/>
              <w:right w:w="120" w:type="dxa"/>
            </w:tcMar>
          </w:tcPr>
          <w:p>
            <w:pPr>
              <w:spacing w:after="0"/>
            </w:pPr>
            <w:r>
              <w:rPr>
                <w:sz w:val="19"/>
              </w:rPr>
              <w:t>Isolated policy violation, single endpoint failure, phishing attempt blocked.</w:t>
            </w:r>
          </w:p>
        </w:tc>
        <w:tc>
          <w:tcPr>
            <w:tcW w:type="dxa" w:w="2340"/>
            <w:shd w:fill="FFFFFF"/>
            <w:tcMar>
              <w:top w:w="100" w:type="dxa"/>
              <w:bottom w:w="100" w:type="dxa"/>
              <w:left w:w="120" w:type="dxa"/>
              <w:right w:w="120" w:type="dxa"/>
            </w:tcMar>
          </w:tcPr>
          <w:p>
            <w:pPr>
              <w:spacing w:after="0"/>
            </w:pPr>
            <w:r>
              <w:rPr>
                <w:sz w:val="19"/>
              </w:rPr>
              <w:t>&lt; 8 Hours</w:t>
            </w:r>
          </w:p>
        </w:tc>
        <w:tc>
          <w:tcPr>
            <w:tcW w:type="dxa" w:w="2340"/>
            <w:shd w:fill="FFFFFF"/>
            <w:tcMar>
              <w:top w:w="100" w:type="dxa"/>
              <w:bottom w:w="100" w:type="dxa"/>
              <w:left w:w="120" w:type="dxa"/>
              <w:right w:w="120" w:type="dxa"/>
            </w:tcMar>
          </w:tcPr>
          <w:p>
            <w:pPr>
              <w:spacing w:after="0"/>
            </w:pPr>
            <w:r>
              <w:rPr>
                <w:sz w:val="19"/>
              </w:rPr>
              <w:t>SOC Analyst, IT Helpdesk</w:t>
            </w:r>
          </w:p>
        </w:tc>
      </w:tr>
    </w:tbl>
    <w:p/>
    <w:p>
      <w:pPr>
        <w:keepNext/>
        <w:spacing w:before="360" w:after="160"/>
      </w:pPr>
      <w:r>
        <w:rPr>
          <w:b/>
          <w:color w:val="1B365D"/>
          <w:sz w:val="32"/>
        </w:rPr>
        <w:t>3. Regulatory Standards Mapping Matrix</w:t>
      </w:r>
    </w:p>
    <w:p>
      <w:r>
        <w:t>Internal policy controls directly align with leading cybersecurity frameworks (ISO/IEC 27001:2022 and NIST CSF 2.0) and legal regulatory requirements (GDPR, PCI-DSS v4.0, HIPAA).</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pPr>
              <w:spacing w:after="0"/>
            </w:pPr>
            <w:r>
              <w:rPr>
                <w:b/>
                <w:color w:val="FFFFFF"/>
                <w:sz w:val="20"/>
              </w:rPr>
              <w:t>Domain / Control</w:t>
            </w:r>
          </w:p>
        </w:tc>
        <w:tc>
          <w:tcPr>
            <w:tcW w:type="dxa" w:w="2340"/>
            <w:shd w:fill="1B365D"/>
            <w:tcMar>
              <w:top w:w="120" w:type="dxa"/>
              <w:bottom w:w="120" w:type="dxa"/>
              <w:left w:w="150" w:type="dxa"/>
              <w:right w:w="150" w:type="dxa"/>
            </w:tcMar>
          </w:tcPr>
          <w:p>
            <w:pPr>
              <w:spacing w:after="0"/>
            </w:pPr>
            <w:r>
              <w:rPr>
                <w:b/>
                <w:color w:val="FFFFFF"/>
                <w:sz w:val="20"/>
              </w:rPr>
              <w:t>Internal Policy Control</w:t>
            </w:r>
          </w:p>
        </w:tc>
        <w:tc>
          <w:tcPr>
            <w:tcW w:type="dxa" w:w="2340"/>
            <w:shd w:fill="1B365D"/>
            <w:tcMar>
              <w:top w:w="120" w:type="dxa"/>
              <w:bottom w:w="120" w:type="dxa"/>
              <w:left w:w="150" w:type="dxa"/>
              <w:right w:w="150" w:type="dxa"/>
            </w:tcMar>
          </w:tcPr>
          <w:p>
            <w:pPr>
              <w:spacing w:after="0"/>
            </w:pPr>
            <w:r>
              <w:rPr>
                <w:b/>
                <w:color w:val="FFFFFF"/>
                <w:sz w:val="20"/>
              </w:rPr>
              <w:t>ISO/IEC 27001:2022 Control</w:t>
            </w:r>
          </w:p>
        </w:tc>
        <w:tc>
          <w:tcPr>
            <w:tcW w:type="dxa" w:w="2340"/>
            <w:shd w:fill="1B365D"/>
            <w:tcMar>
              <w:top w:w="120" w:type="dxa"/>
              <w:bottom w:w="120" w:type="dxa"/>
              <w:left w:w="150" w:type="dxa"/>
              <w:right w:w="150" w:type="dxa"/>
            </w:tcMar>
          </w:tcPr>
          <w:p>
            <w:pPr>
              <w:spacing w:after="0"/>
            </w:pPr>
            <w:r>
              <w:rPr>
                <w:b/>
                <w:color w:val="FFFFFF"/>
                <w:sz w:val="20"/>
              </w:rPr>
              <w:t>NIST CSF 2.0 Mapping</w:t>
            </w:r>
          </w:p>
        </w:tc>
      </w:tr>
      <w:tr>
        <w:tc>
          <w:tcPr>
            <w:tcW w:type="dxa" w:w="2340"/>
            <w:shd w:fill="FFFFFF"/>
            <w:tcMar>
              <w:top w:w="100" w:type="dxa"/>
              <w:bottom w:w="100" w:type="dxa"/>
              <w:left w:w="120" w:type="dxa"/>
              <w:right w:w="120" w:type="dxa"/>
            </w:tcMar>
          </w:tcPr>
          <w:p>
            <w:pPr>
              <w:spacing w:after="0"/>
            </w:pPr>
            <w:r>
              <w:rPr>
                <w:sz w:val="19"/>
              </w:rPr>
              <w:t>Access Control</w:t>
            </w:r>
          </w:p>
        </w:tc>
        <w:tc>
          <w:tcPr>
            <w:tcW w:type="dxa" w:w="2340"/>
            <w:shd w:fill="FFFFFF"/>
            <w:tcMar>
              <w:top w:w="100" w:type="dxa"/>
              <w:bottom w:w="100" w:type="dxa"/>
              <w:left w:w="120" w:type="dxa"/>
              <w:right w:w="120" w:type="dxa"/>
            </w:tcMar>
          </w:tcPr>
          <w:p>
            <w:pPr>
              <w:spacing w:after="0"/>
            </w:pPr>
            <w:r>
              <w:rPr>
                <w:sz w:val="19"/>
              </w:rPr>
              <w:t>Mandatory MFA, PAM, Quarterly Access Reviews</w:t>
            </w:r>
          </w:p>
        </w:tc>
        <w:tc>
          <w:tcPr>
            <w:tcW w:type="dxa" w:w="2340"/>
            <w:shd w:fill="FFFFFF"/>
            <w:tcMar>
              <w:top w:w="100" w:type="dxa"/>
              <w:bottom w:w="100" w:type="dxa"/>
              <w:left w:w="120" w:type="dxa"/>
              <w:right w:w="120" w:type="dxa"/>
            </w:tcMar>
          </w:tcPr>
          <w:p>
            <w:pPr>
              <w:spacing w:after="0"/>
            </w:pPr>
            <w:r>
              <w:rPr>
                <w:sz w:val="19"/>
              </w:rPr>
              <w:t>A.5.15, A.8.2, A.8.5</w:t>
            </w:r>
          </w:p>
        </w:tc>
        <w:tc>
          <w:tcPr>
            <w:tcW w:type="dxa" w:w="2340"/>
            <w:shd w:fill="FFFFFF"/>
            <w:tcMar>
              <w:top w:w="100" w:type="dxa"/>
              <w:bottom w:w="100" w:type="dxa"/>
              <w:left w:w="120" w:type="dxa"/>
              <w:right w:w="120" w:type="dxa"/>
            </w:tcMar>
          </w:tcPr>
          <w:p>
            <w:pPr>
              <w:spacing w:after="0"/>
            </w:pPr>
            <w:r>
              <w:rPr>
                <w:sz w:val="19"/>
              </w:rPr>
              <w:t>PR.AA-01, PR.AA-02, PR.AA-05</w:t>
            </w:r>
          </w:p>
        </w:tc>
      </w:tr>
      <w:tr>
        <w:tc>
          <w:tcPr>
            <w:tcW w:type="dxa" w:w="2340"/>
            <w:shd w:fill="F4F6F9"/>
            <w:tcMar>
              <w:top w:w="100" w:type="dxa"/>
              <w:bottom w:w="100" w:type="dxa"/>
              <w:left w:w="120" w:type="dxa"/>
              <w:right w:w="120" w:type="dxa"/>
            </w:tcMar>
          </w:tcPr>
          <w:p>
            <w:pPr>
              <w:spacing w:after="0"/>
            </w:pPr>
            <w:r>
              <w:rPr>
                <w:sz w:val="19"/>
              </w:rPr>
              <w:t>Data Protection</w:t>
            </w:r>
          </w:p>
        </w:tc>
        <w:tc>
          <w:tcPr>
            <w:tcW w:type="dxa" w:w="2340"/>
            <w:shd w:fill="F4F6F9"/>
            <w:tcMar>
              <w:top w:w="100" w:type="dxa"/>
              <w:bottom w:w="100" w:type="dxa"/>
              <w:left w:w="120" w:type="dxa"/>
              <w:right w:w="120" w:type="dxa"/>
            </w:tcMar>
          </w:tcPr>
          <w:p>
            <w:pPr>
              <w:spacing w:after="0"/>
            </w:pPr>
            <w:r>
              <w:rPr>
                <w:sz w:val="19"/>
              </w:rPr>
              <w:t>AES-256 Encryption, Automated DLP, Tiers L1-L4</w:t>
            </w:r>
          </w:p>
        </w:tc>
        <w:tc>
          <w:tcPr>
            <w:tcW w:type="dxa" w:w="2340"/>
            <w:shd w:fill="F4F6F9"/>
            <w:tcMar>
              <w:top w:w="100" w:type="dxa"/>
              <w:bottom w:w="100" w:type="dxa"/>
              <w:left w:w="120" w:type="dxa"/>
              <w:right w:w="120" w:type="dxa"/>
            </w:tcMar>
          </w:tcPr>
          <w:p>
            <w:pPr>
              <w:spacing w:after="0"/>
            </w:pPr>
            <w:r>
              <w:rPr>
                <w:sz w:val="19"/>
              </w:rPr>
              <w:t>A.8.10, A.8.11, A.8.24</w:t>
            </w:r>
          </w:p>
        </w:tc>
        <w:tc>
          <w:tcPr>
            <w:tcW w:type="dxa" w:w="2340"/>
            <w:shd w:fill="F4F6F9"/>
            <w:tcMar>
              <w:top w:w="100" w:type="dxa"/>
              <w:bottom w:w="100" w:type="dxa"/>
              <w:left w:w="120" w:type="dxa"/>
              <w:right w:w="120" w:type="dxa"/>
            </w:tcMar>
          </w:tcPr>
          <w:p>
            <w:pPr>
              <w:spacing w:after="0"/>
            </w:pPr>
            <w:r>
              <w:rPr>
                <w:sz w:val="19"/>
              </w:rPr>
              <w:t>PR.DS-01, PR.DS-02, PR.DS-11</w:t>
            </w:r>
          </w:p>
        </w:tc>
      </w:tr>
      <w:tr>
        <w:tc>
          <w:tcPr>
            <w:tcW w:type="dxa" w:w="2340"/>
            <w:shd w:fill="FFFFFF"/>
            <w:tcMar>
              <w:top w:w="100" w:type="dxa"/>
              <w:bottom w:w="100" w:type="dxa"/>
              <w:left w:w="120" w:type="dxa"/>
              <w:right w:w="120" w:type="dxa"/>
            </w:tcMar>
          </w:tcPr>
          <w:p>
            <w:pPr>
              <w:spacing w:after="0"/>
            </w:pPr>
            <w:r>
              <w:rPr>
                <w:sz w:val="19"/>
              </w:rPr>
              <w:t>Network Security</w:t>
            </w:r>
          </w:p>
        </w:tc>
        <w:tc>
          <w:tcPr>
            <w:tcW w:type="dxa" w:w="2340"/>
            <w:shd w:fill="FFFFFF"/>
            <w:tcMar>
              <w:top w:w="100" w:type="dxa"/>
              <w:bottom w:w="100" w:type="dxa"/>
              <w:left w:w="120" w:type="dxa"/>
              <w:right w:w="120" w:type="dxa"/>
            </w:tcMar>
          </w:tcPr>
          <w:p>
            <w:pPr>
              <w:spacing w:after="0"/>
            </w:pPr>
            <w:r>
              <w:rPr>
                <w:sz w:val="19"/>
              </w:rPr>
              <w:t>Zero Trust Architecture, Micro-Segmentation, NGFW</w:t>
            </w:r>
          </w:p>
        </w:tc>
        <w:tc>
          <w:tcPr>
            <w:tcW w:type="dxa" w:w="2340"/>
            <w:shd w:fill="FFFFFF"/>
            <w:tcMar>
              <w:top w:w="100" w:type="dxa"/>
              <w:bottom w:w="100" w:type="dxa"/>
              <w:left w:w="120" w:type="dxa"/>
              <w:right w:w="120" w:type="dxa"/>
            </w:tcMar>
          </w:tcPr>
          <w:p>
            <w:pPr>
              <w:spacing w:after="0"/>
            </w:pPr>
            <w:r>
              <w:rPr>
                <w:sz w:val="19"/>
              </w:rPr>
              <w:t>A.8.20, A.8.21, A.8.22</w:t>
            </w:r>
          </w:p>
        </w:tc>
        <w:tc>
          <w:tcPr>
            <w:tcW w:type="dxa" w:w="2340"/>
            <w:shd w:fill="FFFFFF"/>
            <w:tcMar>
              <w:top w:w="100" w:type="dxa"/>
              <w:bottom w:w="100" w:type="dxa"/>
              <w:left w:w="120" w:type="dxa"/>
              <w:right w:w="120" w:type="dxa"/>
            </w:tcMar>
          </w:tcPr>
          <w:p>
            <w:pPr>
              <w:spacing w:after="0"/>
            </w:pPr>
            <w:r>
              <w:rPr>
                <w:sz w:val="19"/>
              </w:rPr>
              <w:t>PR.IR-01, DE.CM-01, PR.PT-04</w:t>
            </w:r>
          </w:p>
        </w:tc>
      </w:tr>
      <w:tr>
        <w:tc>
          <w:tcPr>
            <w:tcW w:type="dxa" w:w="2340"/>
            <w:shd w:fill="F4F6F9"/>
            <w:tcMar>
              <w:top w:w="100" w:type="dxa"/>
              <w:bottom w:w="100" w:type="dxa"/>
              <w:left w:w="120" w:type="dxa"/>
              <w:right w:w="120" w:type="dxa"/>
            </w:tcMar>
          </w:tcPr>
          <w:p>
            <w:pPr>
              <w:spacing w:after="0"/>
            </w:pPr>
            <w:r>
              <w:rPr>
                <w:sz w:val="19"/>
              </w:rPr>
              <w:t>Incident Response</w:t>
            </w:r>
          </w:p>
        </w:tc>
        <w:tc>
          <w:tcPr>
            <w:tcW w:type="dxa" w:w="2340"/>
            <w:shd w:fill="F4F6F9"/>
            <w:tcMar>
              <w:top w:w="100" w:type="dxa"/>
              <w:bottom w:w="100" w:type="dxa"/>
              <w:left w:w="120" w:type="dxa"/>
              <w:right w:w="120" w:type="dxa"/>
            </w:tcMar>
          </w:tcPr>
          <w:p>
            <w:pPr>
              <w:spacing w:after="0"/>
            </w:pPr>
            <w:r>
              <w:rPr>
                <w:sz w:val="19"/>
              </w:rPr>
              <w:t>Severity Escalation, NIST 800-61, 15-min SLA</w:t>
            </w:r>
          </w:p>
        </w:tc>
        <w:tc>
          <w:tcPr>
            <w:tcW w:type="dxa" w:w="2340"/>
            <w:shd w:fill="F4F6F9"/>
            <w:tcMar>
              <w:top w:w="100" w:type="dxa"/>
              <w:bottom w:w="100" w:type="dxa"/>
              <w:left w:w="120" w:type="dxa"/>
              <w:right w:w="120" w:type="dxa"/>
            </w:tcMar>
          </w:tcPr>
          <w:p>
            <w:pPr>
              <w:spacing w:after="0"/>
            </w:pPr>
            <w:r>
              <w:rPr>
                <w:sz w:val="19"/>
              </w:rPr>
              <w:t>A.5.24, A.5.25, A.5.26</w:t>
            </w:r>
          </w:p>
        </w:tc>
        <w:tc>
          <w:tcPr>
            <w:tcW w:type="dxa" w:w="2340"/>
            <w:shd w:fill="F4F6F9"/>
            <w:tcMar>
              <w:top w:w="100" w:type="dxa"/>
              <w:bottom w:w="100" w:type="dxa"/>
              <w:left w:w="120" w:type="dxa"/>
              <w:right w:w="120" w:type="dxa"/>
            </w:tcMar>
          </w:tcPr>
          <w:p>
            <w:pPr>
              <w:spacing w:after="0"/>
            </w:pPr>
            <w:r>
              <w:rPr>
                <w:sz w:val="19"/>
              </w:rPr>
              <w:t>RS.MA-01, RS.AN-01, RC.RP-01</w:t>
            </w:r>
          </w:p>
        </w:tc>
      </w:tr>
    </w:tbl>
    <w:p/>
    <w:p>
      <w:pPr>
        <w:keepNext/>
        <w:spacing w:before="360" w:after="160"/>
      </w:pPr>
      <w:r>
        <w:rPr>
          <w:b/>
          <w:color w:val="1B365D"/>
          <w:sz w:val="32"/>
        </w:rPr>
        <w:t>4. Implementation Governance &amp; Responsibilities</w:t>
      </w:r>
    </w:p>
    <w:p>
      <w:pPr>
        <w:keepNext/>
        <w:spacing w:before="280" w:after="120"/>
      </w:pPr>
      <w:r>
        <w:rPr>
          <w:b/>
          <w:color w:val="008080"/>
          <w:sz w:val="26"/>
        </w:rPr>
        <w:t>4.1 RACI Governance Matrix</w:t>
      </w:r>
    </w:p>
    <w:p>
      <w:r>
        <w:t>Defines accountability across governance roles (R = Responsible, A = Accountable, C = Consulted, I = Informed):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50" w:type="dxa"/>
              <w:right w:w="150" w:type="dxa"/>
            </w:tcMar>
          </w:tcPr>
          <w:p>
            <w:pPr>
              <w:spacing w:after="0"/>
            </w:pPr>
            <w:r>
              <w:rPr>
                <w:b/>
                <w:color w:val="FFFFFF"/>
                <w:sz w:val="20"/>
              </w:rPr>
              <w:t>Security Lifecycle Function</w:t>
            </w:r>
          </w:p>
        </w:tc>
        <w:tc>
          <w:tcPr>
            <w:tcW w:type="dxa" w:w="1872"/>
            <w:shd w:fill="1B365D"/>
            <w:tcMar>
              <w:top w:w="120" w:type="dxa"/>
              <w:bottom w:w="120" w:type="dxa"/>
              <w:left w:w="150" w:type="dxa"/>
              <w:right w:w="150" w:type="dxa"/>
            </w:tcMar>
          </w:tcPr>
          <w:p>
            <w:pPr>
              <w:spacing w:after="0"/>
            </w:pPr>
            <w:r>
              <w:rPr>
                <w:b/>
                <w:color w:val="FFFFFF"/>
                <w:sz w:val="20"/>
              </w:rPr>
              <w:t>CISO / SecOps</w:t>
            </w:r>
          </w:p>
        </w:tc>
        <w:tc>
          <w:tcPr>
            <w:tcW w:type="dxa" w:w="1872"/>
            <w:shd w:fill="1B365D"/>
            <w:tcMar>
              <w:top w:w="120" w:type="dxa"/>
              <w:bottom w:w="120" w:type="dxa"/>
              <w:left w:w="150" w:type="dxa"/>
              <w:right w:w="150" w:type="dxa"/>
            </w:tcMar>
          </w:tcPr>
          <w:p>
            <w:pPr>
              <w:spacing w:after="0"/>
            </w:pPr>
            <w:r>
              <w:rPr>
                <w:b/>
                <w:color w:val="FFFFFF"/>
                <w:sz w:val="20"/>
              </w:rPr>
              <w:t>IT Infrastructure</w:t>
            </w:r>
          </w:p>
        </w:tc>
        <w:tc>
          <w:tcPr>
            <w:tcW w:type="dxa" w:w="1872"/>
            <w:shd w:fill="1B365D"/>
            <w:tcMar>
              <w:top w:w="120" w:type="dxa"/>
              <w:bottom w:w="120" w:type="dxa"/>
              <w:left w:w="150" w:type="dxa"/>
              <w:right w:w="150" w:type="dxa"/>
            </w:tcMar>
          </w:tcPr>
          <w:p>
            <w:pPr>
              <w:spacing w:after="0"/>
            </w:pPr>
            <w:r>
              <w:rPr>
                <w:b/>
                <w:color w:val="FFFFFF"/>
                <w:sz w:val="20"/>
              </w:rPr>
              <w:t>Legal / Compliance</w:t>
            </w:r>
          </w:p>
        </w:tc>
        <w:tc>
          <w:tcPr>
            <w:tcW w:type="dxa" w:w="1872"/>
            <w:shd w:fill="1B365D"/>
            <w:tcMar>
              <w:top w:w="120" w:type="dxa"/>
              <w:bottom w:w="120" w:type="dxa"/>
              <w:left w:w="150" w:type="dxa"/>
              <w:right w:w="150" w:type="dxa"/>
            </w:tcMar>
          </w:tcPr>
          <w:p>
            <w:pPr>
              <w:spacing w:after="0"/>
            </w:pPr>
            <w:r>
              <w:rPr>
                <w:b/>
                <w:color w:val="FFFFFF"/>
                <w:sz w:val="20"/>
              </w:rPr>
              <w:t>End-Users</w:t>
            </w:r>
          </w:p>
        </w:tc>
      </w:tr>
      <w:tr>
        <w:tc>
          <w:tcPr>
            <w:tcW w:type="dxa" w:w="1872"/>
            <w:shd w:fill="FFFFFF"/>
            <w:tcMar>
              <w:top w:w="100" w:type="dxa"/>
              <w:bottom w:w="100" w:type="dxa"/>
              <w:left w:w="120" w:type="dxa"/>
              <w:right w:w="120" w:type="dxa"/>
            </w:tcMar>
          </w:tcPr>
          <w:p>
            <w:pPr>
              <w:spacing w:after="0"/>
            </w:pPr>
            <w:r>
              <w:rPr>
                <w:sz w:val="19"/>
              </w:rPr>
              <w:t>Policy Governance &amp; Strategy</w:t>
            </w:r>
          </w:p>
        </w:tc>
        <w:tc>
          <w:tcPr>
            <w:tcW w:type="dxa" w:w="1872"/>
            <w:shd w:fill="FFFFFF"/>
            <w:tcMar>
              <w:top w:w="100" w:type="dxa"/>
              <w:bottom w:w="100" w:type="dxa"/>
              <w:left w:w="120" w:type="dxa"/>
              <w:right w:w="120" w:type="dxa"/>
            </w:tcMar>
          </w:tcPr>
          <w:p>
            <w:pPr>
              <w:spacing w:after="0"/>
            </w:pPr>
            <w:r>
              <w:rPr>
                <w:sz w:val="19"/>
              </w:rPr>
              <w:t>Accountable / Responsible</w:t>
            </w:r>
          </w:p>
        </w:tc>
        <w:tc>
          <w:tcPr>
            <w:tcW w:type="dxa" w:w="1872"/>
            <w:shd w:fill="FFFFFF"/>
            <w:tcMar>
              <w:top w:w="100" w:type="dxa"/>
              <w:bottom w:w="100" w:type="dxa"/>
              <w:left w:w="120" w:type="dxa"/>
              <w:right w:w="120" w:type="dxa"/>
            </w:tcMar>
          </w:tcPr>
          <w:p>
            <w:pPr>
              <w:spacing w:after="0"/>
            </w:pPr>
            <w:r>
              <w:rPr>
                <w:sz w:val="19"/>
              </w:rPr>
              <w:t>Consulted</w:t>
            </w:r>
          </w:p>
        </w:tc>
        <w:tc>
          <w:tcPr>
            <w:tcW w:type="dxa" w:w="1872"/>
            <w:shd w:fill="FFFFFF"/>
            <w:tcMar>
              <w:top w:w="100" w:type="dxa"/>
              <w:bottom w:w="100" w:type="dxa"/>
              <w:left w:w="120" w:type="dxa"/>
              <w:right w:w="120" w:type="dxa"/>
            </w:tcMar>
          </w:tcPr>
          <w:p>
            <w:pPr>
              <w:spacing w:after="0"/>
            </w:pPr>
            <w:r>
              <w:rPr>
                <w:sz w:val="19"/>
              </w:rPr>
              <w:t>Consulted</w:t>
            </w:r>
          </w:p>
        </w:tc>
        <w:tc>
          <w:tcPr>
            <w:tcW w:type="dxa" w:w="1872"/>
            <w:shd w:fill="FFFFFF"/>
            <w:tcMar>
              <w:top w:w="100" w:type="dxa"/>
              <w:bottom w:w="100" w:type="dxa"/>
              <w:left w:w="120" w:type="dxa"/>
              <w:right w:w="120" w:type="dxa"/>
            </w:tcMar>
          </w:tcPr>
          <w:p>
            <w:pPr>
              <w:spacing w:after="0"/>
            </w:pPr>
            <w:r>
              <w:rPr>
                <w:sz w:val="19"/>
              </w:rPr>
              <w:t>Informed</w:t>
            </w:r>
          </w:p>
        </w:tc>
      </w:tr>
      <w:tr>
        <w:tc>
          <w:tcPr>
            <w:tcW w:type="dxa" w:w="1872"/>
            <w:shd w:fill="F4F6F9"/>
            <w:tcMar>
              <w:top w:w="100" w:type="dxa"/>
              <w:bottom w:w="100" w:type="dxa"/>
              <w:left w:w="120" w:type="dxa"/>
              <w:right w:w="120" w:type="dxa"/>
            </w:tcMar>
          </w:tcPr>
          <w:p>
            <w:pPr>
              <w:spacing w:after="0"/>
            </w:pPr>
            <w:r>
              <w:rPr>
                <w:sz w:val="19"/>
              </w:rPr>
              <w:t>Technical Control Deployment</w:t>
            </w:r>
          </w:p>
        </w:tc>
        <w:tc>
          <w:tcPr>
            <w:tcW w:type="dxa" w:w="1872"/>
            <w:shd w:fill="F4F6F9"/>
            <w:tcMar>
              <w:top w:w="100" w:type="dxa"/>
              <w:bottom w:w="100" w:type="dxa"/>
              <w:left w:w="120" w:type="dxa"/>
              <w:right w:w="120" w:type="dxa"/>
            </w:tcMar>
          </w:tcPr>
          <w:p>
            <w:pPr>
              <w:spacing w:after="0"/>
            </w:pPr>
            <w:r>
              <w:rPr>
                <w:sz w:val="19"/>
              </w:rPr>
              <w:t>Consulted</w:t>
            </w:r>
          </w:p>
        </w:tc>
        <w:tc>
          <w:tcPr>
            <w:tcW w:type="dxa" w:w="1872"/>
            <w:shd w:fill="F4F6F9"/>
            <w:tcMar>
              <w:top w:w="100" w:type="dxa"/>
              <w:bottom w:w="100" w:type="dxa"/>
              <w:left w:w="120" w:type="dxa"/>
              <w:right w:w="120" w:type="dxa"/>
            </w:tcMar>
          </w:tcPr>
          <w:p>
            <w:pPr>
              <w:spacing w:after="0"/>
            </w:pPr>
            <w:r>
              <w:rPr>
                <w:sz w:val="19"/>
              </w:rPr>
              <w:t>Accountable / Responsible</w:t>
            </w:r>
          </w:p>
        </w:tc>
        <w:tc>
          <w:tcPr>
            <w:tcW w:type="dxa" w:w="1872"/>
            <w:shd w:fill="F4F6F9"/>
            <w:tcMar>
              <w:top w:w="100" w:type="dxa"/>
              <w:bottom w:w="100" w:type="dxa"/>
              <w:left w:w="120" w:type="dxa"/>
              <w:right w:w="120" w:type="dxa"/>
            </w:tcMar>
          </w:tcPr>
          <w:p>
            <w:pPr>
              <w:spacing w:after="0"/>
            </w:pPr>
            <w:r>
              <w:rPr>
                <w:sz w:val="19"/>
              </w:rPr>
              <w:t>Informed</w:t>
            </w:r>
          </w:p>
        </w:tc>
        <w:tc>
          <w:tcPr>
            <w:tcW w:type="dxa" w:w="1872"/>
            <w:shd w:fill="F4F6F9"/>
            <w:tcMar>
              <w:top w:w="100" w:type="dxa"/>
              <w:bottom w:w="100" w:type="dxa"/>
              <w:left w:w="120" w:type="dxa"/>
              <w:right w:w="120" w:type="dxa"/>
            </w:tcMar>
          </w:tcPr>
          <w:p>
            <w:pPr>
              <w:spacing w:after="0"/>
            </w:pPr>
            <w:r>
              <w:rPr>
                <w:sz w:val="19"/>
              </w:rPr>
              <w:t>Informed</w:t>
            </w:r>
          </w:p>
        </w:tc>
      </w:tr>
      <w:tr>
        <w:tc>
          <w:tcPr>
            <w:tcW w:type="dxa" w:w="1872"/>
            <w:shd w:fill="FFFFFF"/>
            <w:tcMar>
              <w:top w:w="100" w:type="dxa"/>
              <w:bottom w:w="100" w:type="dxa"/>
              <w:left w:w="120" w:type="dxa"/>
              <w:right w:w="120" w:type="dxa"/>
            </w:tcMar>
          </w:tcPr>
          <w:p>
            <w:pPr>
              <w:spacing w:after="0"/>
            </w:pPr>
            <w:r>
              <w:rPr>
                <w:sz w:val="19"/>
              </w:rPr>
              <w:t>Incident Response &amp; Eradication</w:t>
            </w:r>
          </w:p>
        </w:tc>
        <w:tc>
          <w:tcPr>
            <w:tcW w:type="dxa" w:w="1872"/>
            <w:shd w:fill="FFFFFF"/>
            <w:tcMar>
              <w:top w:w="100" w:type="dxa"/>
              <w:bottom w:w="100" w:type="dxa"/>
              <w:left w:w="120" w:type="dxa"/>
              <w:right w:w="120" w:type="dxa"/>
            </w:tcMar>
          </w:tcPr>
          <w:p>
            <w:pPr>
              <w:spacing w:after="0"/>
            </w:pPr>
            <w:r>
              <w:rPr>
                <w:sz w:val="19"/>
              </w:rPr>
              <w:t>Accountable / Responsible</w:t>
            </w:r>
          </w:p>
        </w:tc>
        <w:tc>
          <w:tcPr>
            <w:tcW w:type="dxa" w:w="1872"/>
            <w:shd w:fill="FFFFFF"/>
            <w:tcMar>
              <w:top w:w="100" w:type="dxa"/>
              <w:bottom w:w="100" w:type="dxa"/>
              <w:left w:w="120" w:type="dxa"/>
              <w:right w:w="120" w:type="dxa"/>
            </w:tcMar>
          </w:tcPr>
          <w:p>
            <w:pPr>
              <w:spacing w:after="0"/>
            </w:pPr>
            <w:r>
              <w:rPr>
                <w:sz w:val="19"/>
              </w:rPr>
              <w:t>Consulted</w:t>
            </w:r>
          </w:p>
        </w:tc>
        <w:tc>
          <w:tcPr>
            <w:tcW w:type="dxa" w:w="1872"/>
            <w:shd w:fill="FFFFFF"/>
            <w:tcMar>
              <w:top w:w="100" w:type="dxa"/>
              <w:bottom w:w="100" w:type="dxa"/>
              <w:left w:w="120" w:type="dxa"/>
              <w:right w:w="120" w:type="dxa"/>
            </w:tcMar>
          </w:tcPr>
          <w:p>
            <w:pPr>
              <w:spacing w:after="0"/>
            </w:pPr>
            <w:r>
              <w:rPr>
                <w:sz w:val="19"/>
              </w:rPr>
              <w:t>Consulted</w:t>
            </w:r>
          </w:p>
        </w:tc>
        <w:tc>
          <w:tcPr>
            <w:tcW w:type="dxa" w:w="1872"/>
            <w:shd w:fill="FFFFFF"/>
            <w:tcMar>
              <w:top w:w="100" w:type="dxa"/>
              <w:bottom w:w="100" w:type="dxa"/>
              <w:left w:w="120" w:type="dxa"/>
              <w:right w:w="120" w:type="dxa"/>
            </w:tcMar>
          </w:tcPr>
          <w:p>
            <w:pPr>
              <w:spacing w:after="0"/>
            </w:pPr>
            <w:r>
              <w:rPr>
                <w:sz w:val="19"/>
              </w:rPr>
              <w:t>Informed</w:t>
            </w:r>
          </w:p>
        </w:tc>
      </w:tr>
      <w:tr>
        <w:tc>
          <w:tcPr>
            <w:tcW w:type="dxa" w:w="1872"/>
            <w:shd w:fill="F4F6F9"/>
            <w:tcMar>
              <w:top w:w="100" w:type="dxa"/>
              <w:bottom w:w="100" w:type="dxa"/>
              <w:left w:w="120" w:type="dxa"/>
              <w:right w:w="120" w:type="dxa"/>
            </w:tcMar>
          </w:tcPr>
          <w:p>
            <w:pPr>
              <w:spacing w:after="0"/>
            </w:pPr>
            <w:r>
              <w:rPr>
                <w:sz w:val="19"/>
              </w:rPr>
              <w:t>Policy Compliance &amp; AUP Adherence</w:t>
            </w:r>
          </w:p>
        </w:tc>
        <w:tc>
          <w:tcPr>
            <w:tcW w:type="dxa" w:w="1872"/>
            <w:shd w:fill="F4F6F9"/>
            <w:tcMar>
              <w:top w:w="100" w:type="dxa"/>
              <w:bottom w:w="100" w:type="dxa"/>
              <w:left w:w="120" w:type="dxa"/>
              <w:right w:w="120" w:type="dxa"/>
            </w:tcMar>
          </w:tcPr>
          <w:p>
            <w:pPr>
              <w:spacing w:after="0"/>
            </w:pPr>
            <w:r>
              <w:rPr>
                <w:sz w:val="19"/>
              </w:rPr>
              <w:t>Accountable</w:t>
            </w:r>
          </w:p>
        </w:tc>
        <w:tc>
          <w:tcPr>
            <w:tcW w:type="dxa" w:w="1872"/>
            <w:shd w:fill="F4F6F9"/>
            <w:tcMar>
              <w:top w:w="100" w:type="dxa"/>
              <w:bottom w:w="100" w:type="dxa"/>
              <w:left w:w="120" w:type="dxa"/>
              <w:right w:w="120" w:type="dxa"/>
            </w:tcMar>
          </w:tcPr>
          <w:p>
            <w:pPr>
              <w:spacing w:after="0"/>
            </w:pPr>
            <w:r>
              <w:rPr>
                <w:sz w:val="19"/>
              </w:rPr>
              <w:t>Consulted</w:t>
            </w:r>
          </w:p>
        </w:tc>
        <w:tc>
          <w:tcPr>
            <w:tcW w:type="dxa" w:w="1872"/>
            <w:shd w:fill="F4F6F9"/>
            <w:tcMar>
              <w:top w:w="100" w:type="dxa"/>
              <w:bottom w:w="100" w:type="dxa"/>
              <w:left w:w="120" w:type="dxa"/>
              <w:right w:w="120" w:type="dxa"/>
            </w:tcMar>
          </w:tcPr>
          <w:p>
            <w:pPr>
              <w:spacing w:after="0"/>
            </w:pPr>
            <w:r>
              <w:rPr>
                <w:sz w:val="19"/>
              </w:rPr>
              <w:t>Consulted</w:t>
            </w:r>
          </w:p>
        </w:tc>
        <w:tc>
          <w:tcPr>
            <w:tcW w:type="dxa" w:w="1872"/>
            <w:shd w:fill="F4F6F9"/>
            <w:tcMar>
              <w:top w:w="100" w:type="dxa"/>
              <w:bottom w:w="100" w:type="dxa"/>
              <w:left w:w="120" w:type="dxa"/>
              <w:right w:w="120" w:type="dxa"/>
            </w:tcMar>
          </w:tcPr>
          <w:p>
            <w:pPr>
              <w:spacing w:after="0"/>
            </w:pPr>
            <w:r>
              <w:rPr>
                <w:sz w:val="19"/>
              </w:rPr>
              <w:t>Responsible</w:t>
            </w:r>
          </w:p>
        </w:tc>
      </w:tr>
    </w:tbl>
    <w:p>
      <w:pPr>
        <w:keepNext/>
        <w:spacing w:before="280" w:after="120"/>
      </w:pPr>
      <w:r>
        <w:rPr>
          <w:b/>
          <w:color w:val="008080"/>
          <w:sz w:val="26"/>
        </w:rPr>
        <w:t>4.2 Phased Implementation Plan</w:t>
      </w:r>
    </w:p>
    <w:p>
      <w:pPr>
        <w:pStyle w:val="ListBullet"/>
        <w:spacing w:after="80"/>
      </w:pPr>
      <w:r>
        <w:rPr>
          <w:b/>
          <w:color w:val="222222"/>
        </w:rPr>
        <w:t xml:space="preserve">Phase 1: Baseline Assessment (Months 1–2): </w:t>
      </w:r>
      <w:r>
        <w:rPr>
          <w:color w:val="222222"/>
        </w:rPr>
        <w:t xml:space="preserve"> Audit current posture against ISO 27001 / NIST CSF baseline.</w:t>
      </w:r>
    </w:p>
    <w:p>
      <w:pPr>
        <w:pStyle w:val="ListBullet"/>
        <w:spacing w:after="80"/>
      </w:pPr>
      <w:r>
        <w:rPr>
          <w:b/>
          <w:color w:val="222222"/>
        </w:rPr>
        <w:t xml:space="preserve">Phase 2: Technical Control Rollout (Months 3–4): </w:t>
      </w:r>
      <w:r>
        <w:rPr>
          <w:color w:val="222222"/>
        </w:rPr>
        <w:t xml:space="preserve"> Enforce mandatory MFA, deploy endpoint DLP, configure NGFW micro-segmentation.</w:t>
      </w:r>
    </w:p>
    <w:p>
      <w:pPr>
        <w:pStyle w:val="ListBullet"/>
        <w:spacing w:after="80"/>
      </w:pPr>
      <w:r>
        <w:rPr>
          <w:b/>
          <w:color w:val="222222"/>
        </w:rPr>
        <w:t xml:space="preserve">Phase 3: Training &amp; Culture Integration (Month 5): </w:t>
      </w:r>
      <w:r>
        <w:rPr>
          <w:color w:val="222222"/>
        </w:rPr>
        <w:t xml:space="preserve"> Roll out enterprise awareness training and simulated phishing exercises.</w:t>
      </w:r>
    </w:p>
    <w:p>
      <w:pPr>
        <w:pStyle w:val="ListBullet"/>
        <w:spacing w:after="80"/>
      </w:pPr>
      <w:r>
        <w:rPr>
          <w:b/>
          <w:color w:val="222222"/>
        </w:rPr>
        <w:t xml:space="preserve">Phase 4: Continuous Optimization (Month 6+): </w:t>
      </w:r>
      <w:r>
        <w:rPr>
          <w:color w:val="222222"/>
        </w:rPr>
        <w:t xml:space="preserve"> Operationalize automated SIEM alerting, perform annual third-party pen tests.</w:t>
      </w:r>
    </w:p>
    <w:p/>
    <w:p>
      <w:pPr>
        <w:keepNext/>
        <w:spacing w:before="360" w:after="160"/>
      </w:pPr>
      <w:r>
        <w:rPr>
          <w:b/>
          <w:color w:val="1B365D"/>
          <w:sz w:val="32"/>
        </w:rPr>
        <w:t>5. Monitoring, Continuous Auditing, &amp; Key Metrics</w:t>
      </w:r>
    </w:p>
    <w:p>
      <w:pPr>
        <w:keepNext/>
        <w:spacing w:before="280" w:after="120"/>
      </w:pPr>
      <w:r>
        <w:rPr>
          <w:b/>
          <w:color w:val="008080"/>
          <w:sz w:val="26"/>
        </w:rPr>
        <w:t>5.1 Continuous Monitoring &amp; Log Retention</w:t>
      </w:r>
    </w:p>
    <w:p>
      <w:r>
        <w:t>Centralized SIEM collects logs from network edge, authentication providers, operating systems, and applications. Logs are retained in immutable storage for a minimum of 365 days.</w:t>
      </w:r>
    </w:p>
    <w:p>
      <w:pPr>
        <w:keepNext/>
        <w:spacing w:before="280" w:after="120"/>
      </w:pPr>
      <w:r>
        <w:rPr>
          <w:b/>
          <w:color w:val="008080"/>
          <w:sz w:val="26"/>
        </w:rPr>
        <w:t>5.2 Key Metrics &amp; Indicators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pPr>
              <w:spacing w:after="0"/>
            </w:pPr>
            <w:r>
              <w:rPr>
                <w:b/>
                <w:color w:val="FFFFFF"/>
                <w:sz w:val="20"/>
              </w:rPr>
              <w:t>Metric Type</w:t>
            </w:r>
          </w:p>
        </w:tc>
        <w:tc>
          <w:tcPr>
            <w:tcW w:type="dxa" w:w="2340"/>
            <w:shd w:fill="1B365D"/>
            <w:tcMar>
              <w:top w:w="120" w:type="dxa"/>
              <w:bottom w:w="120" w:type="dxa"/>
              <w:left w:w="150" w:type="dxa"/>
              <w:right w:w="150" w:type="dxa"/>
            </w:tcMar>
          </w:tcPr>
          <w:p>
            <w:pPr>
              <w:spacing w:after="0"/>
            </w:pPr>
            <w:r>
              <w:rPr>
                <w:b/>
                <w:color w:val="FFFFFF"/>
                <w:sz w:val="20"/>
              </w:rPr>
              <w:t>Metric Description</w:t>
            </w:r>
          </w:p>
        </w:tc>
        <w:tc>
          <w:tcPr>
            <w:tcW w:type="dxa" w:w="2340"/>
            <w:shd w:fill="1B365D"/>
            <w:tcMar>
              <w:top w:w="120" w:type="dxa"/>
              <w:bottom w:w="120" w:type="dxa"/>
              <w:left w:w="150" w:type="dxa"/>
              <w:right w:w="150" w:type="dxa"/>
            </w:tcMar>
          </w:tcPr>
          <w:p>
            <w:pPr>
              <w:spacing w:after="0"/>
            </w:pPr>
            <w:r>
              <w:rPr>
                <w:b/>
                <w:color w:val="FFFFFF"/>
                <w:sz w:val="20"/>
              </w:rPr>
              <w:t>Target Standard</w:t>
            </w:r>
          </w:p>
        </w:tc>
        <w:tc>
          <w:tcPr>
            <w:tcW w:type="dxa" w:w="2340"/>
            <w:shd w:fill="1B365D"/>
            <w:tcMar>
              <w:top w:w="120" w:type="dxa"/>
              <w:bottom w:w="120" w:type="dxa"/>
              <w:left w:w="150" w:type="dxa"/>
              <w:right w:w="150" w:type="dxa"/>
            </w:tcMar>
          </w:tcPr>
          <w:p>
            <w:pPr>
              <w:spacing w:after="0"/>
            </w:pPr>
            <w:r>
              <w:rPr>
                <w:b/>
                <w:color w:val="FFFFFF"/>
                <w:sz w:val="20"/>
              </w:rPr>
              <w:t>Action Threshold / Escalation</w:t>
            </w:r>
          </w:p>
        </w:tc>
      </w:tr>
      <w:tr>
        <w:tc>
          <w:tcPr>
            <w:tcW w:type="dxa" w:w="2340"/>
            <w:shd w:fill="FFFFFF"/>
            <w:tcMar>
              <w:top w:w="100" w:type="dxa"/>
              <w:bottom w:w="100" w:type="dxa"/>
              <w:left w:w="120" w:type="dxa"/>
              <w:right w:w="120" w:type="dxa"/>
            </w:tcMar>
          </w:tcPr>
          <w:p>
            <w:pPr>
              <w:spacing w:after="0"/>
            </w:pPr>
            <w:r>
              <w:rPr>
                <w:sz w:val="19"/>
              </w:rPr>
              <w:t>KPI</w:t>
            </w:r>
          </w:p>
        </w:tc>
        <w:tc>
          <w:tcPr>
            <w:tcW w:type="dxa" w:w="2340"/>
            <w:shd w:fill="FFFFFF"/>
            <w:tcMar>
              <w:top w:w="100" w:type="dxa"/>
              <w:bottom w:w="100" w:type="dxa"/>
              <w:left w:w="120" w:type="dxa"/>
              <w:right w:w="120" w:type="dxa"/>
            </w:tcMar>
          </w:tcPr>
          <w:p>
            <w:pPr>
              <w:spacing w:after="0"/>
            </w:pPr>
            <w:r>
              <w:rPr>
                <w:sz w:val="19"/>
              </w:rPr>
              <w:t>MFA Enforcement Coverage</w:t>
            </w:r>
          </w:p>
        </w:tc>
        <w:tc>
          <w:tcPr>
            <w:tcW w:type="dxa" w:w="2340"/>
            <w:shd w:fill="FFFFFF"/>
            <w:tcMar>
              <w:top w:w="100" w:type="dxa"/>
              <w:bottom w:w="100" w:type="dxa"/>
              <w:left w:w="120" w:type="dxa"/>
              <w:right w:w="120" w:type="dxa"/>
            </w:tcMar>
          </w:tcPr>
          <w:p>
            <w:pPr>
              <w:spacing w:after="0"/>
            </w:pPr>
            <w:r>
              <w:rPr>
                <w:sz w:val="19"/>
              </w:rPr>
              <w:t>100% active users</w:t>
            </w:r>
          </w:p>
        </w:tc>
        <w:tc>
          <w:tcPr>
            <w:tcW w:type="dxa" w:w="2340"/>
            <w:shd w:fill="FFFFFF"/>
            <w:tcMar>
              <w:top w:w="100" w:type="dxa"/>
              <w:bottom w:w="100" w:type="dxa"/>
              <w:left w:w="120" w:type="dxa"/>
              <w:right w:w="120" w:type="dxa"/>
            </w:tcMar>
          </w:tcPr>
          <w:p>
            <w:pPr>
              <w:spacing w:after="0"/>
            </w:pPr>
            <w:r>
              <w:rPr>
                <w:sz w:val="19"/>
              </w:rPr>
              <w:t>&lt; 99% triggers immediate security audit</w:t>
            </w:r>
          </w:p>
        </w:tc>
      </w:tr>
      <w:tr>
        <w:tc>
          <w:tcPr>
            <w:tcW w:type="dxa" w:w="2340"/>
            <w:shd w:fill="F4F6F9"/>
            <w:tcMar>
              <w:top w:w="100" w:type="dxa"/>
              <w:bottom w:w="100" w:type="dxa"/>
              <w:left w:w="120" w:type="dxa"/>
              <w:right w:w="120" w:type="dxa"/>
            </w:tcMar>
          </w:tcPr>
          <w:p>
            <w:pPr>
              <w:spacing w:after="0"/>
            </w:pPr>
            <w:r>
              <w:rPr>
                <w:sz w:val="19"/>
              </w:rPr>
              <w:t>KPI</w:t>
            </w:r>
          </w:p>
        </w:tc>
        <w:tc>
          <w:tcPr>
            <w:tcW w:type="dxa" w:w="2340"/>
            <w:shd w:fill="F4F6F9"/>
            <w:tcMar>
              <w:top w:w="100" w:type="dxa"/>
              <w:bottom w:w="100" w:type="dxa"/>
              <w:left w:w="120" w:type="dxa"/>
              <w:right w:w="120" w:type="dxa"/>
            </w:tcMar>
          </w:tcPr>
          <w:p>
            <w:pPr>
              <w:spacing w:after="0"/>
            </w:pPr>
            <w:r>
              <w:rPr>
                <w:sz w:val="19"/>
              </w:rPr>
              <w:t>Patch Remediation Velocity</w:t>
            </w:r>
          </w:p>
        </w:tc>
        <w:tc>
          <w:tcPr>
            <w:tcW w:type="dxa" w:w="2340"/>
            <w:shd w:fill="F4F6F9"/>
            <w:tcMar>
              <w:top w:w="100" w:type="dxa"/>
              <w:bottom w:w="100" w:type="dxa"/>
              <w:left w:w="120" w:type="dxa"/>
              <w:right w:w="120" w:type="dxa"/>
            </w:tcMar>
          </w:tcPr>
          <w:p>
            <w:pPr>
              <w:spacing w:after="0"/>
            </w:pPr>
            <w:r>
              <w:rPr>
                <w:sz w:val="19"/>
              </w:rPr>
              <w:t>Critical: &lt;= 14 Days</w:t>
            </w:r>
          </w:p>
        </w:tc>
        <w:tc>
          <w:tcPr>
            <w:tcW w:type="dxa" w:w="2340"/>
            <w:shd w:fill="F4F6F9"/>
            <w:tcMar>
              <w:top w:w="100" w:type="dxa"/>
              <w:bottom w:w="100" w:type="dxa"/>
              <w:left w:w="120" w:type="dxa"/>
              <w:right w:w="120" w:type="dxa"/>
            </w:tcMar>
          </w:tcPr>
          <w:p>
            <w:pPr>
              <w:spacing w:after="0"/>
            </w:pPr>
            <w:r>
              <w:rPr>
                <w:sz w:val="19"/>
              </w:rPr>
              <w:t>&gt; 14 days escalates to CISO</w:t>
            </w:r>
          </w:p>
        </w:tc>
      </w:tr>
      <w:tr>
        <w:tc>
          <w:tcPr>
            <w:tcW w:type="dxa" w:w="2340"/>
            <w:shd w:fill="FFFFFF"/>
            <w:tcMar>
              <w:top w:w="100" w:type="dxa"/>
              <w:bottom w:w="100" w:type="dxa"/>
              <w:left w:w="120" w:type="dxa"/>
              <w:right w:w="120" w:type="dxa"/>
            </w:tcMar>
          </w:tcPr>
          <w:p>
            <w:pPr>
              <w:spacing w:after="0"/>
            </w:pPr>
            <w:r>
              <w:rPr>
                <w:sz w:val="19"/>
              </w:rPr>
              <w:t>KRI</w:t>
            </w:r>
          </w:p>
        </w:tc>
        <w:tc>
          <w:tcPr>
            <w:tcW w:type="dxa" w:w="2340"/>
            <w:shd w:fill="FFFFFF"/>
            <w:tcMar>
              <w:top w:w="100" w:type="dxa"/>
              <w:bottom w:w="100" w:type="dxa"/>
              <w:left w:w="120" w:type="dxa"/>
              <w:right w:w="120" w:type="dxa"/>
            </w:tcMar>
          </w:tcPr>
          <w:p>
            <w:pPr>
              <w:spacing w:after="0"/>
            </w:pPr>
            <w:r>
              <w:rPr>
                <w:sz w:val="19"/>
              </w:rPr>
              <w:t>Phishing Simulation Failure Rate</w:t>
            </w:r>
          </w:p>
        </w:tc>
        <w:tc>
          <w:tcPr>
            <w:tcW w:type="dxa" w:w="2340"/>
            <w:shd w:fill="FFFFFF"/>
            <w:tcMar>
              <w:top w:w="100" w:type="dxa"/>
              <w:bottom w:w="100" w:type="dxa"/>
              <w:left w:w="120" w:type="dxa"/>
              <w:right w:w="120" w:type="dxa"/>
            </w:tcMar>
          </w:tcPr>
          <w:p>
            <w:pPr>
              <w:spacing w:after="0"/>
            </w:pPr>
            <w:r>
              <w:rPr>
                <w:sz w:val="19"/>
              </w:rPr>
              <w:t>&lt; 5% failure rate</w:t>
            </w:r>
          </w:p>
        </w:tc>
        <w:tc>
          <w:tcPr>
            <w:tcW w:type="dxa" w:w="2340"/>
            <w:shd w:fill="FFFFFF"/>
            <w:tcMar>
              <w:top w:w="100" w:type="dxa"/>
              <w:bottom w:w="100" w:type="dxa"/>
              <w:left w:w="120" w:type="dxa"/>
              <w:right w:w="120" w:type="dxa"/>
            </w:tcMar>
          </w:tcPr>
          <w:p>
            <w:pPr>
              <w:spacing w:after="0"/>
            </w:pPr>
            <w:r>
              <w:rPr>
                <w:sz w:val="19"/>
              </w:rPr>
              <w:t>&gt; 8% triggers mandatory employee retraining</w:t>
            </w:r>
          </w:p>
        </w:tc>
      </w:tr>
      <w:tr>
        <w:tc>
          <w:tcPr>
            <w:tcW w:type="dxa" w:w="2340"/>
            <w:shd w:fill="F4F6F9"/>
            <w:tcMar>
              <w:top w:w="100" w:type="dxa"/>
              <w:bottom w:w="100" w:type="dxa"/>
              <w:left w:w="120" w:type="dxa"/>
              <w:right w:w="120" w:type="dxa"/>
            </w:tcMar>
          </w:tcPr>
          <w:p>
            <w:pPr>
              <w:spacing w:after="0"/>
            </w:pPr>
            <w:r>
              <w:rPr>
                <w:sz w:val="19"/>
              </w:rPr>
              <w:t>KRI</w:t>
            </w:r>
          </w:p>
        </w:tc>
        <w:tc>
          <w:tcPr>
            <w:tcW w:type="dxa" w:w="2340"/>
            <w:shd w:fill="F4F6F9"/>
            <w:tcMar>
              <w:top w:w="100" w:type="dxa"/>
              <w:bottom w:w="100" w:type="dxa"/>
              <w:left w:w="120" w:type="dxa"/>
              <w:right w:w="120" w:type="dxa"/>
            </w:tcMar>
          </w:tcPr>
          <w:p>
            <w:pPr>
              <w:spacing w:after="0"/>
            </w:pPr>
            <w:r>
              <w:rPr>
                <w:sz w:val="19"/>
              </w:rPr>
              <w:t>Unauthenticated API Requests</w:t>
            </w:r>
          </w:p>
        </w:tc>
        <w:tc>
          <w:tcPr>
            <w:tcW w:type="dxa" w:w="2340"/>
            <w:shd w:fill="F4F6F9"/>
            <w:tcMar>
              <w:top w:w="100" w:type="dxa"/>
              <w:bottom w:w="100" w:type="dxa"/>
              <w:left w:w="120" w:type="dxa"/>
              <w:right w:w="120" w:type="dxa"/>
            </w:tcMar>
          </w:tcPr>
          <w:p>
            <w:pPr>
              <w:spacing w:after="0"/>
            </w:pPr>
            <w:r>
              <w:rPr>
                <w:sz w:val="19"/>
              </w:rPr>
              <w:t>0 tolerance</w:t>
            </w:r>
          </w:p>
        </w:tc>
        <w:tc>
          <w:tcPr>
            <w:tcW w:type="dxa" w:w="2340"/>
            <w:shd w:fill="F4F6F9"/>
            <w:tcMar>
              <w:top w:w="100" w:type="dxa"/>
              <w:bottom w:w="100" w:type="dxa"/>
              <w:left w:w="120" w:type="dxa"/>
              <w:right w:w="120" w:type="dxa"/>
            </w:tcMar>
          </w:tcPr>
          <w:p>
            <w:pPr>
              <w:spacing w:after="0"/>
            </w:pPr>
            <w:r>
              <w:rPr>
                <w:sz w:val="19"/>
              </w:rPr>
              <w:t>&gt; 0 triggers immediate SecOps alert &amp; IP block</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