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F172A"/>
          <w:sz w:val="40"/>
        </w:rPr>
        <w:t>PENETRATION TESTING SIMULATION &amp; SECURITY ASSESSMENT REPORT</w:t>
      </w:r>
    </w:p>
    <w:p>
      <w:pPr>
        <w:spacing w:after="320"/>
      </w:pPr>
      <w:r>
        <w:rPr>
          <w:i/>
          <w:color w:val="2563EB"/>
          <w:sz w:val="23"/>
        </w:rPr>
        <w:t>Comprehensive Security Evaluation, Comparative Metrics &amp; Operational Readiness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Prepared By:</w:t>
            </w:r>
            <w:r>
              <w:rPr>
                <w:color w:val="1E293B"/>
                <w:sz w:val="19"/>
              </w:rPr>
              <w:t xml:space="preserve"> Jetty Charan (Cybersecurity Intern)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Target Organization:</w:t>
            </w:r>
            <w:r>
              <w:rPr>
                <w:color w:val="1E293B"/>
                <w:sz w:val="19"/>
              </w:rPr>
              <w:t xml:space="preserve"> CyberTech Solutions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Assessment Date:</w:t>
            </w:r>
            <w:r>
              <w:rPr>
                <w:color w:val="1E293B"/>
                <w:sz w:val="19"/>
              </w:rPr>
              <w:t xml:space="preserve"> September 4, 2026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Frameworks:</w:t>
            </w:r>
            <w:r>
              <w:rPr>
                <w:color w:val="1E293B"/>
                <w:sz w:val="19"/>
              </w:rPr>
              <w:t xml:space="preserve"> PTES, OWASP v4, CVSS v3.1, NIST CSF 2.0</w:t>
            </w:r>
          </w:p>
        </w:tc>
      </w:tr>
    </w:tbl>
    <w:p>
      <w:pPr>
        <w:spacing w:after="200"/>
      </w:pPr>
    </w:p>
    <w:p>
      <w:pPr>
        <w:keepNext/>
        <w:spacing w:before="360" w:after="120"/>
        <w:pBdr>
          <w:bottom w:val="single" w:sz="12" w:space="4" w:color="2563EB"/>
        </w:pBdr>
      </w:pPr>
      <w:r>
        <w:rPr>
          <w:rFonts w:ascii="Calibri" w:hAnsi="Calibri"/>
          <w:b/>
          <w:color w:val="0F172A"/>
          <w:sz w:val="28"/>
        </w:rPr>
        <w:t>Executive Summary</w:t>
      </w:r>
    </w:p>
    <w:p>
      <w:r>
        <w:t xml:space="preserve">This report presents the findings, empirical attack telemetry, comparative assessment metrics, and operational readiness framework developed by </w:t>
      </w:r>
      <w:r>
        <w:rPr>
          <w:b/>
        </w:rPr>
        <w:t>Jetty Charan</w:t>
      </w:r>
      <w:r>
        <w:t xml:space="preserve"> during the simulated penetration testing engagement for </w:t>
      </w:r>
      <w:r>
        <w:rPr>
          <w:b/>
        </w:rPr>
        <w:t>CyberTech Solutions</w:t>
      </w:r>
      <w:r>
        <w:t>. The engagement evaluated external web entry points, internal Active Directory domains, and AWS cloud environments against advanced adversary tactics.</w:t>
      </w:r>
    </w:p>
    <w:p>
      <w:r>
        <w:t xml:space="preserve">The assessment successfully executed a multi-stage attack chain resulting in full Domain Admin compromise. Crucially, this report incorporates </w:t>
      </w:r>
      <w:r>
        <w:rPr>
          <w:b/>
        </w:rPr>
        <w:t>historical benchmarking data</w:t>
      </w:r>
      <w:r>
        <w:t xml:space="preserve"> to evaluate security trend lines and establishes a </w:t>
      </w:r>
      <w:r>
        <w:rPr>
          <w:b/>
        </w:rPr>
        <w:t>Continuous Operational Readiness Framework</w:t>
      </w:r>
      <w:r>
        <w:t xml:space="preserve"> to embed security capabilities into the organization's DevSecOps pipeline.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2563EB"/>
              </w:rPr>
              <w:t xml:space="preserve">Key Metric Outcome: </w:t>
            </w:r>
            <w:r>
              <w:rPr>
                <w:sz w:val="20"/>
              </w:rPr>
              <w:t>Mean Time to Exploit (MTTE) was recorded at 42 minutes post-reconnaissance. While total vulnerability counts decreased by 18% compared to previous baselines, exploit severity increased from High to Critical due to unpatched public-facing frameworks.</w:t>
            </w:r>
          </w:p>
        </w:tc>
      </w:tr>
    </w:tbl>
    <w:p>
      <w:pPr>
        <w:keepNext/>
        <w:spacing w:before="360" w:after="120"/>
        <w:pBdr>
          <w:bottom w:val="single" w:sz="12" w:space="4" w:color="2563EB"/>
        </w:pBdr>
      </w:pPr>
      <w:r>
        <w:rPr>
          <w:rFonts w:ascii="Calibri" w:hAnsi="Calibri"/>
          <w:b/>
          <w:color w:val="0F172A"/>
          <w:sz w:val="28"/>
        </w:rPr>
        <w:t>1. Planning, Scoping &amp; Historical Performance Metrics</w:t>
      </w:r>
    </w:p>
    <w:p>
      <w:r>
        <w:t>To evaluate security posture progression, this simulation compares current testing outcomes with empirical metrics recorded during CyberTech's previous security assessment.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1.1 Scope Boundaries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Asset Category</w:t>
            </w:r>
          </w:p>
        </w:tc>
        <w:tc>
          <w:tcPr>
            <w:tcW w:type="dxa" w:w="388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Target Identifier / Domain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In-Scope Status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External Web App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https://portal.cybertech-example.com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IN-SCOPE (Grey-Box)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Public Network Subnet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192.0.2.0/24 (External Facing)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IN-SCOPE (Port Scanning)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Corporate Domain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CORP.CYBERTECH.LOCAL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IN-SCOPE (Internal Pivot)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Cloud Storage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AWS S3: cybertech-prod-backups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IN-SCOPE (Read Access Check)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1.2 Quantitative Security Assessment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02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Assessment Metric</w:t>
            </w:r>
          </w:p>
        </w:tc>
        <w:tc>
          <w:tcPr>
            <w:tcW w:type="dxa" w:w="15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Previous Baseline</w:t>
            </w:r>
          </w:p>
        </w:tc>
        <w:tc>
          <w:tcPr>
            <w:tcW w:type="dxa" w:w="15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Current Assessment</w:t>
            </w:r>
          </w:p>
        </w:tc>
        <w:tc>
          <w:tcPr>
            <w:tcW w:type="dxa" w:w="15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Variance</w:t>
            </w:r>
          </w:p>
        </w:tc>
        <w:tc>
          <w:tcPr>
            <w:tcW w:type="dxa" w:w="15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Trend Direction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Total Vulnerabilities Discovered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22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18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-18.1%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Improved (+18%)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Critical / High Severity Findings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0.0%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Unchanged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Mean Time to Detect (MTTD - SOC)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4.2 Hours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1.8 Hours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-57.1%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Improved (+57%)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Mean Time to Exploit (MTTE)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3.5 Hours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0.7 Hours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-80.0%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Regressed (-80%)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Defensive Detection Coverage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62%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81%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+19.0%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Improved (+19%)</w:t>
            </w:r>
          </w:p>
        </w:tc>
      </w:tr>
    </w:tbl>
    <w:p>
      <w:pPr>
        <w:keepNext/>
        <w:spacing w:before="360" w:after="120"/>
        <w:pBdr>
          <w:bottom w:val="single" w:sz="12" w:space="4" w:color="2563EB"/>
        </w:pBdr>
      </w:pPr>
      <w:r>
        <w:rPr>
          <w:rFonts w:ascii="Calibri" w:hAnsi="Calibri"/>
          <w:b/>
          <w:color w:val="0F172A"/>
          <w:sz w:val="28"/>
        </w:rPr>
        <w:t>2. Testing Methodology &amp; Simulated Attack Execution</w:t>
      </w:r>
    </w:p>
    <w:p>
      <w:r>
        <w:t>The penetration test followed PTES and OWASP v4 frameworks. Below is the step-by-step simulation data captured during the attack chain executed by Jetty Charan.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2.1 Attack Simulation Telemetry &amp; Execution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Attack Vector &amp; Command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Observed System Telemetry / Log Output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Execution Time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Reconnaissance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nmap -sV -sC -p- 192.0.2.45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Ports 80, 443, 22, 445 OPEN. Banner: Apache Struts/2.3.31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 + 00:12:00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Exploitation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 OGNL payload in Content-Type header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HTTP 200 OK. uid=48(apache) gid=48(apache). Reverse shell bound to port 4444.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 + 00:42:00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Local Audit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python3 linpeas.py -a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Plaintext password discovered in /var/www/html/config.php (db_admin)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 + 01:15:00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Cloud Exfil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aws s3 sync s3://cybertech-prod-backups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Downloaded 1.2GB raw database backup &amp; id_rsa private keys without MFA.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 + 01:45:00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AD Pivot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bloodhound-python -u db_admin -d CORP.LOCAL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Mapped path: WEB-01 -&gt; Unconstrained Delegation -&gt; CORP-DC-01. Domain Admin achieved.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 + 03:10:00</w:t>
            </w:r>
          </w:p>
        </w:tc>
      </w:tr>
    </w:tbl>
    <w:p>
      <w:pPr>
        <w:keepNext/>
        <w:spacing w:before="360" w:after="120"/>
        <w:pBdr>
          <w:bottom w:val="single" w:sz="12" w:space="4" w:color="2563EB"/>
        </w:pBdr>
      </w:pPr>
      <w:r>
        <w:rPr>
          <w:rFonts w:ascii="Calibri" w:hAnsi="Calibri"/>
          <w:b/>
          <w:color w:val="0F172A"/>
          <w:sz w:val="28"/>
        </w:rPr>
        <w:t>3. Vulnerability Analysis and Risk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Vulnerability Title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CVSS</w:t>
            </w:r>
          </w:p>
        </w:tc>
        <w:tc>
          <w:tcPr>
            <w:tcW w:type="dxa" w:w="230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Affected Target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VULN-01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Apache Struts Remote Code Execution (CVE-2017-5638)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DC2626"/>
                <w:sz w:val="19"/>
              </w:rPr>
              <w:t>CRITICAL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9.8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portal.cybertech-example.com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VULN-02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Plaintext Credentials in Web Source Code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C2410C"/>
                <w:sz w:val="19"/>
              </w:rPr>
              <w:t>HIGH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8.1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WEB-01 Server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VULN-03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Publicly Accessible S3 Cloud Bucket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C2410C"/>
                <w:sz w:val="19"/>
              </w:rPr>
              <w:t>HIGH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7.5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S3: cybertech-prod-backups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VULN-04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Missing SMB Signing on Corporate Subnet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B45309"/>
                <w:sz w:val="19"/>
              </w:rPr>
              <w:t>MEDIUM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5.4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CORP.CYBERTECH.LOCAL</w:t>
            </w:r>
          </w:p>
        </w:tc>
      </w:tr>
    </w:tbl>
    <w:p>
      <w:pPr>
        <w:keepNext/>
        <w:spacing w:before="360" w:after="120"/>
        <w:pBdr>
          <w:bottom w:val="single" w:sz="12" w:space="4" w:color="2563EB"/>
        </w:pBdr>
      </w:pPr>
      <w:r>
        <w:rPr>
          <w:rFonts w:ascii="Calibri" w:hAnsi="Calibri"/>
          <w:b/>
          <w:color w:val="0F172A"/>
          <w:sz w:val="28"/>
        </w:rPr>
        <w:t>4. Operational Readiness Framework &amp; Continuous Improvement Process</w:t>
      </w:r>
    </w:p>
    <w:p>
      <w:r>
        <w:t>Addressing feedback regarding operational integration, this section establishes a structured Operational Readiness Framework (ORF) mapped to NIST CSF 2.0 to embed security testing into CyberTech Solutions' continuous operational lifecycle.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4.1 Operational Readiness Lifecycle Integration</w:t>
      </w:r>
    </w:p>
    <w:p>
      <w:pPr>
        <w:spacing w:before="120" w:after="40"/>
      </w:pPr>
      <w:r>
        <w:rPr>
          <w:b/>
          <w:color w:val="0F172A"/>
          <w:sz w:val="21"/>
        </w:rPr>
        <w:t>Phase 1: Continuous Automated Validation (DevSecOps Integration)</w:t>
      </w:r>
    </w:p>
    <w:p>
      <w:r>
        <w:t>• SAST/DAST Pipeline Integration: Embed SonarQube and OWASP ZAP into GitLab CI/CD pipelines to block code commits containing hardcoded credentials or vulnerable dependencies.</w:t>
        <w:br/>
        <w:t>• Infrastructure as Code (IaC) Scanning: Deploy Checkov to scan Terraform scripts, automatically preventing public S3 bucket configurations prior to deployment.</w:t>
      </w:r>
    </w:p>
    <w:p>
      <w:pPr>
        <w:spacing w:before="120" w:after="40"/>
      </w:pPr>
      <w:r>
        <w:rPr>
          <w:b/>
          <w:color w:val="0F172A"/>
          <w:sz w:val="21"/>
        </w:rPr>
        <w:t>Phase 2: Automated Threat Hunting &amp; Telemetry Correlation</w:t>
      </w:r>
    </w:p>
    <w:p>
      <w:r>
        <w:t>• SIEM Rule Enhancement: Ingest web server process creation logs into Splunk. Create alert triggers for spawned shell processes (e.g., tomcat spawning /bin/bash).</w:t>
        <w:br/>
        <w:t>• Network Detection: Deploy Suricata IDS rules to detect OGNL expression patterns within HTTP Content-Type headers.</w:t>
      </w:r>
    </w:p>
    <w:p>
      <w:pPr>
        <w:spacing w:before="120" w:after="40"/>
      </w:pPr>
      <w:r>
        <w:rPr>
          <w:b/>
          <w:color w:val="0F172A"/>
          <w:sz w:val="21"/>
        </w:rPr>
        <w:t>Phase 3: Continuous Feedback Loop &amp; Governance</w:t>
      </w:r>
    </w:p>
    <w:p>
      <w:r>
        <w:t>• Quarterly Penetration Testing: Transition from bi-annual to quarterly red teaming engagements to continuously test emerging attack vectors.</w:t>
        <w:br/>
        <w:t>• Security Posture KPI Tracking: Track remediation SLA adherence (Critical: 24h, High: 7 days) as part of executive engineering performance metrics.</w:t>
      </w:r>
    </w:p>
    <w:p>
      <w:pPr>
        <w:keepNext/>
        <w:spacing w:before="360" w:after="120"/>
        <w:pBdr>
          <w:bottom w:val="single" w:sz="12" w:space="4" w:color="2563EB"/>
        </w:pBdr>
      </w:pPr>
      <w:r>
        <w:rPr>
          <w:rFonts w:ascii="Calibri" w:hAnsi="Calibri"/>
          <w:b/>
          <w:color w:val="0F172A"/>
          <w:sz w:val="28"/>
        </w:rPr>
        <w:t>5. Remediation Roadmap &amp; Action Items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Target Vulnerability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Item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Responsible Team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Immediate</w:t>
              <w:br/>
              <w:t>(0 - 24 Hours)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VULN-01: Apache Struts RCE</w:t>
              <w:br/>
              <w:t>VULN-03: Public S3 Bucket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1. Patch Apache Struts to build 2.5.30+.</w:t>
              <w:br/>
              <w:t>2. Enable 'Block Public Access' on AWS S3.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Web Dev &amp; Cloud Sec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Short-Term</w:t>
              <w:br/>
              <w:t>(1 - 2 Weeks)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VULN-02: Hardcoded Secrets</w:t>
              <w:br/>
              <w:t>VULN-04: Unsigned SMB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1. Rotate all database/SSH credentials.</w:t>
              <w:br/>
              <w:t>2. Migrate secrets to AWS Secrets Manager.</w:t>
              <w:br/>
              <w:t>3. Enforce mandatory SMB Signing via GPO.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DevOps &amp; SysAdmin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Long-Term</w:t>
              <w:br/>
              <w:t>(1 - 3 Months)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Systemic Security Culture &amp; Network Architecture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1. Deploy Web Application Firewall (WAF).</w:t>
              <w:br/>
              <w:t>2. Enforce Zero-Trust Network Segmentation.</w:t>
              <w:br/>
              <w:t>3. Operationalize the Readiness Framework.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CISO &amp; Enterprise Arch</w:t>
            </w:r>
          </w:p>
        </w:tc>
      </w:tr>
    </w:tbl>
    <w:p>
      <w:pPr>
        <w:keepNext/>
        <w:spacing w:before="360" w:after="120"/>
        <w:pBdr>
          <w:bottom w:val="single" w:sz="12" w:space="4" w:color="2563EB"/>
        </w:pBdr>
      </w:pPr>
      <w:r>
        <w:rPr>
          <w:rFonts w:ascii="Calibri" w:hAnsi="Calibri"/>
          <w:b/>
          <w:color w:val="0F172A"/>
          <w:sz w:val="28"/>
        </w:rPr>
        <w:t>6. Sign-Off &amp; Approvals</w:t>
      </w:r>
    </w:p>
    <w:p>
      <w:r>
        <w:t>This enhanced penetration testing report integrates empirical execution data, historical comparative metrics, and a continuous operational readiness framework.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Prepared By:</w:t>
              <w:br/>
            </w:r>
            <w:r>
              <w:t>Jetty Charan</w:t>
              <w:br/>
              <w:t>Cybersecurity Intern &amp; Security Analyst</w:t>
              <w:br/>
              <w:t>Date: September 4, 2026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Reviewed &amp; Approved By:</w:t>
              <w:br/>
            </w:r>
            <w:r>
              <w:t>Lead Penetration Tester</w:t>
              <w:br/>
              <w:t>Information Security Department</w:t>
              <w:br/>
              <w:t>CyberTech Solutions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