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Quarterly Development Plan (QDP)</w:t>
      </w:r>
    </w:p>
    <w:p>
      <w:pPr>
        <w:jc w:val="center"/>
      </w:pPr>
      <w:r>
        <w:rPr>
          <w:i/>
          <w:color w:val="555555"/>
          <w:sz w:val="22"/>
        </w:rPr>
        <w:t>Onboarding (OB) Team &amp; Account Managers</w:t>
      </w:r>
    </w:p>
    <w:p>
      <w:pPr>
        <w:jc w:val="center"/>
      </w:pPr>
      <w:r>
        <w:rPr>
          <w:b/>
          <w:color w:val="555555"/>
        </w:rPr>
        <w:t xml:space="preserve">PoC: </w:t>
      </w:r>
      <w:r>
        <w:rPr>
          <w:b/>
          <w:color w:val="1F3A5F"/>
        </w:rPr>
        <w:t>Ruchita</w:t>
      </w:r>
      <w:r>
        <w:rPr>
          <w:b/>
          <w:color w:val="555555"/>
        </w:rPr>
        <w:t xml:space="preserve">   |   AM / Manager: </w:t>
      </w:r>
      <w:r>
        <w:rPr>
          <w:b/>
          <w:color w:val="1F3A5F"/>
        </w:rPr>
        <w:t>Charan Manoj</w:t>
      </w:r>
      <w:r>
        <w:rPr>
          <w:b/>
          <w:color w:val="555555"/>
        </w:rPr>
        <w:t xml:space="preserve">   |   Quarter: </w:t>
      </w:r>
      <w:r>
        <w:rPr>
          <w:b/>
          <w:color w:val="1F3A5F"/>
        </w:rPr>
        <w:t>Jan–Mar 2026</w:t>
      </w:r>
    </w:p>
    <w:p>
      <w:r>
        <w:rPr>
          <w:b/>
          <w:color w:val="2E5C9A"/>
          <w:sz w:val="26"/>
        </w:rPr>
        <w:t>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Business (Output) Score</w:t>
            </w:r>
          </w:p>
        </w:tc>
        <w:tc>
          <w:tcPr>
            <w:tcW w:type="dxa" w:w="28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Behaviour (BC) Score</w:t>
            </w:r>
          </w:p>
        </w:tc>
        <w:tc>
          <w:tcPr>
            <w:tcW w:type="dxa" w:w="28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Score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color w:val="1F3A5F"/>
                <w:sz w:val="28"/>
              </w:rP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color w:val="1F3A5F"/>
                <w:sz w:val="28"/>
              </w:rP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color w:val="1F3A5F"/>
                <w:sz w:val="28"/>
              </w:rPr>
              <w:t>~3.16</w:t>
            </w:r>
          </w:p>
        </w:tc>
      </w:tr>
    </w:tbl>
    <w:p>
      <w:r>
        <w:rPr>
          <w:i/>
          <w:color w:val="555555"/>
          <w:sz w:val="19"/>
        </w:rPr>
        <w:t>Total computed using the playbook's output-weighted method (~84% Output / ~16% BC, derived from the playbook example). Please confirm against your official rubric.</w:t>
      </w:r>
    </w:p>
    <w:p>
      <w:r>
        <w:rPr>
          <w:b/>
          <w:color w:val="2E5C9A"/>
          <w:sz w:val="28"/>
        </w:rPr>
        <w:t>Business Compliance — Performance Snapshot</w:t>
      </w:r>
    </w:p>
    <w:p>
      <w:pPr>
        <w:pStyle w:val="ListBullet"/>
      </w:pPr>
      <w:r>
        <w:rPr>
          <w:b/>
        </w:rPr>
        <w:t xml:space="preserve">Headline: </w:t>
      </w:r>
      <w:r>
        <w:t>Improved M0 Sales → A2H from a quarter average of ~31% to 34% (trending to 36% in May).</w:t>
      </w:r>
    </w:p>
    <w:p>
      <w:pPr>
        <w:pStyle w:val="ListBullet"/>
      </w:pPr>
      <w:r>
        <w:rPr>
          <w:b/>
        </w:rPr>
        <w:t xml:space="preserve">Gap: </w:t>
      </w:r>
      <w:r>
        <w:t>Monthly A2H targets were only partially met — roughly 85–87% of the stated monthly target was achieved.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C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2880"/>
            <w:shd w:val="clear" w:color="auto" w:fill="2E5C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2880"/>
            <w:shd w:val="clear" w:color="auto" w:fill="2E5C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M0 → A2H 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Jan-2026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1256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29%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Feb-2026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1431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31%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Mar-2026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1647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33%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Apr-2026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1625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20"/>
              </w:rPr>
              <w:t>34%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May-2026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1750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20"/>
              </w:rPr>
              <w:t>36%</w:t>
            </w:r>
          </w:p>
        </w:tc>
      </w:tr>
    </w:tbl>
    <w:p>
      <w:r>
        <w:rPr>
          <w:i/>
          <w:color w:val="555555"/>
          <w:sz w:val="19"/>
        </w:rPr>
        <w:t>Quarter window = Jan–Mar 2026; Apr–May shown for trend continuity.</w:t>
      </w:r>
    </w:p>
    <w:p>
      <w:r>
        <w:rPr>
          <w:b/>
          <w:color w:val="1F3A5F"/>
          <w:sz w:val="26"/>
        </w:rPr>
        <w:t xml:space="preserve">Step 1  —  </w:t>
      </w:r>
      <w:r>
        <w:rPr>
          <w:b/>
          <w:color w:val="1F3A5F"/>
          <w:sz w:val="26"/>
        </w:rPr>
        <w:t>Lock Focus Areas + Quarter Theme</w:t>
      </w:r>
    </w:p>
    <w:p>
      <w:r>
        <w:rPr>
          <w:b/>
          <w:color w:val="1F3A5F"/>
          <w:sz w:val="24"/>
        </w:rPr>
        <w:t>Focus Areas (locked)</w:t>
      </w:r>
    </w:p>
    <w:p>
      <w:pPr>
        <w:pStyle w:val="ListBullet"/>
      </w:pPr>
      <w:r>
        <w:t>M0 Sales → A2H conversion %</w:t>
      </w:r>
    </w:p>
    <w:p>
      <w:pPr>
        <w:pStyle w:val="ListBullet"/>
      </w:pPr>
      <w:r>
        <w:t>Monthly A2H target achievement (consistency / attainment)</w:t>
      </w:r>
    </w:p>
    <w:p>
      <w:pPr>
        <w:pStyle w:val="ListBullet"/>
      </w:pPr>
      <w:r>
        <w:t>Product adoption &amp; feature understanding</w:t>
      </w:r>
    </w:p>
    <w:p>
      <w:r>
        <w:rPr>
          <w:b/>
          <w:color w:val="2E5C9A"/>
        </w:rPr>
        <w:t xml:space="preserve">Quarter Theme: </w:t>
      </w:r>
      <w:r>
        <w:t>Drive the team in a well-structured manner to consistently achieve monthly targets, while ensuring clear product adoption and understanding.</w:t>
      </w:r>
    </w:p>
    <w:p>
      <w:r>
        <w:rPr>
          <w:b/>
          <w:color w:val="1F3A5F"/>
          <w:sz w:val="26"/>
        </w:rPr>
        <w:t xml:space="preserve">Step 2  —  </w:t>
      </w:r>
      <w:r>
        <w:rPr>
          <w:b/>
          <w:color w:val="1F3A5F"/>
          <w:sz w:val="26"/>
        </w:rPr>
        <w:t>Outcome Goals &amp; Success Metrics</w:t>
      </w:r>
    </w:p>
    <w:p>
      <w:r>
        <w:rPr>
          <w:b/>
          <w:color w:val="2E5C9A"/>
        </w:rPr>
        <w:t xml:space="preserve">Goal 1 (highest impact): </w:t>
      </w:r>
      <w:r>
        <w:t>Lift output health by converting M0 Sales → A2H and closing the monthly target-attainment gap.</w:t>
      </w:r>
    </w:p>
    <w:p>
      <w:r>
        <w:rPr>
          <w:b/>
          <w:color w:val="1F3A5F"/>
          <w:sz w:val="24"/>
        </w:rPr>
        <w:t>Success Metrics (end of quarter)</w:t>
      </w:r>
    </w:p>
    <w:p>
      <w:pPr>
        <w:pStyle w:val="ListBullet"/>
      </w:pPr>
      <w:r>
        <w:rPr>
          <w:b/>
        </w:rPr>
        <w:t xml:space="preserve">M0 Sales → A2H: </w:t>
      </w:r>
      <w:r>
        <w:t>Sustain the 31% → 34% gain and push toward 38–40%.</w:t>
      </w:r>
    </w:p>
    <w:p>
      <w:r>
        <w:rPr>
          <w:i/>
          <w:color w:val="555555"/>
          <w:sz w:val="19"/>
        </w:rPr>
        <w:t xml:space="preserve">   → Suggested stretch target — confirm with Ruchita.</w:t>
      </w:r>
    </w:p>
    <w:p>
      <w:pPr>
        <w:pStyle w:val="ListBullet"/>
      </w:pPr>
      <w:r>
        <w:rPr>
          <w:b/>
        </w:rPr>
        <w:t xml:space="preserve">Monthly A2H target achievement: </w:t>
      </w:r>
      <w:r>
        <w:t>85–87% → 100% attainment, every month.</w:t>
      </w:r>
    </w:p>
    <w:p>
      <w:pPr>
        <w:pStyle w:val="ListBullet"/>
      </w:pPr>
      <w:r>
        <w:rPr>
          <w:b/>
        </w:rPr>
        <w:t xml:space="preserve">Product / feature adoption: </w:t>
      </w:r>
      <w:r>
        <w:t>Establish a baseline, then drive a measurable adoption uplift on priority features.</w:t>
      </w:r>
    </w:p>
    <w:p>
      <w:r>
        <w:rPr>
          <w:b/>
          <w:color w:val="1F3A5F"/>
          <w:sz w:val="26"/>
        </w:rPr>
        <w:t xml:space="preserve">Step 3  —  </w:t>
      </w:r>
      <w:r>
        <w:rPr>
          <w:b/>
          <w:color w:val="1F3A5F"/>
          <w:sz w:val="26"/>
        </w:rPr>
        <w:t>Execution Plan (periodic actions + proof)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 + Frequency</w:t>
            </w:r>
          </w:p>
        </w:tc>
        <w:tc>
          <w:tcPr>
            <w:tcW w:type="dxa" w:w="1872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Cadence</w:t>
            </w:r>
          </w:p>
        </w:tc>
        <w:tc>
          <w:tcPr>
            <w:tcW w:type="dxa" w:w="3456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Evidence / Proof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Implement new ways to hit A2H targets — e.g., stand up a dedicated team to revive old cohorts.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Set up monthly; run weekly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“Old-Cohort Revival Tracker” — cohorts touched, revived, conversion delta vs baseline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Precisely drive monthly targets — plan two weeks ahead (team bandwidth, month constraints, and actions on those constraints).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Bi-weekly planning; monthly review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Monthly target plan + constraint–action log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Closely understand product initiatives and drive new-feature adoption.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Feature-adoption dashboard; adoption % by team / seller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Partner with the Training team to set up a new training process — e.g., website-discussions training module; build a convincing pitch to add ₹15K funds in Meta.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Weekly / bi-weekly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Training-module rollout doc; pitch deck; pre/post adoption of the pitch</w:t>
            </w:r>
          </w:p>
        </w:tc>
      </w:tr>
    </w:tbl>
    <w:p>
      <w:r>
        <w:rPr>
          <w:b/>
          <w:color w:val="1F3A5F"/>
          <w:sz w:val="26"/>
        </w:rPr>
        <w:t xml:space="preserve">Step 4  —  </w:t>
      </w:r>
      <w:r>
        <w:rPr>
          <w:b/>
          <w:color w:val="1F3A5F"/>
          <w:sz w:val="26"/>
        </w:rPr>
        <w:t>30 / 60 / 90 Milestones</w:t>
      </w:r>
    </w:p>
    <w:p>
      <w:r>
        <w:rPr>
          <w:b/>
          <w:color w:val="1F3A5F"/>
          <w:sz w:val="24"/>
        </w:rPr>
        <w:t>30 days  —  setup + first cycle</w:t>
      </w:r>
    </w:p>
    <w:p>
      <w:pPr>
        <w:pStyle w:val="ListBullet"/>
      </w:pPr>
      <w:r>
        <w:t>Dedicated old-cohort revival team defined, with an owner and a cohort list.</w:t>
      </w:r>
    </w:p>
    <w:p>
      <w:pPr>
        <w:pStyle w:val="ListBullet"/>
      </w:pPr>
      <w:r>
        <w:t>Two-week-ahead monthly planning rhythm live (bandwidth + constraints mapped).</w:t>
      </w:r>
    </w:p>
    <w:p>
      <w:pPr>
        <w:pStyle w:val="ListBullet"/>
      </w:pPr>
      <w:r>
        <w:t>Feature-adoption baseline captured; dashboard scoped with manager.</w:t>
      </w:r>
    </w:p>
    <w:p>
      <w:pPr>
        <w:pStyle w:val="ListBullet"/>
      </w:pPr>
      <w:r>
        <w:t>First training module (website discussions) drafted with the Training team.</w:t>
      </w:r>
    </w:p>
    <w:p>
      <w:r>
        <w:rPr>
          <w:b/>
          <w:color w:val="1F3A5F"/>
          <w:sz w:val="24"/>
        </w:rPr>
        <w:t>60 days  —  plays running + trend movement</w:t>
      </w:r>
    </w:p>
    <w:p>
      <w:pPr>
        <w:pStyle w:val="ListBullet"/>
      </w:pPr>
      <w:r>
        <w:t>Monthly A2H target attainment trending up toward ~95%.</w:t>
      </w:r>
    </w:p>
    <w:p>
      <w:pPr>
        <w:pStyle w:val="ListBullet"/>
      </w:pPr>
      <w:r>
        <w:t>Revival team showing a measurable conversion delta on old cohorts.</w:t>
      </w:r>
    </w:p>
    <w:p>
      <w:pPr>
        <w:pStyle w:val="ListBullet"/>
      </w:pPr>
      <w:r>
        <w:t>₹15K Meta-funds pitch live and being tracked.</w:t>
      </w:r>
    </w:p>
    <w:p>
      <w:pPr>
        <w:pStyle w:val="ListBullet"/>
      </w:pPr>
      <w:r>
        <w:t>Feature adoption showing upward movement vs baseline.</w:t>
      </w:r>
    </w:p>
    <w:p>
      <w:r>
        <w:rPr>
          <w:b/>
          <w:color w:val="1F3A5F"/>
          <w:sz w:val="24"/>
        </w:rPr>
        <w:t>90 days  —  sustained improvement + shareable playbook</w:t>
      </w:r>
    </w:p>
    <w:p>
      <w:pPr>
        <w:pStyle w:val="ListBullet"/>
      </w:pPr>
      <w:r>
        <w:t>Monthly A2H target attainment at 100% (sustained).</w:t>
      </w:r>
    </w:p>
    <w:p>
      <w:pPr>
        <w:pStyle w:val="ListBullet"/>
      </w:pPr>
      <w:r>
        <w:t>M0 → A2H sustained ≥34% (stretch toward 38–40%).</w:t>
      </w:r>
    </w:p>
    <w:p>
      <w:pPr>
        <w:pStyle w:val="ListBullet"/>
      </w:pPr>
      <w:r>
        <w:t>Training process documented and repeatable; adoption embedded.</w:t>
      </w:r>
    </w:p>
    <w:p>
      <w:pPr>
        <w:pStyle w:val="ListBullet"/>
      </w:pPr>
      <w:r>
        <w:t>Documented “what worked” playbook for cohort revival + monthly planning.</w:t>
      </w:r>
    </w:p>
    <w:p>
      <w:r>
        <w:rPr>
          <w:b/>
          <w:color w:val="1F3A5F"/>
          <w:sz w:val="26"/>
        </w:rPr>
        <w:t xml:space="preserve">Step 5  —  </w:t>
      </w:r>
      <w:r>
        <w:rPr>
          <w:b/>
          <w:color w:val="1F3A5F"/>
          <w:sz w:val="26"/>
        </w:rPr>
        <w:t>Support Needed + Operating Cadence</w:t>
      </w:r>
    </w:p>
    <w:p>
      <w:r>
        <w:rPr>
          <w:b/>
          <w:color w:val="1F3A5F"/>
          <w:sz w:val="24"/>
        </w:rPr>
        <w:t>Support from AM / Manager (Charan)</w:t>
      </w:r>
    </w:p>
    <w:p>
      <w:pPr>
        <w:pStyle w:val="ListBullet"/>
      </w:pPr>
      <w:r>
        <w:t>Build / enable the tracking dashboard (visibility on A2H, attainment, adoption).</w:t>
      </w:r>
    </w:p>
    <w:p>
      <w:pPr>
        <w:pStyle w:val="ListBullet"/>
      </w:pPr>
      <w:r>
        <w:t>Co-draft monthly targets and the mechanics to achieve them.</w:t>
      </w:r>
    </w:p>
    <w:p>
      <w:pPr>
        <w:pStyle w:val="ListBullet"/>
      </w:pPr>
      <w:r>
        <w:t>Data-fluency support — help interpret the data and translate it into action.</w:t>
      </w:r>
    </w:p>
    <w:p>
      <w:pPr>
        <w:pStyle w:val="ListBullet"/>
      </w:pPr>
      <w:r>
        <w:t>Unblock cross-team alignment (Product, Training) and provide an escalation path.</w:t>
      </w:r>
    </w:p>
    <w:p>
      <w:r>
        <w:rPr>
          <w:b/>
          <w:color w:val="1F3A5F"/>
          <w:sz w:val="24"/>
        </w:rPr>
        <w:t>Operating Cadence (so the QDP stays “alive”)</w:t>
      </w:r>
    </w:p>
    <w:p>
      <w:pPr>
        <w:pStyle w:val="ListBullet"/>
      </w:pPr>
      <w:r>
        <w:t>Monthly QDP check-in — review progress, surface blockers, recalibrate.</w:t>
      </w:r>
    </w:p>
    <w:p>
      <w:pPr>
        <w:pStyle w:val="ListBullet"/>
      </w:pPr>
      <w:r>
        <w:t>Mid-quarter recalibration — adjust goals based on the scorecard trend.</w:t>
      </w:r>
    </w:p>
    <w:p>
      <w:pPr>
        <w:pStyle w:val="ListBullet"/>
      </w:pPr>
      <w:r>
        <w:t>End-quarter evidence review → next scorecard narrative + next QDP.</w:t>
      </w:r>
    </w:p>
    <w:p/>
    <w:p>
      <w:r>
        <w:rPr>
          <w:i/>
          <w:color w:val="555555"/>
          <w:sz w:val="19"/>
        </w:rPr>
        <w:t>Drafted from inputs provided by Charan Manoj. Items marked with suggested/stretch values and the computed Total Score should be confirmed before finalizing.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