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32"/>
          <w:szCs w:val="32"/>
        </w:rPr>
        <w:t xml:space="preserve">ChromGraphFM: Measured 3D Chromatin Contacts as a Training-Time Signal for Hi-C-Free DNA Sequence Representations</w:t>
      </w:r>
    </w:p>
    <w:p>
      <w:pPr>
        <w:spacing w:after="60"/>
        <w:jc w:val="center"/>
      </w:pPr>
      <w:r>
        <w:rPr>
          <w:rFonts w:ascii="Times New Roman" w:cs="Times New Roman" w:eastAsia="Times New Roman" w:hAnsi="Times New Roman"/>
          <w:sz w:val="22"/>
          <w:szCs w:val="22"/>
        </w:rPr>
        <w:t xml:space="preserve">P. Charan Sai, G. Karthik, P. Sanath, K. Divya Kothapali</w:t>
      </w:r>
    </w:p>
    <w:p>
      <w:pPr>
        <w:spacing w:after="240"/>
        <w:jc w:val="center"/>
      </w:pPr>
      <w:r>
        <w:rPr>
          <w:rFonts w:ascii="Times New Roman" w:cs="Times New Roman" w:eastAsia="Times New Roman" w:hAnsi="Times New Roman"/>
          <w:i/>
          <w:iCs/>
          <w:sz w:val="18"/>
          <w:szCs w:val="18"/>
        </w:rPr>
        <w:t xml:space="preserve">Department of Computer Science and Engineering, VR Siddhartha Engineering College, Vijayawada, India</w:t>
      </w:r>
    </w:p>
    <w:p>
      <w:pPr>
        <w:pBdr>
          <w:top w:val="single" w:color="EB6834" w:sz="6" w:space="4"/>
        </w:pBdr>
        <w:shd w:fill="FFF4E5" w:color="auto" w:val="clear"/>
        <w:spacing w:after="0"/>
      </w:pPr>
      <w:r>
        <w:rPr>
          <w:rFonts w:ascii="Times New Roman" w:cs="Times New Roman" w:eastAsia="Times New Roman" w:hAnsi="Times New Roman"/>
          <w:b/>
          <w:bCs/>
          <w:sz w:val="18"/>
          <w:szCs w:val="18"/>
        </w:rPr>
        <w:t xml:space="preserve">Draft status. </w:t>
      </w:r>
      <w:r>
        <w:rPr>
          <w:rFonts w:ascii="Times New Roman" w:cs="Times New Roman" w:eastAsia="Times New Roman" w:hAnsi="Times New Roman"/>
          <w:sz w:val="18"/>
          <w:szCs w:val="18"/>
        </w:rPr>
        <w:t xml:space="preserve">Working master copy. Sections 1–3 are drafted; Sections 4–6 (Results, Discussion, Conclusion) are written only once the multi-seed validation results are final and the sealed test split has been scored once.</w:t>
      </w:r>
    </w:p>
    <w:p>
      <w:pPr>
        <w:shd w:fill="FFF4E5" w:color="auto" w:val="clear"/>
        <w:spacing w:after="240"/>
      </w:pPr>
      <w:r>
        <w:rPr>
          <w:rFonts w:ascii="Times New Roman" w:cs="Times New Roman" w:eastAsia="Times New Roman" w:hAnsi="Times New Roman"/>
          <w:b/>
          <w:bCs/>
          <w:sz w:val="18"/>
          <w:szCs w:val="18"/>
        </w:rPr>
        <w:t xml:space="preserve"/>
      </w:r>
      <w:r>
        <w:rPr>
          <w:rFonts w:ascii="Times New Roman" w:cs="Times New Roman" w:eastAsia="Times New Roman" w:hAnsi="Times New Roman"/>
          <w:sz w:val="18"/>
          <w:szCs w:val="18"/>
        </w:rPr>
        <w:t xml:space="preserve">The abstract's results sentence and the Introduction's experiments paragraph are marked [PENDING RESULTS] and must be filled from measured numbers only.</w:t>
      </w:r>
    </w:p>
    <w:p>
      <w:pPr>
        <w:spacing w:after="80"/>
      </w:pPr>
      <w:r>
        <w:rPr>
          <w:rFonts w:ascii="Times New Roman" w:cs="Times New Roman" w:eastAsia="Times New Roman" w:hAnsi="Times New Roman"/>
          <w:b/>
          <w:bCs/>
          <w:sz w:val="22"/>
          <w:szCs w:val="22"/>
        </w:rPr>
        <w:t xml:space="preserve">Abstract</w:t>
      </w:r>
    </w:p>
    <w:p>
      <w:pPr>
        <w:spacing w:after="120" w:line="276"/>
        <w:jc w:val="both"/>
      </w:pPr>
      <w:r>
        <w:rPr>
          <w:rFonts w:ascii="Times New Roman" w:cs="Times New Roman" w:eastAsia="Times New Roman" w:hAnsi="Times New Roman"/>
          <w:sz w:val="22"/>
          <w:szCs w:val="22"/>
        </w:rPr>
        <w:t xml:space="preserve">DNA sequence models contextualise a genomic window by what lies near it on the linear chromosome, yet much of gene regulation acts across hundreds of kilobases through the three-dimensional folding of chromatin. Chromosome conformation capture (Hi-C) measures that folding directly, but existing models use it as a prediction target, as an input that supervised predictors require at inference, or as an external alignment signal; none lets measured contacts decide which distal windows exchange information inside a self-supervised DNA encoder while it learns. We present ChromGraphFM, a DNA encoder pretrained without task labels, in which a sparse graph built from distance-detrended Hi-C contacts biases attention between 5 kb sequence windows across a 640 kb context. Contacts enter the attention logit through a learned edge bias, and the edges the model is asked to predict are withheld from the graph it attends over, so the contact objective cannot be solved by copying its input. Because Hi-C is rarely available where a sequence model is applied, we treat it as training-time-only information: structure dropout removes the distal graph for a fraction of samples, and a structure-distillation objective pulls the representation computed from sequence alone toward the Hi-C-conditioned one. We evaluate every comparison with Hi-C removed at inference, against matched controls that keep the parameter count, data and compute fixed while removing the graph, randomising it, keeping its edges but flattening their strengths, shuffling its strengths among edges, fusing Hi-C after the encoder, or using it only as an alignment target. [PENDING RESULTS: one sentence with the validation-decided, test-confirmed outcome.]</w:t>
      </w:r>
    </w:p>
    <w:p>
      <w:pPr>
        <w:spacing w:after="240"/>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3D genome; Hi-C; chromatin contacts; DNA language models; self-supervised learning; graph attention; privileged information</w:t>
      </w:r>
    </w:p>
    <w:p>
      <w:pPr>
        <w:pStyle w:val="Heading1"/>
        <w:spacing w:after="120" w:before="280"/>
      </w:pPr>
      <w:r>
        <w:rPr>
          <w:rFonts w:ascii="Times New Roman" w:cs="Times New Roman" w:eastAsia="Times New Roman" w:hAnsi="Times New Roman"/>
          <w:b/>
          <w:bCs/>
          <w:sz w:val="26"/>
          <w:szCs w:val="26"/>
        </w:rPr>
        <w:t xml:space="preserve">1  Introduction</w:t>
      </w:r>
    </w:p>
    <w:p>
      <w:pPr>
        <w:spacing w:after="120" w:line="276"/>
        <w:jc w:val="both"/>
      </w:pPr>
      <w:r>
        <w:rPr>
          <w:rFonts w:ascii="Times New Roman" w:cs="Times New Roman" w:eastAsia="Times New Roman" w:hAnsi="Times New Roman"/>
          <w:sz w:val="22"/>
          <w:szCs w:val="22"/>
        </w:rPr>
        <w:t xml:space="preserve">Learning general-purpose representations of DNA sequence has become a central route to predicting the regulatory consequences of the genome, from chromatin accessibility and transcription to the effects of non-coding variants [1–6]. A representation is useful to the extent that it captures what controls a locus, and for a large share of human gene regulation that control is distal: enhancers act on promoters tens to hundreds of kilobases away, brought into contact by the folding of chromatin into loops and topologically associating domains [7,8]. This paper focuses on the setting of learning a sequence representation of a genomic window from DNA alone, where that representation should nevertheless reflect the window's three-dimensional context.</w:t>
      </w:r>
    </w:p>
    <w:p>
      <w:pPr>
        <w:spacing w:after="120" w:line="276"/>
        <w:jc w:val="both"/>
      </w:pPr>
      <w:r>
        <w:rPr>
          <w:rFonts w:ascii="Times New Roman" w:cs="Times New Roman" w:eastAsia="Times New Roman" w:hAnsi="Times New Roman"/>
          <w:sz w:val="22"/>
          <w:szCs w:val="22"/>
        </w:rPr>
        <w:t xml:space="preserve">This setting is challenging because three-dimensional proximity is not a property of linear proximity. Sequence models enlarge their receptive field with convolutions and dilations [9], attention [10,11], or long-range state-space and implicit-convolution layers [3–5]; however, all of them weigh context by position along the chromosome, and must infer from sequence alone which of thousands of distal windows are physically close. Folding is partly encoded in sequence through features such as CTCF motifs and their orientation [8,12], but it is cell-type-specific and shaped by factors that a sequence model never observes, so the relevant distal context is diluted among the irrelevant.</w:t>
      </w:r>
    </w:p>
    <w:p>
      <w:pPr>
        <w:spacing w:after="120" w:line="276"/>
        <w:jc w:val="both"/>
      </w:pPr>
      <w:r>
        <w:rPr>
          <w:rFonts w:ascii="Times New Roman" w:cs="Times New Roman" w:eastAsia="Times New Roman" w:hAnsi="Times New Roman"/>
          <w:sz w:val="22"/>
          <w:szCs w:val="22"/>
        </w:rPr>
        <w:t xml:space="preserve">Chromosome conformation capture measures this folding directly. Hi-C reports, for every pair of genomic bins, how often the two were found in contact [8,13], and a growing body of work learns from it. Sequence-to-structure models predict contact maps from DNA [14–17]; foundation models are now pretrained on contact maps themselves [18,19]; graph and attention models feed contact frequencies into supervised predictors of gene expression [20–23]; and Evo2HiC distils a frozen DNA language model into a compact encoder aligned to Hi-C with a contrastive objective [24]. However, in each of these designs measured contacts never decide how a sequence encoder contextualises its input during self-supervised pretraining: Hi-C is the output, an input that a supervised model needs at prediction time, or an alignment target applied from outside the encoder. The root technical difficulty is twofold. First, injecting contacts into an encoder's attention invites a degenerate solution in which any contact objective is satisfied by reading the contacts back from the input. Second, a representation that depends on Hi-C at inference is unusable for the overwhelming majority of sequences and cell types for which no contact map exists.</w:t>
      </w:r>
    </w:p>
    <w:p>
      <w:pPr>
        <w:spacing w:after="120" w:line="276"/>
        <w:jc w:val="both"/>
      </w:pPr>
      <w:r>
        <w:rPr>
          <w:rFonts w:ascii="Times New Roman" w:cs="Times New Roman" w:eastAsia="Times New Roman" w:hAnsi="Times New Roman"/>
          <w:sz w:val="22"/>
          <w:szCs w:val="22"/>
        </w:rPr>
        <w:t xml:space="preserve">In this paper, we propose ChromGraphFM, a DNA encoder in which measured chromatin contacts shape sequence contextualisation during pretraining and are not required afterwards. The basic idea is illustrated in Figure 1. Our first contribution is contact-biased sparse attention: 5 kb sequence windows become the nodes of a graph whose edges are each window's strongest distance-detrended Hi-C partners, and attention between windows runs over these edges only, with the measured contact strength and the genomic separation entering the attention logit through a learned bias. Because a fraction of the strongest contacts is withheld from the graph and used only as prediction targets, the encoder cannot satisfy its contact objective by copying its input, and must instead learn which sequence windows interact.</w:t>
      </w:r>
    </w:p>
    <w:p>
      <w:pPr>
        <w:spacing w:after="120" w:line="276"/>
        <w:jc w:val="both"/>
      </w:pPr>
      <w:r>
        <w:rPr>
          <w:rFonts w:ascii="Times New Roman" w:cs="Times New Roman" w:eastAsia="Times New Roman" w:hAnsi="Times New Roman"/>
          <w:sz w:val="22"/>
          <w:szCs w:val="22"/>
        </w:rPr>
        <w:t xml:space="preserve">Contact-biased attention alone produces a representation that expects Hi-C at inference. Our second contribution resolves this by treating Hi-C as privileged, training-time-only information [25]. Structure dropout removes the entire distal graph for a random subset of training samples, so that the encoder is never out of distribution without it, and a structure-distillation objective trains the representation computed from sequence alone to match the one computed with contacts, with the latter held fixed as the teacher [26]. The structural knowledge is thereby transferred into the weights that a Hi-C-free model uses.</w:t>
      </w:r>
    </w:p>
    <w:p>
      <w:pPr>
        <w:spacing w:after="120" w:line="276"/>
        <w:jc w:val="both"/>
      </w:pPr>
      <w:r>
        <w:rPr>
          <w:rFonts w:ascii="Times New Roman" w:cs="Times New Roman" w:eastAsia="Times New Roman" w:hAnsi="Times New Roman"/>
          <w:sz w:val="22"/>
          <w:szCs w:val="22"/>
        </w:rPr>
        <w:t xml:space="preserve">Whether such a model has learned anything about structure is easy to assert and hard to test, because a richer input, more parameters, or knowledge of genomic distance can each masquerade as structural learning. We therefore evaluate every model with Hi-C removed at inference and compare it against controls that share its architecture, data, parameter count and compute while removing the distal graph, replacing it with random edges, keeping its edges but flattening their strengths, shuffling its strengths among edges, fusing Hi-C after the encoder, or using Hi-C only as a contrastive alignment target. Splits are by chromosome, model decisions are made on validation chromosomes only, and the test chromosomes are scored once. [PENDING RESULTS: the experiments paragraph, stating what the controlled comparison shows, is written from the final measured numbers.]</w:t>
      </w:r>
    </w:p>
    <w:p>
      <w:pPr>
        <w:spacing w:after="120" w:line="276"/>
        <w:jc w:val="both"/>
      </w:pPr>
      <w:r>
        <w:rPr>
          <w:rFonts w:ascii="Times New Roman" w:cs="Times New Roman" w:eastAsia="Times New Roman" w:hAnsi="Times New Roman"/>
          <w:sz w:val="22"/>
          <w:szCs w:val="22"/>
        </w:rPr>
        <w:t xml:space="preserve">In summary, our contributions are as follows:</w:t>
      </w:r>
    </w:p>
    <w:p>
      <w:pPr>
        <w:pStyle w:val="ListParagraph"/>
        <w:numPr>
          <w:ilvl w:val="0"/>
          <w:numId w:val="2"/>
        </w:numPr>
        <w:spacing w:after="80" w:line="276"/>
        <w:jc w:val="both"/>
      </w:pPr>
      <w:r>
        <w:rPr>
          <w:rFonts w:ascii="Times New Roman" w:cs="Times New Roman" w:eastAsia="Times New Roman" w:hAnsi="Times New Roman"/>
          <w:sz w:val="22"/>
          <w:szCs w:val="22"/>
        </w:rPr>
        <w:t xml:space="preserve">Contact-biased sparse attention, in which distance-detrended Hi-C contacts determine which 5 kb sequence windows attend to one another across a 640 kb context and bias how strongly, with held-out target edges that make the contact objective non-trivial.</w:t>
      </w:r>
    </w:p>
    <w:p>
      <w:pPr>
        <w:pStyle w:val="ListParagraph"/>
        <w:numPr>
          <w:ilvl w:val="0"/>
          <w:numId w:val="2"/>
        </w:numPr>
        <w:spacing w:after="80" w:line="276"/>
        <w:jc w:val="both"/>
      </w:pPr>
      <w:r>
        <w:rPr>
          <w:rFonts w:ascii="Times New Roman" w:cs="Times New Roman" w:eastAsia="Times New Roman" w:hAnsi="Times New Roman"/>
          <w:sz w:val="22"/>
          <w:szCs w:val="22"/>
        </w:rPr>
        <w:t xml:space="preserve">A training-time-only use of Hi-C, combining structure dropout with structure distillation, that yields DNA representations computed from sequence alone at inference.</w:t>
      </w:r>
    </w:p>
    <w:p>
      <w:pPr>
        <w:pStyle w:val="ListParagraph"/>
        <w:numPr>
          <w:ilvl w:val="0"/>
          <w:numId w:val="2"/>
        </w:numPr>
        <w:spacing w:after="80" w:line="276"/>
        <w:jc w:val="both"/>
      </w:pPr>
      <w:r>
        <w:rPr>
          <w:rFonts w:ascii="Times New Roman" w:cs="Times New Roman" w:eastAsia="Times New Roman" w:hAnsi="Times New Roman"/>
          <w:sz w:val="22"/>
          <w:szCs w:val="22"/>
        </w:rPr>
        <w:t xml:space="preserve">A controlled evaluation protocol with six matched controls, chromosome-level splits and a Hi-C-free headline setting, which separates the contribution of measured contacts from those of graph regularisation, genomic distance, contact-strength marginals and post-hoc fusion.</w:t>
      </w:r>
    </w:p>
    <w:p>
      <w:pPr>
        <w:pStyle w:val="Heading1"/>
        <w:spacing w:after="120" w:before="280"/>
      </w:pPr>
      <w:r>
        <w:rPr>
          <w:rFonts w:ascii="Times New Roman" w:cs="Times New Roman" w:eastAsia="Times New Roman" w:hAnsi="Times New Roman"/>
          <w:b/>
          <w:bCs/>
          <w:sz w:val="26"/>
          <w:szCs w:val="26"/>
        </w:rPr>
        <w:t xml:space="preserve">2  Related Work</w:t>
      </w:r>
    </w:p>
    <w:p>
      <w:pPr>
        <w:pStyle w:val="Heading2"/>
        <w:spacing w:after="80" w:before="200"/>
      </w:pPr>
      <w:r>
        <w:rPr>
          <w:rFonts w:ascii="Times New Roman" w:cs="Times New Roman" w:eastAsia="Times New Roman" w:hAnsi="Times New Roman"/>
          <w:b/>
          <w:bCs/>
          <w:sz w:val="22"/>
          <w:szCs w:val="22"/>
        </w:rPr>
        <w:t xml:space="preserve">2.1  Predicting chromatin structure from sequence</w:t>
      </w:r>
    </w:p>
    <w:p>
      <w:pPr>
        <w:spacing w:after="120" w:line="276"/>
        <w:jc w:val="both"/>
      </w:pPr>
      <w:r>
        <w:rPr>
          <w:rFonts w:ascii="Times New Roman" w:cs="Times New Roman" w:eastAsia="Times New Roman" w:hAnsi="Times New Roman"/>
          <w:sz w:val="22"/>
          <w:szCs w:val="22"/>
        </w:rPr>
        <w:t xml:space="preserve">A first line of work treats three-dimensional structure as the output of a sequence model. Akita predicts Hi-C maps over megabase windows from DNA sequence with a convolutional network [14], Orca extends sequence-to-structure prediction across multiple scales up to whole chromosomes [15], and C.Origami adds CTCF binding and chromatin accessibility to predict cell-type-specific maps [16]; EPCOT predicts chromatin contacts alongside epigenomic and transcriptional tracks in a pre-training and fine-tuning framework [27]. These models establish that folding is substantially predictable from sequence. However, Hi-C is the training target rather than a signal that shapes how the encoder contextualises its input, and the learned features are specialised to the map they reproduce rather than offered as a general sequence representation. ChromGraphFM inverts this relation: measured contacts are an input to the encoder during pretraining, and the product is a sequence representation rather than a contact map.</w:t>
      </w:r>
    </w:p>
    <w:p>
      <w:pPr>
        <w:pStyle w:val="Heading2"/>
        <w:spacing w:after="80" w:before="200"/>
      </w:pPr>
      <w:r>
        <w:rPr>
          <w:rFonts w:ascii="Times New Roman" w:cs="Times New Roman" w:eastAsia="Times New Roman" w:hAnsi="Times New Roman"/>
          <w:b/>
          <w:bCs/>
          <w:sz w:val="22"/>
          <w:szCs w:val="22"/>
        </w:rPr>
        <w:t xml:space="preserve">2.2  DNA language and sequence foundation models</w:t>
      </w:r>
    </w:p>
    <w:p>
      <w:pPr>
        <w:spacing w:after="120" w:line="276"/>
        <w:jc w:val="both"/>
      </w:pPr>
      <w:r>
        <w:rPr>
          <w:rFonts w:ascii="Times New Roman" w:cs="Times New Roman" w:eastAsia="Times New Roman" w:hAnsi="Times New Roman"/>
          <w:sz w:val="22"/>
          <w:szCs w:val="22"/>
        </w:rPr>
        <w:t xml:space="preserve">Self-supervised DNA language models learn general sequence representations from unlabelled genomes. DNABERT and DNABERT-2 adapt masked language modelling to k-mer and byte-pair tokens [1,28], and the Nucleotide Transformer scales this recipe across thousands of genomes [2]. To reach longer contexts, HyenaDNA replaces attention with implicit long convolutions [3], Caduceus builds bidirectional, reverse-complement-equivariant state-space models [4] on structured state-space layers [29–31], and Evo and Evo 2 train very large autoregressive models over hundreds of kilobases to a megabase [5,6]. Supervised sequence-to-function models such as Basenji, Enformer and AlphaGenome reach long contexts through dilated convolutions and attention [9–11]. Across this line, context is weighted by linear position, and distal windows must be identified from sequence alone. Our encoder uses an ordinary bidirectional state-space model within each window and leaves long-range context to a graph defined by measured contacts.</w:t>
      </w:r>
    </w:p>
    <w:p>
      <w:pPr>
        <w:pStyle w:val="Heading2"/>
        <w:spacing w:after="80" w:before="200"/>
      </w:pPr>
      <w:r>
        <w:rPr>
          <w:rFonts w:ascii="Times New Roman" w:cs="Times New Roman" w:eastAsia="Times New Roman" w:hAnsi="Times New Roman"/>
          <w:b/>
          <w:bCs/>
          <w:sz w:val="22"/>
          <w:szCs w:val="22"/>
        </w:rPr>
        <w:t xml:space="preserve">2.3  Learning from Hi-C contact maps</w:t>
      </w:r>
    </w:p>
    <w:p>
      <w:pPr>
        <w:spacing w:after="120" w:line="276"/>
        <w:jc w:val="both"/>
      </w:pPr>
      <w:r>
        <w:rPr>
          <w:rFonts w:ascii="Times New Roman" w:cs="Times New Roman" w:eastAsia="Times New Roman" w:hAnsi="Times New Roman"/>
          <w:sz w:val="22"/>
          <w:szCs w:val="22"/>
        </w:rPr>
        <w:t xml:space="preserve">A third line learns representations of Hi-C itself. HiCFoundation pretrains a foundation model on a large corpus of contact maps [18], and MIX-HIC jointly pretrains on contact maps and epigenomic tracks [19]; in both, the reusable representation is of contacts rather than of DNA sequence. Chimaera links the latent space of a contact-map autoencoder to a DNA encoder to predict Hi-C from sequence across species [17]. GraphReg uses Hi-C and related 3D assays as the graph of a graph-attention network that predicts gene expression from epigenomic and sequence features [20], and CHROME and Puget likewise combine sequence representations with contact graphs or a Hi-C encoder to predict expression [22,23]. These works show that contact graphs carry information that linear context lacks, but in supervised settings where Hi-C is required at prediction time. Closest to our aim, and concurrent with it, Evo2HiC distils a frozen Evo 2 model into a compact sequence encoder that is aligned to a Hi-C encoder with a contrastive objective, and offers a sequence-only encoder for use without Hi-C [24]. It thus shares our view of Hi-C as a training-time signal, but contacts act there as an alignment target applied from outside the encoder, through a contrastive loss, rather than inside it. ChromGraphFM differs in where Hi-C acts: contacts select and weight the information each window receives at every graph layer during pretraining, and dropout and distillation remove the dependence on Hi-C at inference. Our controls include both a late-fusion and an alignment-only variant (B4 and B5) so that this difference is tested rather than asserted.</w:t>
      </w:r>
    </w:p>
    <w:p>
      <w:pPr>
        <w:pStyle w:val="Heading2"/>
        <w:spacing w:after="80" w:before="200"/>
      </w:pPr>
      <w:r>
        <w:rPr>
          <w:rFonts w:ascii="Times New Roman" w:cs="Times New Roman" w:eastAsia="Times New Roman" w:hAnsi="Times New Roman"/>
          <w:b/>
          <w:bCs/>
          <w:sz w:val="22"/>
          <w:szCs w:val="22"/>
        </w:rPr>
        <w:t xml:space="preserve">2.4  Structural bias in attention and training-time-only signals</w:t>
      </w:r>
    </w:p>
    <w:p>
      <w:pPr>
        <w:spacing w:after="120" w:line="276"/>
        <w:jc w:val="both"/>
      </w:pPr>
      <w:r>
        <w:rPr>
          <w:rFonts w:ascii="Times New Roman" w:cs="Times New Roman" w:eastAsia="Times New Roman" w:hAnsi="Times New Roman"/>
          <w:sz w:val="22"/>
          <w:szCs w:val="22"/>
        </w:rPr>
        <w:t xml:space="preserve">Our attention mechanism belongs to a family that restricts or biases attention with a known structure. Graph attention networks compute attention over graph neighbourhoods [32], and Graphormer adds learned structural biases, such as shortest-path distances, directly to the attention logits of a Transformer [33,34]. In genomics, Chromoformer adds normalised Hi-C interaction frequencies to the self-attention scores of a supervised model that predicts expression from histone modifications around promoters [21], a direct precedent for biasing attention with contact frequency. We follow the additive-bias form, but apply it during self-supervised pretraining of a DNA sequence encoder, with the bias computed from measured contact strength and genomic separation by separate learned functions, a separation that makes a distance-only control constructible. Removing structure during training to obtain robustness has precedents in DropEdge, which drops random edges as a regulariser [35], and in modality dropout, which drops whole input modalities so a model remains usable when one is missing [36]. Our structure dropout removes the whole distal graph per sample for the second reason. Finally, learning using privileged information formalises a teacher signal available at training time only [25], and knowledge distillation transfers a teacher's behaviour into a student [26]; our structure distillation uses the model's own Hi-C-conditioned pass as the teacher of its Hi-C-free pass.</w:t>
      </w:r>
    </w:p>
    <w:p>
      <w:pPr>
        <w:pStyle w:val="Heading1"/>
        <w:spacing w:after="120" w:before="280"/>
      </w:pPr>
      <w:r>
        <w:rPr>
          <w:rFonts w:ascii="Times New Roman" w:cs="Times New Roman" w:eastAsia="Times New Roman" w:hAnsi="Times New Roman"/>
          <w:b/>
          <w:bCs/>
          <w:sz w:val="26"/>
          <w:szCs w:val="26"/>
        </w:rPr>
        <w:t xml:space="preserve">3  Methodology</w:t>
      </w:r>
    </w:p>
    <w:p>
      <w:pPr>
        <w:pStyle w:val="Heading2"/>
        <w:spacing w:after="80" w:before="200"/>
      </w:pPr>
      <w:r>
        <w:rPr>
          <w:rFonts w:ascii="Times New Roman" w:cs="Times New Roman" w:eastAsia="Times New Roman" w:hAnsi="Times New Roman"/>
          <w:b/>
          <w:bCs/>
          <w:sz w:val="22"/>
          <w:szCs w:val="22"/>
        </w:rPr>
        <w:t xml:space="preserve">3.1  Overview</w:t>
      </w:r>
    </w:p>
    <w:p>
      <w:pPr>
        <w:spacing w:after="120" w:line="276"/>
        <w:jc w:val="both"/>
      </w:pPr>
      <w:r>
        <w:rPr>
          <w:rFonts w:ascii="Times New Roman" w:cs="Times New Roman" w:eastAsia="Times New Roman" w:hAnsi="Times New Roman"/>
          <w:sz w:val="22"/>
          <w:szCs w:val="22"/>
        </w:rPr>
        <w:t xml:space="preserve">ChromGraphFM takes </w:t>
      </w:r>
      <w:r>
        <w:rPr>
          <w:rFonts w:ascii="Times New Roman" w:cs="Times New Roman" w:eastAsia="Times New Roman" w:hAnsi="Times New Roman"/>
          <w:i/>
          <w:iCs/>
          <w:sz w:val="22"/>
          <w:szCs w:val="22"/>
        </w:rPr>
        <w:t xml:space="preserve">N</w:t>
      </w:r>
      <w:r>
        <w:rPr>
          <w:rFonts w:ascii="Times New Roman" w:cs="Times New Roman" w:eastAsia="Times New Roman" w:hAnsi="Times New Roman"/>
          <w:sz w:val="22"/>
          <w:szCs w:val="22"/>
        </w:rPr>
        <w:t xml:space="preserve"> = 128</w:t>
      </w:r>
      <w:r>
        <w:rPr>
          <w:rFonts w:ascii="Times New Roman" w:cs="Times New Roman" w:eastAsia="Times New Roman" w:hAnsi="Times New Roman"/>
          <w:sz w:val="22"/>
          <w:szCs w:val="22"/>
        </w:rPr>
        <w:t xml:space="preserve"> consecutive 5 kb windows of DNA, spanning 640 kb, and produces one representation </w:t>
      </w:r>
      <w:r>
        <w:rPr>
          <w:rFonts w:ascii="Times New Roman" w:cs="Times New Roman" w:eastAsia="Times New Roman" w:hAnsi="Times New Roman"/>
          <w:i/>
          <w:iCs/>
          <w:sz w:val="22"/>
          <w:szCs w:val="22"/>
        </w:rPr>
        <w:t xml:space="preserve">z</w:t>
      </w:r>
      <w:r>
        <w:rPr>
          <w:rFonts w:ascii="Times New Roman" w:cs="Times New Roman" w:eastAsia="Times New Roman" w:hAnsi="Times New Roman"/>
          <w:i/>
          <w:iCs/>
          <w:sz w:val="22"/>
          <w:szCs w:val="22"/>
          <w:vertAlign w:val="subscript"/>
        </w:rPr>
        <w:t xml:space="preserve">i</w:t>
      </w:r>
      <w:r>
        <w:rPr>
          <w:rFonts w:ascii="Times New Roman" w:cs="Times New Roman" w:eastAsia="Times New Roman" w:hAnsi="Times New Roman"/>
          <w:sz w:val="22"/>
          <w:szCs w:val="22"/>
        </w:rPr>
        <w:t xml:space="preserve"> per window (Figure 1). It is organised as two input streams that meet in a contact-conditioned attention stage.</w:t>
      </w:r>
    </w:p>
    <w:p>
      <w:pPr>
        <w:spacing w:after="120" w:line="276"/>
        <w:jc w:val="both"/>
      </w:pPr>
      <w:r>
        <w:rPr>
          <w:rFonts w:ascii="Times New Roman" w:cs="Times New Roman" w:eastAsia="Times New Roman" w:hAnsi="Times New Roman"/>
          <w:i/>
          <w:iCs/>
          <w:sz w:val="22"/>
          <w:szCs w:val="22"/>
        </w:rPr>
        <w:t xml:space="preserve">Sequence stream.</w:t>
      </w:r>
      <w:r>
        <w:rPr>
          <w:rFonts w:ascii="Times New Roman" w:cs="Times New Roman" w:eastAsia="Times New Roman" w:hAnsi="Times New Roman"/>
          <w:sz w:val="22"/>
          <w:szCs w:val="22"/>
        </w:rPr>
        <w:t xml:space="preserve"> Each 5 kb window is encoded independently, by a convolutional tower followed by a bidirectional state-space encoder, into one vector </w:t>
      </w:r>
      <w:r>
        <w:rPr>
          <w:rFonts w:ascii="Times New Roman" w:cs="Times New Roman" w:eastAsia="Times New Roman" w:hAnsi="Times New Roman"/>
          <w:i/>
          <w:iCs/>
          <w:sz w:val="22"/>
          <w:szCs w:val="22"/>
        </w:rPr>
        <w:t xml:space="preserve">h</w:t>
      </w:r>
      <w:r>
        <w:rPr>
          <w:rFonts w:ascii="Times New Roman" w:cs="Times New Roman" w:eastAsia="Times New Roman" w:hAnsi="Times New Roman"/>
          <w:i/>
          <w:iCs/>
          <w:sz w:val="22"/>
          <w:szCs w:val="22"/>
          <w:vertAlign w:val="subscript"/>
        </w:rPr>
        <w:t xml:space="preserve">i</w:t>
      </w:r>
      <w:r>
        <w:rPr>
          <w:rFonts w:ascii="Times New Roman" w:cs="Times New Roman" w:eastAsia="Times New Roman" w:hAnsi="Times New Roman"/>
          <w:sz w:val="22"/>
          <w:szCs w:val="22"/>
        </w:rPr>
        <w:t xml:space="preserve"> (Section 3.4). No information crosses windows at this stage.</w:t>
      </w:r>
    </w:p>
    <w:p>
      <w:pPr>
        <w:spacing w:after="120" w:line="276"/>
        <w:jc w:val="both"/>
      </w:pPr>
      <w:r>
        <w:rPr>
          <w:rFonts w:ascii="Times New Roman" w:cs="Times New Roman" w:eastAsia="Times New Roman" w:hAnsi="Times New Roman"/>
          <w:i/>
          <w:iCs/>
          <w:sz w:val="22"/>
          <w:szCs w:val="22"/>
        </w:rPr>
        <w:t xml:space="preserve">Structure stream (training only).</w:t>
      </w:r>
      <w:r>
        <w:rPr>
          <w:rFonts w:ascii="Times New Roman" w:cs="Times New Roman" w:eastAsia="Times New Roman" w:hAnsi="Times New Roman"/>
          <w:sz w:val="22"/>
          <w:szCs w:val="22"/>
        </w:rPr>
        <w:t xml:space="preserve"> The same windows become the nodes of a graph. Each window is connected to its neighbours within ±3 windows and to its 16 strongest distal contact partners at least 25 kb away, where contact strength is first corrected for genomic distance (Sections 3.2 and 3.3). Of the distal edges, 15% are withheld from the graph and used only as prediction targets. This stream is not a second encoder whose output is merged with the sequence stream; Hi-C acts only by steering attention.</w:t>
      </w:r>
    </w:p>
    <w:p>
      <w:pPr>
        <w:spacing w:after="120" w:line="276"/>
        <w:jc w:val="both"/>
      </w:pPr>
      <w:r>
        <w:rPr>
          <w:rFonts w:ascii="Times New Roman" w:cs="Times New Roman" w:eastAsia="Times New Roman" w:hAnsi="Times New Roman"/>
          <w:i/>
          <w:iCs/>
          <w:sz w:val="22"/>
          <w:szCs w:val="22"/>
        </w:rPr>
        <w:t xml:space="preserve">Contact-conditioned attention.</w:t>
      </w:r>
      <w:r>
        <w:rPr>
          <w:rFonts w:ascii="Times New Roman" w:cs="Times New Roman" w:eastAsia="Times New Roman" w:hAnsi="Times New Roman"/>
          <w:sz w:val="22"/>
          <w:szCs w:val="22"/>
        </w:rPr>
        <w:t xml:space="preserve"> The model then decides how much each window should use information from each other window. In a standard Transformer this depends only on learned sequence features. Here, attention runs only along graph edges, and each edge's measured contact strength and genomic separation add a learned bias to its attention logit, so Hi-C decides both which windows exchange information and how strongly (Section 3.5).</w:t>
      </w:r>
    </w:p>
    <w:p>
      <w:pPr>
        <w:spacing w:after="120" w:line="276"/>
        <w:jc w:val="both"/>
      </w:pPr>
      <w:r>
        <w:rPr>
          <w:rFonts w:ascii="Times New Roman" w:cs="Times New Roman" w:eastAsia="Times New Roman" w:hAnsi="Times New Roman"/>
          <w:i/>
          <w:iCs/>
          <w:sz w:val="22"/>
          <w:szCs w:val="22"/>
        </w:rPr>
        <w:t xml:space="preserve">Hi-C-free use.</w:t>
      </w:r>
      <w:r>
        <w:rPr>
          <w:rFonts w:ascii="Times New Roman" w:cs="Times New Roman" w:eastAsia="Times New Roman" w:hAnsi="Times New Roman"/>
          <w:sz w:val="22"/>
          <w:szCs w:val="22"/>
        </w:rPr>
        <w:t xml:space="preserve"> Structure dropout and structure distillation train the model to produce its representation from DNA alone (Section 3.6), so Hi-C is needed only during training. This matters for two reasons: contact maps exist for few cell types and for no user-supplied sequence, and comparing models with Hi-C removed is the only setting in which a gain can be attributed to what training stored in the weights rather than to information supplied at inference. Four objectives train the model end to end (Section 3.7); Section 3.8 defines the controls and the evaluation protocol, and Section 3.9 gives implementation details.</w:t>
      </w:r>
    </w:p>
    <w:p>
      <w:pPr>
        <w:keepNext/>
        <w:spacing w:after="60" w:before="160"/>
        <w:jc w:val="center"/>
      </w:pPr>
      <w:r>
        <w:drawing>
          <wp:inline distT="0" distB="0" distL="0" distR="0">
            <wp:extent cx="5734050" cy="3400425"/>
            <wp:effectExtent t="0" r="0" b="0" l="0"/>
            <wp:docPr id="1" name="overview" descr="Overview of ChromGraphFM. Top: each 5 kb DNA window is encoded independently by a convolutional tower and a bidirectional state-space model into h_i. Bottom: distance-detrended Hi-C contacts define a sparse graph (local and top-k distal edges), from which a fraction of distal edges is withheld as targets. Middle: contact-biased attention propagates information over graph edges only, with the measured strength and separation entering the attention logit through a learned edge bias. A second pass over the same encoder outputs with the distal graph removed gives the Hi-C-free representation z^mathrmfree_i, which is distilled toward z_i. Hi-C is used only during training; at inference the model runs from sequence alone."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34050" cy="3400425"/>
                    </a:xfrm>
                    <a:prstGeom prst="rect">
                      <a:avLst/>
                    </a:prstGeom>
                  </pic:spPr>
                </pic:pic>
              </a:graphicData>
            </a:graphic>
          </wp:inline>
        </w:drawing>
      </w:r>
    </w:p>
    <w:p>
      <w:pPr>
        <w:spacing w:after="200" w:line="240"/>
        <w:jc w:val="both"/>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b/>
          <w:bCs/>
          <w:sz w:val="18"/>
          <w:szCs w:val="18"/>
        </w:rPr>
        <w:t xml:space="preserve">Overview of ChromGraphFM.</w:t>
      </w:r>
      <w:r>
        <w:rPr>
          <w:rFonts w:ascii="Times New Roman" w:cs="Times New Roman" w:eastAsia="Times New Roman" w:hAnsi="Times New Roman"/>
          <w:sz w:val="18"/>
          <w:szCs w:val="18"/>
        </w:rPr>
        <w:t xml:space="preserve"> Top: each 5 kb DNA window is encoded independently by a convolutional tower and a bidirectional state-space model into </w:t>
      </w:r>
      <w:r>
        <w:rPr>
          <w:rFonts w:ascii="Times New Roman" w:cs="Times New Roman" w:eastAsia="Times New Roman" w:hAnsi="Times New Roman"/>
          <w:i/>
          <w:iCs/>
          <w:sz w:val="18"/>
          <w:szCs w:val="18"/>
        </w:rPr>
        <w:t xml:space="preserve">h</w:t>
      </w:r>
      <w:r>
        <w:rPr>
          <w:rFonts w:ascii="Times New Roman" w:cs="Times New Roman" w:eastAsia="Times New Roman" w:hAnsi="Times New Roman"/>
          <w:i/>
          <w:iCs/>
          <w:sz w:val="18"/>
          <w:szCs w:val="18"/>
          <w:vertAlign w:val="subscript"/>
        </w:rPr>
        <w:t xml:space="preserve">i</w:t>
      </w:r>
      <w:r>
        <w:rPr>
          <w:rFonts w:ascii="Times New Roman" w:cs="Times New Roman" w:eastAsia="Times New Roman" w:hAnsi="Times New Roman"/>
          <w:sz w:val="18"/>
          <w:szCs w:val="18"/>
        </w:rPr>
        <w:t xml:space="preserve">. Bottom: distance-detrended Hi-C contacts define a sparse graph (local and top-k distal edges), from which a fraction of distal edges is withheld as targets. Middle: contact-biased attention propagates information over graph edges only, with the measured strength and separation entering the attention logit through a learned edge bias. A second pass over the same encoder outputs with the distal graph removed gives the Hi-C-free representation </w:t>
      </w:r>
      <w:r>
        <w:rPr>
          <w:rFonts w:ascii="Times New Roman" w:cs="Times New Roman" w:eastAsia="Times New Roman" w:hAnsi="Times New Roman"/>
          <w:i/>
          <w:iCs/>
          <w:sz w:val="18"/>
          <w:szCs w:val="18"/>
        </w:rPr>
        <w:t xml:space="preserve">z</w:t>
      </w:r>
      <w:r>
        <w:rPr>
          <w:rFonts w:ascii="Times New Roman" w:cs="Times New Roman" w:eastAsia="Times New Roman" w:hAnsi="Times New Roman"/>
          <w:sz w:val="18"/>
          <w:szCs w:val="18"/>
          <w:vertAlign w:val="superscript"/>
        </w:rPr>
        <w:t xml:space="preserve">free</w:t>
      </w:r>
      <w:r>
        <w:rPr>
          <w:rFonts w:ascii="Times New Roman" w:cs="Times New Roman" w:eastAsia="Times New Roman" w:hAnsi="Times New Roman"/>
          <w:i/>
          <w:iCs/>
          <w:sz w:val="18"/>
          <w:szCs w:val="18"/>
          <w:vertAlign w:val="subscript"/>
        </w:rPr>
        <w:t xml:space="preserve">i</w:t>
      </w:r>
      <w:r>
        <w:rPr>
          <w:rFonts w:ascii="Times New Roman" w:cs="Times New Roman" w:eastAsia="Times New Roman" w:hAnsi="Times New Roman"/>
          <w:sz w:val="18"/>
          <w:szCs w:val="18"/>
        </w:rPr>
        <w:t xml:space="preserve">, which is distilled toward </w:t>
      </w:r>
      <w:r>
        <w:rPr>
          <w:rFonts w:ascii="Times New Roman" w:cs="Times New Roman" w:eastAsia="Times New Roman" w:hAnsi="Times New Roman"/>
          <w:i/>
          <w:iCs/>
          <w:sz w:val="18"/>
          <w:szCs w:val="18"/>
        </w:rPr>
        <w:t xml:space="preserve">z</w:t>
      </w:r>
      <w:r>
        <w:rPr>
          <w:rFonts w:ascii="Times New Roman" w:cs="Times New Roman" w:eastAsia="Times New Roman" w:hAnsi="Times New Roman"/>
          <w:i/>
          <w:iCs/>
          <w:sz w:val="18"/>
          <w:szCs w:val="18"/>
          <w:vertAlign w:val="subscript"/>
        </w:rPr>
        <w:t xml:space="preserve">i</w:t>
      </w:r>
      <w:r>
        <w:rPr>
          <w:rFonts w:ascii="Times New Roman" w:cs="Times New Roman" w:eastAsia="Times New Roman" w:hAnsi="Times New Roman"/>
          <w:sz w:val="18"/>
          <w:szCs w:val="18"/>
        </w:rPr>
        <w:t xml:space="preserve">. Hi-C is used only during training; at inference the model runs from sequence alone.</w:t>
      </w:r>
    </w:p>
    <w:p>
      <w:pPr>
        <w:pStyle w:val="Heading2"/>
        <w:spacing w:after="80" w:before="200"/>
      </w:pPr>
      <w:r>
        <w:rPr>
          <w:rFonts w:ascii="Times New Roman" w:cs="Times New Roman" w:eastAsia="Times New Roman" w:hAnsi="Times New Roman"/>
          <w:b/>
          <w:bCs/>
          <w:sz w:val="22"/>
          <w:szCs w:val="22"/>
        </w:rPr>
        <w:t xml:space="preserve">3.2  Data and contact processing</w:t>
      </w:r>
    </w:p>
    <w:p>
      <w:pPr>
        <w:spacing w:after="120" w:line="276"/>
        <w:jc w:val="both"/>
      </w:pPr>
      <w:r>
        <w:rPr>
          <w:rFonts w:ascii="Times New Roman" w:cs="Times New Roman" w:eastAsia="Times New Roman" w:hAnsi="Times New Roman"/>
          <w:sz w:val="22"/>
          <w:szCs w:val="22"/>
        </w:rPr>
        <w:t xml:space="preserve">We use the GM12878 lymphoblastoid in situ Hi-C map (MboI; 72 combined experiments) [8], obtained from the 4D Nucleome Data Portal [37,38] (experiment set 4DNES3JX38V5, file 4DNFIXP4QG5B) as an iteratively corrected [39] multi-resolution cooler file and used at 5 kb resolution, together with the hg38 reference genome. Each 5 kb bin is one window: its sequence is stored as a 5,000-symbol string over {A, C, G, T, N}, and it is marked usable when at most half of its bases are N and its balanced coverage is non-zero. Contacts involving an unusable bin are discarded.</w:t>
      </w:r>
    </w:p>
    <w:p>
      <w:pPr>
        <w:spacing w:after="120" w:line="276"/>
        <w:jc w:val="both"/>
      </w:pPr>
      <w:r>
        <w:rPr>
          <w:rFonts w:ascii="Times New Roman" w:cs="Times New Roman" w:eastAsia="Times New Roman" w:hAnsi="Times New Roman"/>
          <w:sz w:val="22"/>
          <w:szCs w:val="22"/>
        </w:rPr>
        <w:t xml:space="preserve">Raw contact frequency is dominated by genomic distance (Figure 2a): two bins 10 kb apart touch far more often than two bins 500 kb apart, irrespective of any specific interaction. Selecting contacts on raw frequency would therefore return nearest neighbours and teach the model distance rather than structure. We detrend each balanced contact </w:t>
      </w:r>
      <w:r>
        <w:rPr>
          <w:rFonts w:ascii="Times New Roman" w:cs="Times New Roman" w:eastAsia="Times New Roman" w:hAnsi="Times New Roman"/>
          <w:i/>
          <w:iCs/>
          <w:sz w:val="22"/>
          <w:szCs w:val="22"/>
        </w:rPr>
        <w:t xml:space="preserve">M</w:t>
      </w:r>
      <w:r>
        <w:rPr>
          <w:rFonts w:ascii="Times New Roman" w:cs="Times New Roman" w:eastAsia="Times New Roman" w:hAnsi="Times New Roman"/>
          <w:i/>
          <w:iCs/>
          <w:sz w:val="22"/>
          <w:szCs w:val="22"/>
          <w:vertAlign w:val="subscript"/>
        </w:rPr>
        <w:t xml:space="preserve">ij</w:t>
      </w:r>
      <w:r>
        <w:rPr>
          <w:rFonts w:ascii="Times New Roman" w:cs="Times New Roman" w:eastAsia="Times New Roman" w:hAnsi="Times New Roman"/>
          <w:sz w:val="22"/>
          <w:szCs w:val="22"/>
        </w:rPr>
        <w:t xml:space="preserve"> by the expected contact at its separation </w:t>
      </w:r>
      <w:r>
        <w:rPr>
          <w:rFonts w:ascii="Times New Roman" w:cs="Times New Roman" w:eastAsia="Times New Roman" w:hAnsi="Times New Roman"/>
          <w:i/>
          <w:iCs/>
          <w:sz w:val="22"/>
          <w:szCs w:val="22"/>
        </w:rPr>
        <w:t xml:space="preserve">s</w:t>
      </w:r>
      <w:r>
        <w:rPr>
          <w:rFonts w:ascii="Times New Roman" w:cs="Times New Roman" w:eastAsia="Times New Roman" w:hAnsi="Times New Roman"/>
          <w:sz w:val="22"/>
          <w:szCs w:val="22"/>
        </w:rPr>
        <w:t xml:space="preserve"> =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 </w:t>
      </w:r>
      <w:r>
        <w:rPr>
          <w:rFonts w:ascii="Times New Roman" w:cs="Times New Roman" w:eastAsia="Times New Roman" w:hAnsi="Times New Roman"/>
          <w:i/>
          <w:iCs/>
          <w:sz w:val="22"/>
          <w:szCs w:val="22"/>
        </w:rPr>
        <w:t xml:space="preserve">j</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and map the observed-over-expected ratio to a bounded strength:</w:t>
      </w:r>
    </w:p>
    <w:p>
      <w:pPr>
        <w:tabs>
          <w:tab w:val="center" w:pos="4514"/>
          <w:tab w:val="right" w:pos="9026"/>
        </w:tabs>
        <w:spacing w:after="100" w:before="100"/>
      </w:pPr>
      <w:r>
        <w:rPr>
          <w:rFonts w:ascii="Times New Roman" w:cs="Times New Roman" w:eastAsia="Times New Roman" w:hAnsi="Times New Roman"/>
          <w:sz w:val="22"/>
          <w:szCs w:val="22"/>
        </w:rPr>
        <w:t xml:space="preserve">	</w:t>
      </w:r>
      <w:r>
        <w:drawing>
          <wp:inline distT="0" distB="0" distL="0" distR="0">
            <wp:extent cx="4333875" cy="371475"/>
            <wp:effectExtent t="0" r="0" b="0" l="0"/>
            <wp:docPr id="2" name="eq_expected" descr="expected" title="Equatio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33875" cy="371475"/>
                    </a:xfrm>
                    <a:prstGeom prst="rect">
                      <a:avLst/>
                    </a:prstGeom>
                  </pic:spPr>
                </pic:pic>
              </a:graphicData>
            </a:graphic>
          </wp:inline>
        </w:drawing>
      </w:r>
      <w:r>
        <w:rPr>
          <w:rFonts w:ascii="Times New Roman" w:cs="Times New Roman" w:eastAsia="Times New Roman" w:hAnsi="Times New Roman"/>
          <w:sz w:val="22"/>
          <w:szCs w:val="22"/>
        </w:rPr>
        <w:t xml:space="preserve">	(1)</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V</w:t>
      </w:r>
      <w:r>
        <w:rPr>
          <w:rFonts w:ascii="Times New Roman" w:cs="Times New Roman" w:eastAsia="Times New Roman" w:hAnsi="Times New Roman"/>
          <w:i/>
          <w:iCs/>
          <w:sz w:val="22"/>
          <w:szCs w:val="22"/>
          <w:vertAlign w:val="subscript"/>
        </w:rPr>
        <w:t xml:space="preserve">s</w:t>
      </w:r>
      <w:r>
        <w:rPr>
          <w:rFonts w:ascii="Times New Roman" w:cs="Times New Roman" w:eastAsia="Times New Roman" w:hAnsi="Times New Roman"/>
          <w:sz w:val="22"/>
          <w:szCs w:val="22"/>
        </w:rPr>
        <w:t xml:space="preserve"> is the set of all bin pairs at separation </w:t>
      </w:r>
      <w:r>
        <w:rPr>
          <w:rFonts w:ascii="Times New Roman" w:cs="Times New Roman" w:eastAsia="Times New Roman" w:hAnsi="Times New Roman"/>
          <w:i/>
          <w:iCs/>
          <w:sz w:val="22"/>
          <w:szCs w:val="22"/>
        </w:rPr>
        <w:t xml:space="preserve">s</w:t>
      </w:r>
      <w:r>
        <w:rPr>
          <w:rFonts w:ascii="Times New Roman" w:cs="Times New Roman" w:eastAsia="Times New Roman" w:hAnsi="Times New Roman"/>
          <w:sz w:val="22"/>
          <w:szCs w:val="22"/>
        </w:rPr>
        <w:t xml:space="preserve"> whose two bins are both usable. Counting unobserved but valid pairs as zero contacts is essential: averaging only the pixels that happen to be observed overestimates </w:t>
      </w:r>
      <w:r>
        <w:rPr>
          <w:rFonts w:ascii="Times New Roman" w:cs="Times New Roman" w:eastAsia="Times New Roman" w:hAnsi="Times New Roman"/>
          <w:i/>
          <w:iCs/>
          <w:sz w:val="22"/>
          <w:szCs w:val="22"/>
        </w:rPr>
        <w:t xml:space="preserve">E</w:t>
      </w:r>
      <w:r>
        <w:rPr>
          <w:rFonts w:ascii="Times New Roman" w:cs="Times New Roman" w:eastAsia="Times New Roman" w:hAnsi="Times New Roman"/>
          <w:sz w:val="22"/>
          <w:szCs w:val="22"/>
        </w:rPr>
        <w:t xml:space="preserve">(</w:t>
      </w:r>
      <w:r>
        <w:rPr>
          <w:rFonts w:ascii="Times New Roman" w:cs="Times New Roman" w:eastAsia="Times New Roman" w:hAnsi="Times New Roman"/>
          <w:i/>
          <w:iCs/>
          <w:sz w:val="22"/>
          <w:szCs w:val="22"/>
        </w:rPr>
        <w:t xml:space="preserve">s</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at long range, where the map is sparse, and biases the strength downward precisely at the separations that matter most. With this denominator the strength is centred on </w:t>
      </w:r>
      <w:r>
        <w:rPr>
          <w:rFonts w:ascii="Times New Roman" w:cs="Times New Roman" w:eastAsia="Times New Roman" w:hAnsi="Times New Roman"/>
          <w:i/>
          <w:iCs/>
          <w:sz w:val="22"/>
          <w:szCs w:val="22"/>
        </w:rPr>
        <w:t xml:space="preserve">c</w:t>
      </w:r>
      <w:r>
        <w:rPr>
          <w:rFonts w:ascii="Times New Roman" w:cs="Times New Roman" w:eastAsia="Times New Roman" w:hAnsi="Times New Roman"/>
          <w:i/>
          <w:iCs/>
          <w:sz w:val="22"/>
          <w:szCs w:val="22"/>
          <w:vertAlign w:val="subscript"/>
        </w:rPr>
        <w:t xml:space="preserve">ij</w:t>
      </w:r>
      <w:r>
        <w:rPr>
          <w:rFonts w:ascii="Times New Roman" w:cs="Times New Roman" w:eastAsia="Times New Roman" w:hAnsi="Times New Roman"/>
          <w:sz w:val="22"/>
          <w:szCs w:val="22"/>
        </w:rPr>
        <w:t xml:space="preserve"> = 0.5</w:t>
      </w:r>
      <w:r>
        <w:rPr>
          <w:rFonts w:ascii="Times New Roman" w:cs="Times New Roman" w:eastAsia="Times New Roman" w:hAnsi="Times New Roman"/>
          <w:sz w:val="22"/>
          <w:szCs w:val="22"/>
        </w:rPr>
        <w:t xml:space="preserve">, which corresponds to </w:t>
      </w:r>
      <w:r>
        <w:rPr>
          <w:rFonts w:ascii="Times New Roman" w:cs="Times New Roman" w:eastAsia="Times New Roman" w:hAnsi="Times New Roman"/>
          <w:sz w:val="22"/>
          <w:szCs w:val="22"/>
        </w:rPr>
        <w:t xml:space="preserve">O/E</w:t>
      </w:r>
      <w:r>
        <w:rPr>
          <w:rFonts w:ascii="Times New Roman" w:cs="Times New Roman" w:eastAsia="Times New Roman" w:hAnsi="Times New Roman"/>
          <w:sz w:val="22"/>
          <w:szCs w:val="22"/>
        </w:rPr>
        <w:t xml:space="preserve"> = 1</w:t>
      </w:r>
      <w:r>
        <w:rPr>
          <w:rFonts w:ascii="Times New Roman" w:cs="Times New Roman" w:eastAsia="Times New Roman" w:hAnsi="Times New Roman"/>
          <w:sz w:val="22"/>
          <w:szCs w:val="22"/>
        </w:rPr>
        <w:t xml:space="preserve">, at every separation (Figure 2b), so </w:t>
      </w:r>
      <w:r>
        <w:rPr>
          <w:rFonts w:ascii="Times New Roman" w:cs="Times New Roman" w:eastAsia="Times New Roman" w:hAnsi="Times New Roman"/>
          <w:i/>
          <w:iCs/>
          <w:sz w:val="22"/>
          <w:szCs w:val="22"/>
        </w:rPr>
        <w:t xml:space="preserve">c</w:t>
      </w:r>
      <w:r>
        <w:rPr>
          <w:rFonts w:ascii="Times New Roman" w:cs="Times New Roman" w:eastAsia="Times New Roman" w:hAnsi="Times New Roman"/>
          <w:i/>
          <w:iCs/>
          <w:sz w:val="22"/>
          <w:szCs w:val="22"/>
          <w:vertAlign w:val="subscript"/>
        </w:rPr>
        <w:t xml:space="preserve">ij</w:t>
      </w:r>
      <w:r>
        <w:rPr>
          <w:rFonts w:ascii="Times New Roman" w:cs="Times New Roman" w:eastAsia="Times New Roman" w:hAnsi="Times New Roman"/>
          <w:sz w:val="22"/>
          <w:szCs w:val="22"/>
        </w:rPr>
        <w:t xml:space="preserve"> &gt; 0.5</w:t>
      </w:r>
      <w:r>
        <w:rPr>
          <w:rFonts w:ascii="Times New Roman" w:cs="Times New Roman" w:eastAsia="Times New Roman" w:hAnsi="Times New Roman"/>
          <w:sz w:val="22"/>
          <w:szCs w:val="22"/>
        </w:rPr>
        <w:t xml:space="preserve"> marks contact enriched beyond what distance alone predicts.</w:t>
      </w:r>
    </w:p>
    <w:p>
      <w:pPr>
        <w:keepNext/>
        <w:spacing w:after="60" w:before="160"/>
        <w:jc w:val="center"/>
      </w:pPr>
      <w:r>
        <w:drawing>
          <wp:inline distT="0" distB="0" distL="0" distR="0">
            <wp:extent cx="5734050" cy="2400300"/>
            <wp:effectExtent t="0" r="0" b="0" l="0"/>
            <wp:docPr id="3" name="detrend" descr="Distance detrending of GM12878 Hi-C at 5 kb. (a) The expected balanced contact P(s) decays by roughly two orders of magnitude between 5 kb and 500 kb on every chromosome, so raw frequency is dominated by separation. (b) After detrending, the strength c_ij of both near (&lt;25 kb) and distal (≥25 kb) pixels is centred on 0.5 (mathrmO/E = 1; dashed), and the top-k distal edges selected for the graph form its enriched upper tail. Panel b shows chr20 and the edges of the sample in fig:sample."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4050" cy="2400300"/>
                    </a:xfrm>
                    <a:prstGeom prst="rect">
                      <a:avLst/>
                    </a:prstGeom>
                  </pic:spPr>
                </pic:pic>
              </a:graphicData>
            </a:graphic>
          </wp:inline>
        </w:drawing>
      </w:r>
    </w:p>
    <w:p>
      <w:pPr>
        <w:spacing w:after="200" w:line="240"/>
        <w:jc w:val="both"/>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b/>
          <w:bCs/>
          <w:sz w:val="18"/>
          <w:szCs w:val="18"/>
        </w:rPr>
        <w:t xml:space="preserve">Distance detrending of GM12878 Hi-C at 5 kb.</w:t>
      </w:r>
      <w:r>
        <w:rPr>
          <w:rFonts w:ascii="Times New Roman" w:cs="Times New Roman" w:eastAsia="Times New Roman" w:hAnsi="Times New Roman"/>
          <w:sz w:val="18"/>
          <w:szCs w:val="18"/>
        </w:rPr>
        <w:t xml:space="preserve"> (a) The expected balanced contact </w:t>
      </w:r>
      <w:r>
        <w:rPr>
          <w:rFonts w:ascii="Times New Roman" w:cs="Times New Roman" w:eastAsia="Times New Roman" w:hAnsi="Times New Roman"/>
          <w:i/>
          <w:iCs/>
          <w:sz w:val="18"/>
          <w:szCs w:val="18"/>
        </w:rPr>
        <w:t xml:space="preserve">P</w:t>
      </w:r>
      <w:r>
        <w:rPr>
          <w:rFonts w:ascii="Times New Roman" w:cs="Times New Roman" w:eastAsia="Times New Roman" w:hAnsi="Times New Roman"/>
          <w:sz w:val="18"/>
          <w:szCs w:val="18"/>
        </w:rPr>
        <w:t xml:space="preserve">(</w:t>
      </w:r>
      <w:r>
        <w:rPr>
          <w:rFonts w:ascii="Times New Roman" w:cs="Times New Roman" w:eastAsia="Times New Roman" w:hAnsi="Times New Roman"/>
          <w:i/>
          <w:iCs/>
          <w:sz w:val="18"/>
          <w:szCs w:val="18"/>
        </w:rPr>
        <w:t xml:space="preserve">s</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decays by roughly two orders of magnitude between 5 kb and 500 kb on every chromosome, so raw frequency is dominated by separation. (b) After detrending, the strength </w:t>
      </w:r>
      <w:r>
        <w:rPr>
          <w:rFonts w:ascii="Times New Roman" w:cs="Times New Roman" w:eastAsia="Times New Roman" w:hAnsi="Times New Roman"/>
          <w:i/>
          <w:iCs/>
          <w:sz w:val="18"/>
          <w:szCs w:val="18"/>
        </w:rPr>
        <w:t xml:space="preserve">c</w:t>
      </w:r>
      <w:r>
        <w:rPr>
          <w:rFonts w:ascii="Times New Roman" w:cs="Times New Roman" w:eastAsia="Times New Roman" w:hAnsi="Times New Roman"/>
          <w:i/>
          <w:iCs/>
          <w:sz w:val="18"/>
          <w:szCs w:val="18"/>
          <w:vertAlign w:val="subscript"/>
        </w:rPr>
        <w:t xml:space="preserve">ij</w:t>
      </w:r>
      <w:r>
        <w:rPr>
          <w:rFonts w:ascii="Times New Roman" w:cs="Times New Roman" w:eastAsia="Times New Roman" w:hAnsi="Times New Roman"/>
          <w:sz w:val="18"/>
          <w:szCs w:val="18"/>
        </w:rPr>
        <w:t xml:space="preserve"> of both near (&lt;25 kb) and distal (≥25 kb) pixels is centred on 0.5 (</w:t>
      </w:r>
      <w:r>
        <w:rPr>
          <w:rFonts w:ascii="Times New Roman" w:cs="Times New Roman" w:eastAsia="Times New Roman" w:hAnsi="Times New Roman"/>
          <w:sz w:val="18"/>
          <w:szCs w:val="18"/>
        </w:rPr>
        <w:t xml:space="preserve">O/E</w:t>
      </w:r>
      <w:r>
        <w:rPr>
          <w:rFonts w:ascii="Times New Roman" w:cs="Times New Roman" w:eastAsia="Times New Roman" w:hAnsi="Times New Roman"/>
          <w:sz w:val="18"/>
          <w:szCs w:val="18"/>
        </w:rPr>
        <w:t xml:space="preserve"> = 1</w:t>
      </w:r>
      <w:r>
        <w:rPr>
          <w:rFonts w:ascii="Times New Roman" w:cs="Times New Roman" w:eastAsia="Times New Roman" w:hAnsi="Times New Roman"/>
          <w:sz w:val="18"/>
          <w:szCs w:val="18"/>
        </w:rPr>
        <w:t xml:space="preserve">; dashed), and the top-k distal edges selected for the graph form its enriched upper tail. Panel b shows chr20 and the edges of the sample in Figure 3.</w:t>
      </w:r>
    </w:p>
    <w:p>
      <w:pPr>
        <w:pStyle w:val="Heading2"/>
        <w:spacing w:after="80" w:before="200"/>
      </w:pPr>
      <w:r>
        <w:rPr>
          <w:rFonts w:ascii="Times New Roman" w:cs="Times New Roman" w:eastAsia="Times New Roman" w:hAnsi="Times New Roman"/>
          <w:b/>
          <w:bCs/>
          <w:sz w:val="22"/>
          <w:szCs w:val="22"/>
        </w:rPr>
        <w:t xml:space="preserve">3.3  Sparse contact graph with held-out targets</w:t>
      </w:r>
    </w:p>
    <w:p>
      <w:pPr>
        <w:spacing w:after="120" w:line="276"/>
        <w:jc w:val="both"/>
      </w:pPr>
      <w:r>
        <w:rPr>
          <w:rFonts w:ascii="Times New Roman" w:cs="Times New Roman" w:eastAsia="Times New Roman" w:hAnsi="Times New Roman"/>
          <w:sz w:val="22"/>
          <w:szCs w:val="22"/>
        </w:rPr>
        <w:t xml:space="preserve">A training sample is a run of </w:t>
      </w:r>
      <w:r>
        <w:rPr>
          <w:rFonts w:ascii="Times New Roman" w:cs="Times New Roman" w:eastAsia="Times New Roman" w:hAnsi="Times New Roman"/>
          <w:i/>
          <w:iCs/>
          <w:sz w:val="22"/>
          <w:szCs w:val="22"/>
        </w:rPr>
        <w:t xml:space="preserve">N</w:t>
      </w:r>
      <w:r>
        <w:rPr>
          <w:rFonts w:ascii="Times New Roman" w:cs="Times New Roman" w:eastAsia="Times New Roman" w:hAnsi="Times New Roman"/>
          <w:sz w:val="22"/>
          <w:szCs w:val="22"/>
        </w:rPr>
        <w:t xml:space="preserve"> = 128</w:t>
      </w:r>
      <w:r>
        <w:rPr>
          <w:rFonts w:ascii="Times New Roman" w:cs="Times New Roman" w:eastAsia="Times New Roman" w:hAnsi="Times New Roman"/>
          <w:sz w:val="22"/>
          <w:szCs w:val="22"/>
        </w:rPr>
        <w:t xml:space="preserve"> consecutive windows with at least 60% usable windows, and its graph has two kinds of edge (Figure 3a, b). </w:t>
      </w:r>
      <w:r>
        <w:rPr>
          <w:rFonts w:ascii="Times New Roman" w:cs="Times New Roman" w:eastAsia="Times New Roman" w:hAnsi="Times New Roman"/>
          <w:i/>
          <w:iCs/>
          <w:sz w:val="22"/>
          <w:szCs w:val="22"/>
        </w:rPr>
        <w:t xml:space="preserve">Local edges</w:t>
      </w:r>
      <w:r>
        <w:rPr>
          <w:rFonts w:ascii="Times New Roman" w:cs="Times New Roman" w:eastAsia="Times New Roman" w:hAnsi="Times New Roman"/>
          <w:sz w:val="22"/>
          <w:szCs w:val="22"/>
        </w:rPr>
        <w:t xml:space="preserve"> connect each window to its neighbours within ±3 windows and are always present; they carry the measured strength where a pixel exists and a neutral 0.5 otherwise, so the sequential backbone is never broken by a missing measurement. </w:t>
      </w:r>
      <w:r>
        <w:rPr>
          <w:rFonts w:ascii="Times New Roman" w:cs="Times New Roman" w:eastAsia="Times New Roman" w:hAnsi="Times New Roman"/>
          <w:i/>
          <w:iCs/>
          <w:sz w:val="22"/>
          <w:szCs w:val="22"/>
        </w:rPr>
        <w:t xml:space="preserve">Distal edges</w:t>
      </w:r>
      <w:r>
        <w:rPr>
          <w:rFonts w:ascii="Times New Roman" w:cs="Times New Roman" w:eastAsia="Times New Roman" w:hAnsi="Times New Roman"/>
          <w:sz w:val="22"/>
          <w:szCs w:val="22"/>
        </w:rPr>
        <w:t xml:space="preserve"> connect windows at least 5 windows (25 kb) apart: for each window we keep its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 = 16</w:t>
      </w:r>
      <w:r>
        <w:rPr>
          <w:rFonts w:ascii="Times New Roman" w:cs="Times New Roman" w:eastAsia="Times New Roman" w:hAnsi="Times New Roman"/>
          <w:sz w:val="22"/>
          <w:szCs w:val="22"/>
        </w:rPr>
        <w:t xml:space="preserve"> partners of highest detrended strength, and an edge survives if either endpoint selects it. Selecting on detrended rather than raw strength is what makes the graph structural rather than a proxy for distance.</w:t>
      </w:r>
    </w:p>
    <w:p>
      <w:pPr>
        <w:spacing w:after="120" w:line="276"/>
        <w:jc w:val="both"/>
      </w:pPr>
      <w:r>
        <w:rPr>
          <w:rFonts w:ascii="Times New Roman" w:cs="Times New Roman" w:eastAsia="Times New Roman" w:hAnsi="Times New Roman"/>
          <w:sz w:val="22"/>
          <w:szCs w:val="22"/>
        </w:rPr>
        <w:t xml:space="preserve">From the distal edges of each sample, 15% are withheld as </w:t>
      </w:r>
      <w:r>
        <w:rPr>
          <w:rFonts w:ascii="Times New Roman" w:cs="Times New Roman" w:eastAsia="Times New Roman" w:hAnsi="Times New Roman"/>
          <w:i/>
          <w:iCs/>
          <w:sz w:val="22"/>
          <w:szCs w:val="22"/>
        </w:rPr>
        <w:t xml:space="preserve">target edges</w:t>
      </w:r>
      <w:r>
        <w:rPr>
          <w:rFonts w:ascii="Times New Roman" w:cs="Times New Roman" w:eastAsia="Times New Roman" w:hAnsi="Times New Roman"/>
          <w:sz w:val="22"/>
          <w:szCs w:val="22"/>
        </w:rPr>
        <w:t xml:space="preserve">. Targets never enter the graph the encoder attends over; they are used only by the contact and contrastive objectives (Section 3.7). Without this separation, the contact objective could be solved by reading an edge's strength from the attention input and echoing it back, and its value would measure nothing. The split is drawn from a fixed control seed, independent of the training seed, so that every model and every training seed is asked about the identical set of targets.</w:t>
      </w:r>
    </w:p>
    <w:p>
      <w:pPr>
        <w:keepNext/>
        <w:spacing w:after="60" w:before="160"/>
        <w:jc w:val="center"/>
      </w:pPr>
      <w:r>
        <w:drawing>
          <wp:inline distT="0" distB="0" distL="0" distR="0">
            <wp:extent cx="5734050" cy="3914775"/>
            <wp:effectExtent t="0" r="0" b="0" l="0"/>
            <wp:docPr id="4" name="sample" descr="The contact graph of one real training sample (GM12878 chr20, 128 windows, 640 kb), produced by the same code used in training. (a) Above the diagonal, the measured detrended strength; below it, what the encoder conditions on: local edges (blue band), distal edges coloured by strength, and held-out target edges (orange), which are never attended over. (b) The same distal edges (top) and targets (bottom) drawn as arcs. (c) The distal edges each arm conditions on, with the fraction of edges shared with the full model's topology and the correlation between the strengths the arm receives and the measured strengths. B3 retains the measured topology and destroys the pairing of strengths to edges; B2 retains the topology with constant strength; B1 replaces the topology itself."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34050" cy="3914775"/>
                    </a:xfrm>
                    <a:prstGeom prst="rect">
                      <a:avLst/>
                    </a:prstGeom>
                  </pic:spPr>
                </pic:pic>
              </a:graphicData>
            </a:graphic>
          </wp:inline>
        </w:drawing>
      </w:r>
    </w:p>
    <w:p>
      <w:pPr>
        <w:spacing w:after="200" w:line="240"/>
        <w:jc w:val="both"/>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b/>
          <w:bCs/>
          <w:sz w:val="18"/>
          <w:szCs w:val="18"/>
        </w:rPr>
        <w:t xml:space="preserve">The contact graph of one real training sample</w:t>
      </w:r>
      <w:r>
        <w:rPr>
          <w:rFonts w:ascii="Times New Roman" w:cs="Times New Roman" w:eastAsia="Times New Roman" w:hAnsi="Times New Roman"/>
          <w:sz w:val="18"/>
          <w:szCs w:val="18"/>
        </w:rPr>
        <w:t xml:space="preserve"> (GM12878 chr20, 128 windows, 640 kb), produced by the same code used in training. (a) Above the diagonal, the measured detrended strength; below it, what the encoder conditions on: local edges (blue band), distal edges coloured by strength, and held-out target edges (orange), which are never attended over. (b) The same distal edges (top) and targets (bottom) drawn as arcs. (c) The distal edges each arm conditions on, with the fraction of edges shared with the full model's topology and the correlation between the strengths the arm receives and the measured strengths. B3 retains the measured topology and destroys the pairing of strengths to edges; B2 retains the topology with constant strength; B1 replaces the topology itself.</w:t>
      </w:r>
    </w:p>
    <w:p>
      <w:pPr>
        <w:pStyle w:val="Heading2"/>
        <w:spacing w:after="80" w:before="200"/>
      </w:pPr>
      <w:r>
        <w:rPr>
          <w:rFonts w:ascii="Times New Roman" w:cs="Times New Roman" w:eastAsia="Times New Roman" w:hAnsi="Times New Roman"/>
          <w:b/>
          <w:bCs/>
          <w:sz w:val="22"/>
          <w:szCs w:val="22"/>
        </w:rPr>
        <w:t xml:space="preserve">3.4  Local sequence encoder</w:t>
      </w:r>
    </w:p>
    <w:p>
      <w:pPr>
        <w:spacing w:after="120" w:line="276"/>
        <w:jc w:val="both"/>
      </w:pPr>
      <w:r>
        <w:rPr>
          <w:rFonts w:ascii="Times New Roman" w:cs="Times New Roman" w:eastAsia="Times New Roman" w:hAnsi="Times New Roman"/>
          <w:sz w:val="22"/>
          <w:szCs w:val="22"/>
        </w:rPr>
        <w:t xml:space="preserve">Each window is encoded independently into </w:t>
      </w:r>
      <w:r>
        <w:rPr>
          <w:rFonts w:ascii="Times New Roman" w:cs="Times New Roman" w:eastAsia="Times New Roman" w:hAnsi="Times New Roman"/>
          <w:i/>
          <w:iCs/>
          <w:sz w:val="22"/>
          <w:szCs w:val="22"/>
        </w:rPr>
        <w:t xml:space="preserve">h</w:t>
      </w:r>
      <w:r>
        <w:rPr>
          <w:rFonts w:ascii="Times New Roman" w:cs="Times New Roman" w:eastAsia="Times New Roman" w:hAnsi="Times New Roman"/>
          <w:i/>
          <w:iCs/>
          <w:sz w:val="22"/>
          <w:szCs w:val="22"/>
          <w:vertAlign w:val="subscript"/>
        </w:rPr>
        <w:t xml:space="preserve">i</w:t>
      </w:r>
      <w:r>
        <w:rPr>
          <w:rFonts w:ascii="Times New Roman" w:cs="Times New Roman" w:eastAsia="Times New Roman" w:hAnsi="Times New Roman"/>
          <w:sz w:val="22"/>
          <w:szCs w:val="22"/>
        </w:rPr>
        <w:t xml:space="preserve"> ∈ ℝ</w:t>
      </w:r>
      <w:r>
        <w:rPr>
          <w:rFonts w:ascii="Times New Roman" w:cs="Times New Roman" w:eastAsia="Times New Roman" w:hAnsi="Times New Roman"/>
          <w:i/>
          <w:iCs/>
          <w:sz w:val="22"/>
          <w:szCs w:val="22"/>
          <w:vertAlign w:val="superscript"/>
        </w:rPr>
        <w:t xml:space="preserve">d</w:t>
      </w:r>
      <w:r>
        <w:rPr>
          <w:rFonts w:ascii="Times New Roman" w:cs="Times New Roman" w:eastAsia="Times New Roman" w:hAnsi="Times New Roman"/>
          <w:sz w:val="22"/>
          <w:szCs w:val="22"/>
        </w:rPr>
        <w:t xml:space="preserve">, with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 = 256</w:t>
      </w:r>
      <w:r>
        <w:rPr>
          <w:rFonts w:ascii="Times New Roman" w:cs="Times New Roman" w:eastAsia="Times New Roman" w:hAnsi="Times New Roman"/>
          <w:sz w:val="22"/>
          <w:szCs w:val="22"/>
        </w:rPr>
        <w:t xml:space="preserve">, so that no information crosses windows before the graph layers. The one-hot sequence first passes through a convolutional tower: a width-15 stem followed by five residual blocks, each consisting of batch normalisation, GELU, a width-5 convolution, batch normalisation, GELU and a pointwise convolution, and each followed by max-pooling by two. The tower detects local sequence motifs and reduces the 5,000 positions to 157, which is where most of the computational saving of the model comes from. Six bidirectional state-space layers then mix information along the window. Each direction is a diagonal state-space model [29,30] evaluated exactly as a long convolution in the frequency domain:</w:t>
      </w:r>
    </w:p>
    <w:p>
      <w:pPr>
        <w:tabs>
          <w:tab w:val="center" w:pos="4514"/>
          <w:tab w:val="right" w:pos="9026"/>
        </w:tabs>
        <w:spacing w:after="100" w:before="100"/>
      </w:pPr>
      <w:r>
        <w:rPr>
          <w:rFonts w:ascii="Times New Roman" w:cs="Times New Roman" w:eastAsia="Times New Roman" w:hAnsi="Times New Roman"/>
          <w:sz w:val="22"/>
          <w:szCs w:val="22"/>
        </w:rPr>
        <w:t xml:space="preserve">	</w:t>
      </w:r>
      <w:r>
        <w:drawing>
          <wp:inline distT="0" distB="0" distL="0" distR="0">
            <wp:extent cx="5095875" cy="419100"/>
            <wp:effectExtent t="0" r="0" b="0" l="0"/>
            <wp:docPr id="5" name="eq_ssm" descr="ssm" title="Equatio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95875" cy="419100"/>
                    </a:xfrm>
                    <a:prstGeom prst="rect">
                      <a:avLst/>
                    </a:prstGeom>
                  </pic:spPr>
                </pic:pic>
              </a:graphicData>
            </a:graphic>
          </wp:inline>
        </w:drawing>
      </w:r>
      <w:r>
        <w:rPr>
          <w:rFonts w:ascii="Times New Roman" w:cs="Times New Roman" w:eastAsia="Times New Roman" w:hAnsi="Times New Roman"/>
          <w:sz w:val="22"/>
          <w:szCs w:val="22"/>
        </w:rPr>
        <w:t xml:space="preserve">	(2)</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rPr>
        <w:t xml:space="preserve"> is the input sequence of one channel, </w:t>
      </w:r>
      <w:r>
        <w:rPr>
          <w:rFonts w:ascii="Times New Roman" w:cs="Times New Roman" w:eastAsia="Times New Roman" w:hAnsi="Times New Roman"/>
          <w:sz w:val="22"/>
          <w:szCs w:val="22"/>
        </w:rPr>
        <w:t xml:space="preserve">ℱ</w:t>
      </w:r>
      <w:r>
        <w:rPr>
          <w:rFonts w:ascii="Times New Roman" w:cs="Times New Roman" w:eastAsia="Times New Roman" w:hAnsi="Times New Roman"/>
          <w:sz w:val="22"/>
          <w:szCs w:val="22"/>
        </w:rPr>
        <w:t xml:space="preserve"> the real FFT with zero padding to twice the length, and </w:t>
      </w:r>
      <w:r>
        <w:rPr>
          <w:rFonts w:ascii="Times New Roman" w:cs="Times New Roman" w:eastAsia="Times New Roman" w:hAnsi="Times New Roman"/>
          <w:i/>
          <w:iCs/>
          <w:sz w:val="22"/>
          <w:szCs w:val="22"/>
        </w:rPr>
        <w:t xml:space="preserve">ρ</w:t>
      </w:r>
      <w:r>
        <w:rPr>
          <w:rFonts w:ascii="Times New Roman" w:cs="Times New Roman" w:eastAsia="Times New Roman" w:hAnsi="Times New Roman"/>
          <w:i/>
          <w:iCs/>
          <w:sz w:val="22"/>
          <w:szCs w:val="22"/>
          <w:vertAlign w:val="subscript"/>
        </w:rPr>
        <w:t xml:space="preserve">n</w:t>
      </w:r>
      <w:r>
        <w:rPr>
          <w:rFonts w:ascii="Times New Roman" w:cs="Times New Roman" w:eastAsia="Times New Roman" w:hAnsi="Times New Roman"/>
          <w:sz w:val="22"/>
          <w:szCs w:val="22"/>
        </w:rPr>
        <w:t xml:space="preserve"> a learned log-rate that keeps every decay </w:t>
      </w:r>
      <w:r>
        <w:rPr>
          <w:rFonts w:ascii="Times New Roman" w:cs="Times New Roman" w:eastAsia="Times New Roman" w:hAnsi="Times New Roman"/>
          <w:i/>
          <w:iCs/>
          <w:sz w:val="22"/>
          <w:szCs w:val="22"/>
        </w:rPr>
        <w:t xml:space="preserve">a</w:t>
      </w:r>
      <w:r>
        <w:rPr>
          <w:rFonts w:ascii="Times New Roman" w:cs="Times New Roman" w:eastAsia="Times New Roman" w:hAnsi="Times New Roman"/>
          <w:i/>
          <w:iCs/>
          <w:sz w:val="22"/>
          <w:szCs w:val="22"/>
          <w:vertAlign w:val="subscript"/>
        </w:rPr>
        <w:t xml:space="preserve">n</w:t>
      </w:r>
      <w:r>
        <w:rPr>
          <w:rFonts w:ascii="Times New Roman" w:cs="Times New Roman" w:eastAsia="Times New Roman" w:hAnsi="Times New Roman"/>
          <w:sz w:val="22"/>
          <w:szCs w:val="22"/>
        </w:rPr>
        <w:t xml:space="preserve"> strictly inside </w:t>
      </w:r>
      <w:r>
        <w:rPr>
          <w:rFonts w:ascii="Times New Roman" w:cs="Times New Roman" w:eastAsia="Times New Roman" w:hAnsi="Times New Roman"/>
          <w:sz w:val="22"/>
          <w:szCs w:val="22"/>
        </w:rPr>
        <w:t xml:space="preserve">(0, 1)</w:t>
      </w:r>
      <w:r>
        <w:rPr>
          <w:rFonts w:ascii="Times New Roman" w:cs="Times New Roman" w:eastAsia="Times New Roman" w:hAnsi="Times New Roman"/>
          <w:sz w:val="22"/>
          <w:szCs w:val="22"/>
        </w:rPr>
        <w:t xml:space="preserve">, so the kernel cannot diverge. Each layer applies two independent state-space models, one to the sequence and one to its reversal (whose output is reversed back), concatenates the two, projects back to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 channels, and gates the result with a sigmoid of the layer input inside a pre-normalised residual connection; the bidirectional form reflects that a double-stranded sequence has no reading direction. The window embedding </w:t>
      </w:r>
      <w:r>
        <w:rPr>
          <w:rFonts w:ascii="Times New Roman" w:cs="Times New Roman" w:eastAsia="Times New Roman" w:hAnsi="Times New Roman"/>
          <w:i/>
          <w:iCs/>
          <w:sz w:val="22"/>
          <w:szCs w:val="22"/>
        </w:rPr>
        <w:t xml:space="preserve">h</w:t>
      </w:r>
      <w:r>
        <w:rPr>
          <w:rFonts w:ascii="Times New Roman" w:cs="Times New Roman" w:eastAsia="Times New Roman" w:hAnsi="Times New Roman"/>
          <w:i/>
          <w:iCs/>
          <w:sz w:val="22"/>
          <w:szCs w:val="22"/>
          <w:vertAlign w:val="subscript"/>
        </w:rPr>
        <w:t xml:space="preserve">i</w:t>
      </w:r>
      <w:r>
        <w:rPr>
          <w:rFonts w:ascii="Times New Roman" w:cs="Times New Roman" w:eastAsia="Times New Roman" w:hAnsi="Times New Roman"/>
          <w:sz w:val="22"/>
          <w:szCs w:val="22"/>
        </w:rPr>
        <w:t xml:space="preserve"> is the layer-normalised mean over positions. Evaluating the state-space model by FFT is exact, stable for any value the optimiser reaches, and requires no custom kernel.</w:t>
      </w:r>
    </w:p>
    <w:p>
      <w:pPr>
        <w:pStyle w:val="Heading2"/>
        <w:spacing w:after="80" w:before="200"/>
      </w:pPr>
      <w:r>
        <w:rPr>
          <w:rFonts w:ascii="Times New Roman" w:cs="Times New Roman" w:eastAsia="Times New Roman" w:hAnsi="Times New Roman"/>
          <w:b/>
          <w:bCs/>
          <w:sz w:val="22"/>
          <w:szCs w:val="22"/>
        </w:rPr>
        <w:t xml:space="preserve">3.5  Contact-biased attention</w:t>
      </w:r>
    </w:p>
    <w:p>
      <w:pPr>
        <w:spacing w:after="120" w:line="276"/>
        <w:jc w:val="both"/>
      </w:pPr>
      <w:r>
        <w:rPr>
          <w:rFonts w:ascii="Times New Roman" w:cs="Times New Roman" w:eastAsia="Times New Roman" w:hAnsi="Times New Roman"/>
          <w:sz w:val="22"/>
          <w:szCs w:val="22"/>
        </w:rPr>
        <w:t xml:space="preserve">The core of the model is a stack of </w:t>
      </w:r>
      <w:r>
        <w:rPr>
          <w:rFonts w:ascii="Times New Roman" w:cs="Times New Roman" w:eastAsia="Times New Roman" w:hAnsi="Times New Roman"/>
          <w:i/>
          <w:iCs/>
          <w:sz w:val="22"/>
          <w:szCs w:val="22"/>
        </w:rPr>
        <w:t xml:space="preserve">L</w:t>
      </w:r>
      <w:r>
        <w:rPr>
          <w:rFonts w:ascii="Times New Roman" w:cs="Times New Roman" w:eastAsia="Times New Roman" w:hAnsi="Times New Roman"/>
          <w:sz w:val="22"/>
          <w:szCs w:val="22"/>
        </w:rPr>
        <w:t xml:space="preserve"> = 4</w:t>
      </w:r>
      <w:r>
        <w:rPr>
          <w:rFonts w:ascii="Times New Roman" w:cs="Times New Roman" w:eastAsia="Times New Roman" w:hAnsi="Times New Roman"/>
          <w:sz w:val="22"/>
          <w:szCs w:val="22"/>
        </w:rPr>
        <w:t xml:space="preserve"> attention blocks in which a window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attends only to its graph neighbourhood </w:t>
      </w:r>
      <w:r>
        <w:rPr>
          <w:rFonts w:ascii="Times New Roman" w:cs="Times New Roman" w:eastAsia="Times New Roman" w:hAnsi="Times New Roman"/>
          <w:sz w:val="22"/>
          <w:szCs w:val="22"/>
        </w:rPr>
        <w:t xml:space="preserve">𝒩(</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union of its local and distal edges, with edges used in both directions. Measured structure enters through an additive per-head bias computed from each edge's strength </w:t>
      </w:r>
      <w:r>
        <w:rPr>
          <w:rFonts w:ascii="Times New Roman" w:cs="Times New Roman" w:eastAsia="Times New Roman" w:hAnsi="Times New Roman"/>
          <w:i/>
          <w:iCs/>
          <w:sz w:val="22"/>
          <w:szCs w:val="22"/>
        </w:rPr>
        <w:t xml:space="preserve">c</w:t>
      </w:r>
      <w:r>
        <w:rPr>
          <w:rFonts w:ascii="Times New Roman" w:cs="Times New Roman" w:eastAsia="Times New Roman" w:hAnsi="Times New Roman"/>
          <w:i/>
          <w:iCs/>
          <w:sz w:val="22"/>
          <w:szCs w:val="22"/>
          <w:vertAlign w:val="subscript"/>
        </w:rPr>
        <w:t xml:space="preserve">ij</w:t>
      </w:r>
      <w:r>
        <w:rPr>
          <w:rFonts w:ascii="Times New Roman" w:cs="Times New Roman" w:eastAsia="Times New Roman" w:hAnsi="Times New Roman"/>
          <w:sz w:val="22"/>
          <w:szCs w:val="22"/>
        </w:rPr>
        <w:t xml:space="preserve"> and separation </w:t>
      </w:r>
      <w:r>
        <w:rPr>
          <w:rFonts w:ascii="Times New Roman" w:cs="Times New Roman" w:eastAsia="Times New Roman" w:hAnsi="Times New Roman"/>
          <w:i/>
          <w:iCs/>
          <w:sz w:val="22"/>
          <w:szCs w:val="22"/>
        </w:rPr>
        <w:t xml:space="preserve">d</w:t>
      </w:r>
      <w:r>
        <w:rPr>
          <w:rFonts w:ascii="Times New Roman" w:cs="Times New Roman" w:eastAsia="Times New Roman" w:hAnsi="Times New Roman"/>
          <w:i/>
          <w:iCs/>
          <w:sz w:val="22"/>
          <w:szCs w:val="22"/>
          <w:vertAlign w:val="subscript"/>
        </w:rPr>
        <w:t xml:space="preserve">ij</w:t>
      </w:r>
      <w:r>
        <w:rPr>
          <w:rFonts w:ascii="Times New Roman" w:cs="Times New Roman" w:eastAsia="Times New Roman" w:hAnsi="Times New Roman"/>
          <w:sz w:val="22"/>
          <w:szCs w:val="22"/>
        </w:rPr>
        <w:t xml:space="preserve">:</w:t>
      </w:r>
    </w:p>
    <w:p>
      <w:pPr>
        <w:tabs>
          <w:tab w:val="center" w:pos="4514"/>
          <w:tab w:val="right" w:pos="9026"/>
        </w:tabs>
        <w:spacing w:after="100" w:before="100"/>
      </w:pPr>
      <w:r>
        <w:rPr>
          <w:rFonts w:ascii="Times New Roman" w:cs="Times New Roman" w:eastAsia="Times New Roman" w:hAnsi="Times New Roman"/>
          <w:sz w:val="22"/>
          <w:szCs w:val="22"/>
        </w:rPr>
        <w:t xml:space="preserve">	</w:t>
      </w:r>
      <w:r>
        <w:drawing>
          <wp:inline distT="0" distB="0" distL="0" distR="0">
            <wp:extent cx="2933700" cy="209550"/>
            <wp:effectExtent t="0" r="0" b="0" l="0"/>
            <wp:docPr id="6" name="eq_bias" descr="bias" title="Equatio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33700" cy="209550"/>
                    </a:xfrm>
                    <a:prstGeom prst="rect">
                      <a:avLst/>
                    </a:prstGeom>
                  </pic:spPr>
                </pic:pic>
              </a:graphicData>
            </a:graphic>
          </wp:inline>
        </w:drawing>
      </w:r>
      <w:r>
        <w:rPr>
          <w:rFonts w:ascii="Times New Roman" w:cs="Times New Roman" w:eastAsia="Times New Roman" w:hAnsi="Times New Roman"/>
          <w:sz w:val="22"/>
          <w:szCs w:val="22"/>
        </w:rPr>
        <w:t xml:space="preserve">	(3)</w:t>
      </w:r>
    </w:p>
    <w:p>
      <w:pPr>
        <w:tabs>
          <w:tab w:val="center" w:pos="4514"/>
          <w:tab w:val="right" w:pos="9026"/>
        </w:tabs>
        <w:spacing w:after="100" w:before="100"/>
      </w:pPr>
      <w:r>
        <w:rPr>
          <w:rFonts w:ascii="Times New Roman" w:cs="Times New Roman" w:eastAsia="Times New Roman" w:hAnsi="Times New Roman"/>
          <w:sz w:val="22"/>
          <w:szCs w:val="22"/>
        </w:rPr>
        <w:t xml:space="preserve">	</w:t>
      </w:r>
      <w:r>
        <w:drawing>
          <wp:inline distT="0" distB="0" distL="0" distR="0">
            <wp:extent cx="2619375" cy="466725"/>
            <wp:effectExtent t="0" r="0" b="0" l="0"/>
            <wp:docPr id="7" name="eq_attention" descr="attention" title="Equatio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619375" cy="466725"/>
                    </a:xfrm>
                    <a:prstGeom prst="rect">
                      <a:avLst/>
                    </a:prstGeom>
                  </pic:spPr>
                </pic:pic>
              </a:graphicData>
            </a:graphic>
          </wp:inline>
        </w:drawing>
      </w:r>
      <w:r>
        <w:rPr>
          <w:rFonts w:ascii="Times New Roman" w:cs="Times New Roman" w:eastAsia="Times New Roman" w:hAnsi="Times New Roman"/>
          <w:sz w:val="22"/>
          <w:szCs w:val="22"/>
        </w:rPr>
        <w:t xml:space="preserve">	(4)</w:t>
      </w:r>
    </w:p>
    <w:p>
      <w:pPr>
        <w:tabs>
          <w:tab w:val="center" w:pos="4514"/>
          <w:tab w:val="right" w:pos="9026"/>
        </w:tabs>
        <w:spacing w:after="100" w:before="100"/>
      </w:pPr>
      <w:r>
        <w:rPr>
          <w:rFonts w:ascii="Times New Roman" w:cs="Times New Roman" w:eastAsia="Times New Roman" w:hAnsi="Times New Roman"/>
          <w:sz w:val="22"/>
          <w:szCs w:val="22"/>
        </w:rPr>
        <w:t xml:space="preserve">	</w:t>
      </w:r>
      <w:r>
        <w:drawing>
          <wp:inline distT="0" distB="0" distL="0" distR="0">
            <wp:extent cx="4000500" cy="381000"/>
            <wp:effectExtent t="0" r="0" b="0" l="0"/>
            <wp:docPr id="8" name="eq_block" descr="block" title="Equatio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381000"/>
                    </a:xfrm>
                    <a:prstGeom prst="rect">
                      <a:avLst/>
                    </a:prstGeom>
                  </pic:spPr>
                </pic:pic>
              </a:graphicData>
            </a:graphic>
          </wp:inline>
        </w:drawing>
      </w:r>
      <w:r>
        <w:rPr>
          <w:rFonts w:ascii="Times New Roman" w:cs="Times New Roman" w:eastAsia="Times New Roman" w:hAnsi="Times New Roman"/>
          <w:sz w:val="22"/>
          <w:szCs w:val="22"/>
        </w:rPr>
        <w:t xml:space="preserve">	(5)</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 and </w:t>
      </w:r>
      <w:r>
        <w:rPr>
          <w:rFonts w:ascii="Times New Roman" w:cs="Times New Roman" w:eastAsia="Times New Roman" w:hAnsi="Times New Roman"/>
          <w:i/>
          <w:iCs/>
          <w:sz w:val="22"/>
          <w:szCs w:val="22"/>
        </w:rPr>
        <w:t xml:space="preserve">v</w:t>
      </w:r>
      <w:r>
        <w:rPr>
          <w:rFonts w:ascii="Times New Roman" w:cs="Times New Roman" w:eastAsia="Times New Roman" w:hAnsi="Times New Roman"/>
          <w:sz w:val="22"/>
          <w:szCs w:val="22"/>
        </w:rPr>
        <w:t xml:space="preserve"> are linear projections of the current window representations split into </w:t>
      </w:r>
      <w:r>
        <w:rPr>
          <w:rFonts w:ascii="Times New Roman" w:cs="Times New Roman" w:eastAsia="Times New Roman" w:hAnsi="Times New Roman"/>
          <w:i/>
          <w:iCs/>
          <w:sz w:val="22"/>
          <w:szCs w:val="22"/>
        </w:rPr>
        <w:t xml:space="preserve">H</w:t>
      </w:r>
      <w:r>
        <w:rPr>
          <w:rFonts w:ascii="Times New Roman" w:cs="Times New Roman" w:eastAsia="Times New Roman" w:hAnsi="Times New Roman"/>
          <w:sz w:val="22"/>
          <w:szCs w:val="22"/>
        </w:rPr>
        <w:t xml:space="preserve"> = 8</w:t>
      </w:r>
      <w:r>
        <w:rPr>
          <w:rFonts w:ascii="Times New Roman" w:cs="Times New Roman" w:eastAsia="Times New Roman" w:hAnsi="Times New Roman"/>
          <w:sz w:val="22"/>
          <w:szCs w:val="22"/>
        </w:rPr>
        <w:t xml:space="preserve"> heads of size </w:t>
      </w:r>
      <w:r>
        <w:rPr>
          <w:rFonts w:ascii="Times New Roman" w:cs="Times New Roman" w:eastAsia="Times New Roman" w:hAnsi="Times New Roman"/>
          <w:i/>
          <w:iCs/>
          <w:sz w:val="22"/>
          <w:szCs w:val="22"/>
        </w:rPr>
        <w:t xml:space="preserve">d</w:t>
      </w:r>
      <w:r>
        <w:rPr>
          <w:rFonts w:ascii="Times New Roman" w:cs="Times New Roman" w:eastAsia="Times New Roman" w:hAnsi="Times New Roman"/>
          <w:i/>
          <w:iCs/>
          <w:sz w:val="22"/>
          <w:szCs w:val="22"/>
          <w:vertAlign w:val="subscript"/>
        </w:rPr>
        <w:t xml:space="preserve">h</w:t>
      </w:r>
      <w:r>
        <w:rPr>
          <w:rFonts w:ascii="Times New Roman" w:cs="Times New Roman" w:eastAsia="Times New Roman" w:hAnsi="Times New Roman"/>
          <w:sz w:val="22"/>
          <w:szCs w:val="22"/>
        </w:rPr>
        <w:t xml:space="preserve"> = 32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LN</w:t>
      </w:r>
      <w:r>
        <w:rPr>
          <w:rFonts w:ascii="Times New Roman" w:cs="Times New Roman" w:eastAsia="Times New Roman" w:hAnsi="Times New Roman"/>
          <w:sz w:val="22"/>
          <w:szCs w:val="22"/>
        </w:rPr>
        <w:t xml:space="preserve"> is layer normalisation, the feed-forward network has width 1,024, and the blocks start from </w:t>
      </w:r>
      <w:r>
        <w:rPr>
          <w:rFonts w:ascii="Times New Roman" w:cs="Times New Roman" w:eastAsia="Times New Roman" w:hAnsi="Times New Roman"/>
          <w:i/>
          <w:iCs/>
          <w:sz w:val="22"/>
          <w:szCs w:val="22"/>
        </w:rPr>
        <w:t xml:space="preserve">z</w:t>
      </w:r>
      <w:r>
        <w:rPr>
          <w:rFonts w:ascii="Times New Roman" w:cs="Times New Roman" w:eastAsia="Times New Roman" w:hAnsi="Times New Roman"/>
          <w:i/>
          <w:iCs/>
          <w:sz w:val="22"/>
          <w:szCs w:val="22"/>
          <w:vertAlign w:val="subscript"/>
        </w:rPr>
        <w:t xml:space="preserve">i</w:t>
      </w:r>
      <w:r>
        <w:rPr>
          <w:rFonts w:ascii="Times New Roman" w:cs="Times New Roman" w:eastAsia="Times New Roman" w:hAnsi="Times New Roman"/>
          <w:sz w:val="22"/>
          <w:szCs w:val="22"/>
        </w:rPr>
        <w:t xml:space="preserve"> = </w:t>
      </w:r>
      <w:r>
        <w:rPr>
          <w:rFonts w:ascii="Times New Roman" w:cs="Times New Roman" w:eastAsia="Times New Roman" w:hAnsi="Times New Roman"/>
          <w:i/>
          <w:iCs/>
          <w:sz w:val="22"/>
          <w:szCs w:val="22"/>
        </w:rPr>
        <w:t xml:space="preserve">h</w:t>
      </w:r>
      <w:r>
        <w:rPr>
          <w:rFonts w:ascii="Times New Roman" w:cs="Times New Roman" w:eastAsia="Times New Roman" w:hAnsi="Times New Roman"/>
          <w:i/>
          <w:iCs/>
          <w:sz w:val="22"/>
          <w:szCs w:val="22"/>
          <w:vertAlign w:val="subscript"/>
        </w:rPr>
        <w:t xml:space="preserve">i</w:t>
      </w:r>
      <w:r>
        <w:rPr>
          <w:rFonts w:ascii="Times New Roman" w:cs="Times New Roman" w:eastAsia="Times New Roman" w:hAnsi="Times New Roman"/>
          <w:sz w:val="22"/>
          <w:szCs w:val="22"/>
        </w:rPr>
        <w:t xml:space="preserve">. The bias has two consequences that motivate its form. First, contacts decide </w:t>
      </w:r>
      <w:r>
        <w:rPr>
          <w:rFonts w:ascii="Times New Roman" w:cs="Times New Roman" w:eastAsia="Times New Roman" w:hAnsi="Times New Roman"/>
          <w:i/>
          <w:iCs/>
          <w:sz w:val="22"/>
          <w:szCs w:val="22"/>
        </w:rPr>
        <w:t xml:space="preserve">which</w:t>
      </w:r>
      <w:r>
        <w:rPr>
          <w:rFonts w:ascii="Times New Roman" w:cs="Times New Roman" w:eastAsia="Times New Roman" w:hAnsi="Times New Roman"/>
          <w:sz w:val="22"/>
          <w:szCs w:val="22"/>
        </w:rPr>
        <w:t xml:space="preserve"> distal windows exchange information, because attention exists only on graph edges, and </w:t>
      </w:r>
      <w:r>
        <w:rPr>
          <w:rFonts w:ascii="Times New Roman" w:cs="Times New Roman" w:eastAsia="Times New Roman" w:hAnsi="Times New Roman"/>
          <w:i/>
          <w:iCs/>
          <w:sz w:val="22"/>
          <w:szCs w:val="22"/>
        </w:rPr>
        <w:t xml:space="preserve">how strongly</w:t>
      </w:r>
      <w:r>
        <w:rPr>
          <w:rFonts w:ascii="Times New Roman" w:cs="Times New Roman" w:eastAsia="Times New Roman" w:hAnsi="Times New Roman"/>
          <w:sz w:val="22"/>
          <w:szCs w:val="22"/>
        </w:rPr>
        <w:t xml:space="preserve">, because a stronger contact raises the logit of its edge relative to the window's other neighbours. Second, keeping the contact and separation terms as separate functions means that fixing the contact input to a constant leaves a working distance-only model, which is the basis of the distance-only control in Section 3.8. Attention is computed edge-wise with a scatter softmax, so its cost is linear in the number of edges and no dense </w:t>
      </w:r>
      <w:r>
        <w:rPr>
          <w:rFonts w:ascii="Times New Roman" w:cs="Times New Roman" w:eastAsia="Times New Roman" w:hAnsi="Times New Roman"/>
          <w:i/>
          <w:iCs/>
          <w:sz w:val="22"/>
          <w:szCs w:val="22"/>
        </w:rPr>
        <w:t xml:space="preserve">N</w:t>
      </w:r>
      <w:r>
        <w:rPr>
          <w:rFonts w:ascii="Times New Roman" w:cs="Times New Roman" w:eastAsia="Times New Roman" w:hAnsi="Times New Roman"/>
          <w:sz w:val="22"/>
          <w:szCs w:val="22"/>
        </w:rPr>
        <w:t xml:space="preserve"> × </w:t>
      </w:r>
      <w:r>
        <w:rPr>
          <w:rFonts w:ascii="Times New Roman" w:cs="Times New Roman" w:eastAsia="Times New Roman" w:hAnsi="Times New Roman"/>
          <w:i/>
          <w:iCs/>
          <w:sz w:val="22"/>
          <w:szCs w:val="22"/>
        </w:rPr>
        <w:t xml:space="preserve">N</w:t>
      </w:r>
      <w:r>
        <w:rPr>
          <w:rFonts w:ascii="Times New Roman" w:cs="Times New Roman" w:eastAsia="Times New Roman" w:hAnsi="Times New Roman"/>
          <w:sz w:val="22"/>
          <w:szCs w:val="22"/>
        </w:rPr>
        <w:t xml:space="preserve"> matrix is formed; this is what makes a 640 kb context of 5 kb windows affordable.</w:t>
      </w:r>
    </w:p>
    <w:p>
      <w:pPr>
        <w:pStyle w:val="Heading2"/>
        <w:spacing w:after="80" w:before="200"/>
      </w:pPr>
      <w:r>
        <w:rPr>
          <w:rFonts w:ascii="Times New Roman" w:cs="Times New Roman" w:eastAsia="Times New Roman" w:hAnsi="Times New Roman"/>
          <w:b/>
          <w:bCs/>
          <w:sz w:val="22"/>
          <w:szCs w:val="22"/>
        </w:rPr>
        <w:t xml:space="preserve">3.6  Hi-C-free representations: structure dropout and structure distillation</w:t>
      </w:r>
    </w:p>
    <w:p>
      <w:pPr>
        <w:spacing w:after="120" w:line="276"/>
        <w:jc w:val="both"/>
      </w:pPr>
      <w:r>
        <w:rPr>
          <w:rFonts w:ascii="Times New Roman" w:cs="Times New Roman" w:eastAsia="Times New Roman" w:hAnsi="Times New Roman"/>
          <w:sz w:val="22"/>
          <w:szCs w:val="22"/>
        </w:rPr>
        <w:t xml:space="preserve">Hi-C is unavailable for most cell types and for any sequence a downstream user supplies, so a representation that requires it at inference has limited use. We therefore treat Hi-C as privileged information [25] and train the model to produce good representations without it. </w:t>
      </w:r>
      <w:r>
        <w:rPr>
          <w:rFonts w:ascii="Times New Roman" w:cs="Times New Roman" w:eastAsia="Times New Roman" w:hAnsi="Times New Roman"/>
          <w:i/>
          <w:iCs/>
          <w:sz w:val="22"/>
          <w:szCs w:val="22"/>
        </w:rPr>
        <w:t xml:space="preserve">Structure dropout</w:t>
      </w:r>
      <w:r>
        <w:rPr>
          <w:rFonts w:ascii="Times New Roman" w:cs="Times New Roman" w:eastAsia="Times New Roman" w:hAnsi="Times New Roman"/>
          <w:sz w:val="22"/>
          <w:szCs w:val="22"/>
        </w:rPr>
        <w:t xml:space="preserve"> removes the entire distal graph for each training sample independently with probability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 0.3</w:t>
      </w:r>
      <w:r>
        <w:rPr>
          <w:rFonts w:ascii="Times New Roman" w:cs="Times New Roman" w:eastAsia="Times New Roman" w:hAnsi="Times New Roman"/>
          <w:sz w:val="22"/>
          <w:szCs w:val="22"/>
        </w:rPr>
        <w:t xml:space="preserve">, leaving only local edges:</w:t>
      </w:r>
    </w:p>
    <w:p>
      <w:pPr>
        <w:tabs>
          <w:tab w:val="center" w:pos="4514"/>
          <w:tab w:val="right" w:pos="9026"/>
        </w:tabs>
        <w:spacing w:after="100" w:before="100"/>
      </w:pPr>
      <w:r>
        <w:rPr>
          <w:rFonts w:ascii="Times New Roman" w:cs="Times New Roman" w:eastAsia="Times New Roman" w:hAnsi="Times New Roman"/>
          <w:sz w:val="22"/>
          <w:szCs w:val="22"/>
        </w:rPr>
        <w:t xml:space="preserve">	</w:t>
      </w:r>
      <w:r>
        <w:drawing>
          <wp:inline distT="0" distB="0" distL="0" distR="0">
            <wp:extent cx="3724275" cy="180975"/>
            <wp:effectExtent t="0" r="0" b="0" l="0"/>
            <wp:docPr id="9" name="eq_dropout" descr="dropout" title="Equatio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724275" cy="180975"/>
                    </a:xfrm>
                    <a:prstGeom prst="rect">
                      <a:avLst/>
                    </a:prstGeom>
                  </pic:spPr>
                </pic:pic>
              </a:graphicData>
            </a:graphic>
          </wp:inline>
        </w:drawing>
      </w:r>
      <w:r>
        <w:rPr>
          <w:rFonts w:ascii="Times New Roman" w:cs="Times New Roman" w:eastAsia="Times New Roman" w:hAnsi="Times New Roman"/>
          <w:sz w:val="22"/>
          <w:szCs w:val="22"/>
        </w:rPr>
        <w:t xml:space="preserve">	(6)</w:t>
      </w:r>
    </w:p>
    <w:p>
      <w:pPr>
        <w:spacing w:after="120" w:line="276"/>
        <w:jc w:val="both"/>
      </w:pPr>
      <w:r>
        <w:rPr>
          <w:rFonts w:ascii="Times New Roman" w:cs="Times New Roman" w:eastAsia="Times New Roman" w:hAnsi="Times New Roman"/>
          <w:sz w:val="22"/>
          <w:szCs w:val="22"/>
        </w:rPr>
        <w:t xml:space="preserve">Removing the whole graph rather than individual edges [35] matches the condition at inference exactly, where every distal edge is absent at once [36]. Dropout alone, however, only ensures that the Hi-C-free mode is in distribution; it gives that mode no direct access to what the contacts revealed. </w:t>
      </w:r>
      <w:r>
        <w:rPr>
          <w:rFonts w:ascii="Times New Roman" w:cs="Times New Roman" w:eastAsia="Times New Roman" w:hAnsi="Times New Roman"/>
          <w:i/>
          <w:iCs/>
          <w:sz w:val="22"/>
          <w:szCs w:val="22"/>
        </w:rPr>
        <w:t xml:space="preserve">Structure distillation</w:t>
      </w:r>
      <w:r>
        <w:rPr>
          <w:rFonts w:ascii="Times New Roman" w:cs="Times New Roman" w:eastAsia="Times New Roman" w:hAnsi="Times New Roman"/>
          <w:sz w:val="22"/>
          <w:szCs w:val="22"/>
        </w:rPr>
        <w:t xml:space="preserve"> supplies it. For every sample, the same encoder outputs </w:t>
      </w:r>
      <w:r>
        <w:rPr>
          <w:rFonts w:ascii="Times New Roman" w:cs="Times New Roman" w:eastAsia="Times New Roman" w:hAnsi="Times New Roman"/>
          <w:i/>
          <w:iCs/>
          <w:sz w:val="22"/>
          <w:szCs w:val="22"/>
        </w:rPr>
        <w:t xml:space="preserve">h</w:t>
      </w:r>
      <w:r>
        <w:rPr>
          <w:rFonts w:ascii="Times New Roman" w:cs="Times New Roman" w:eastAsia="Times New Roman" w:hAnsi="Times New Roman"/>
          <w:i/>
          <w:iCs/>
          <w:sz w:val="22"/>
          <w:szCs w:val="22"/>
          <w:vertAlign w:val="subscript"/>
        </w:rPr>
        <w:t xml:space="preserve">i</w:t>
      </w:r>
      <w:r>
        <w:rPr>
          <w:rFonts w:ascii="Times New Roman" w:cs="Times New Roman" w:eastAsia="Times New Roman" w:hAnsi="Times New Roman"/>
          <w:sz w:val="22"/>
          <w:szCs w:val="22"/>
        </w:rPr>
        <w:t xml:space="preserve">, including any masking, are passed through the same attention blocks a second time with the distal graph removed, giving </w:t>
      </w:r>
      <w:r>
        <w:rPr>
          <w:rFonts w:ascii="Times New Roman" w:cs="Times New Roman" w:eastAsia="Times New Roman" w:hAnsi="Times New Roman"/>
          <w:i/>
          <w:iCs/>
          <w:sz w:val="22"/>
          <w:szCs w:val="22"/>
        </w:rPr>
        <w:t xml:space="preserve">z</w:t>
      </w:r>
      <w:r>
        <w:rPr>
          <w:rFonts w:ascii="Times New Roman" w:cs="Times New Roman" w:eastAsia="Times New Roman" w:hAnsi="Times New Roman"/>
          <w:sz w:val="22"/>
          <w:szCs w:val="22"/>
          <w:vertAlign w:val="superscript"/>
        </w:rPr>
        <w:t xml:space="preserve">free</w:t>
      </w:r>
      <w:r>
        <w:rPr>
          <w:rFonts w:ascii="Times New Roman" w:cs="Times New Roman" w:eastAsia="Times New Roman" w:hAnsi="Times New Roman"/>
          <w:i/>
          <w:iCs/>
          <w:sz w:val="22"/>
          <w:szCs w:val="22"/>
          <w:vertAlign w:val="subscript"/>
        </w:rPr>
        <w:t xml:space="preserve">i</w:t>
      </w:r>
      <w:r>
        <w:rPr>
          <w:rFonts w:ascii="Times New Roman" w:cs="Times New Roman" w:eastAsia="Times New Roman" w:hAnsi="Times New Roman"/>
          <w:sz w:val="22"/>
          <w:szCs w:val="22"/>
        </w:rPr>
        <w:t xml:space="preserve">, and this Hi-C-free representation is trained to match the Hi-C-conditioned </w:t>
      </w:r>
      <w:r>
        <w:rPr>
          <w:rFonts w:ascii="Times New Roman" w:cs="Times New Roman" w:eastAsia="Times New Roman" w:hAnsi="Times New Roman"/>
          <w:i/>
          <w:iCs/>
          <w:sz w:val="22"/>
          <w:szCs w:val="22"/>
        </w:rPr>
        <w:t xml:space="preserve">z</w:t>
      </w:r>
      <w:r>
        <w:rPr>
          <w:rFonts w:ascii="Times New Roman" w:cs="Times New Roman" w:eastAsia="Times New Roman" w:hAnsi="Times New Roman"/>
          <w:i/>
          <w:iCs/>
          <w:sz w:val="22"/>
          <w:szCs w:val="22"/>
          <w:vertAlign w:val="subscript"/>
        </w:rPr>
        <w:t xml:space="preserve">i</w:t>
      </w:r>
      <w:r>
        <w:rPr>
          <w:rFonts w:ascii="Times New Roman" w:cs="Times New Roman" w:eastAsia="Times New Roman" w:hAnsi="Times New Roman"/>
          <w:sz w:val="22"/>
          <w:szCs w:val="22"/>
        </w:rPr>
        <w:t xml:space="preserve"> (Eq. (10)). The teacher is held fixed with a stop-gradient, so the conditioned pass cannot degrade toward the impoverished one to make the two agree. Because the local encoder runs once and only the graph blocks run twice, distillation adds little computation. At inference, the model is run in exactly the Hi-C-free mode that distillation trains.</w:t>
      </w:r>
    </w:p>
    <w:p>
      <w:pPr>
        <w:pStyle w:val="Heading2"/>
        <w:spacing w:after="80" w:before="200"/>
      </w:pPr>
      <w:r>
        <w:rPr>
          <w:rFonts w:ascii="Times New Roman" w:cs="Times New Roman" w:eastAsia="Times New Roman" w:hAnsi="Times New Roman"/>
          <w:b/>
          <w:bCs/>
          <w:sz w:val="22"/>
          <w:szCs w:val="22"/>
        </w:rPr>
        <w:t xml:space="preserve">3.7  Pretraining objectives</w:t>
      </w:r>
    </w:p>
    <w:p>
      <w:pPr>
        <w:spacing w:after="120" w:line="276"/>
        <w:jc w:val="both"/>
      </w:pPr>
      <w:r>
        <w:rPr>
          <w:rFonts w:ascii="Times New Roman" w:cs="Times New Roman" w:eastAsia="Times New Roman" w:hAnsi="Times New Roman"/>
          <w:sz w:val="22"/>
          <w:szCs w:val="22"/>
        </w:rPr>
        <w:t xml:space="preserve">Four objectives train the model. The masked-window and contrastive terms are self-supervised with respect to the sequence; the contact and distillation terms use Hi-C, or the model's own Hi-C-conditioned pass, as training-time-only targets. No task labels are used.</w:t>
      </w:r>
    </w:p>
    <w:p>
      <w:pPr>
        <w:spacing w:after="120" w:line="276"/>
        <w:jc w:val="both"/>
      </w:pPr>
      <w:r>
        <w:rPr>
          <w:rFonts w:ascii="Times New Roman" w:cs="Times New Roman" w:eastAsia="Times New Roman" w:hAnsi="Times New Roman"/>
          <w:i/>
          <w:iCs/>
          <w:sz w:val="22"/>
          <w:szCs w:val="22"/>
        </w:rPr>
        <w:t xml:space="preserve">Masked-window reconstruction.</w:t>
      </w:r>
      <w:r>
        <w:rPr>
          <w:rFonts w:ascii="Times New Roman" w:cs="Times New Roman" w:eastAsia="Times New Roman" w:hAnsi="Times New Roman"/>
          <w:sz w:val="22"/>
          <w:szCs w:val="22"/>
        </w:rPr>
        <w:t xml:space="preserve"> For 15% of windows, chosen at random, </w:t>
      </w:r>
      <w:r>
        <w:rPr>
          <w:rFonts w:ascii="Times New Roman" w:cs="Times New Roman" w:eastAsia="Times New Roman" w:hAnsi="Times New Roman"/>
          <w:i/>
          <w:iCs/>
          <w:sz w:val="22"/>
          <w:szCs w:val="22"/>
        </w:rPr>
        <w:t xml:space="preserve">h</w:t>
      </w:r>
      <w:r>
        <w:rPr>
          <w:rFonts w:ascii="Times New Roman" w:cs="Times New Roman" w:eastAsia="Times New Roman" w:hAnsi="Times New Roman"/>
          <w:i/>
          <w:iCs/>
          <w:sz w:val="22"/>
          <w:szCs w:val="22"/>
          <w:vertAlign w:val="subscript"/>
        </w:rPr>
        <w:t xml:space="preserve">i</w:t>
      </w:r>
      <w:r>
        <w:rPr>
          <w:rFonts w:ascii="Times New Roman" w:cs="Times New Roman" w:eastAsia="Times New Roman" w:hAnsi="Times New Roman"/>
          <w:sz w:val="22"/>
          <w:szCs w:val="22"/>
        </w:rPr>
        <w:t xml:space="preserve"> is replaced by a learned mask token before the attention blocks, and a two-layer network </w:t>
      </w:r>
      <w:r>
        <w:rPr>
          <w:rFonts w:ascii="Times New Roman" w:cs="Times New Roman" w:eastAsia="Times New Roman" w:hAnsi="Times New Roman"/>
          <w:i/>
          <w:iCs/>
          <w:sz w:val="22"/>
          <w:szCs w:val="22"/>
        </w:rPr>
        <w:t xml:space="preserve">g</w:t>
      </w:r>
      <w:r>
        <w:rPr>
          <w:rFonts w:ascii="Times New Roman" w:cs="Times New Roman" w:eastAsia="Times New Roman" w:hAnsi="Times New Roman"/>
          <w:sz w:val="22"/>
          <w:szCs w:val="22"/>
        </w:rPr>
        <w:t xml:space="preserve"> must reconstruct the window's original embedding from its output </w:t>
      </w:r>
      <w:r>
        <w:rPr>
          <w:rFonts w:ascii="Times New Roman" w:cs="Times New Roman" w:eastAsia="Times New Roman" w:hAnsi="Times New Roman"/>
          <w:i/>
          <w:iCs/>
          <w:sz w:val="22"/>
          <w:szCs w:val="22"/>
        </w:rPr>
        <w:t xml:space="preserve">z</w:t>
      </w:r>
      <w:r>
        <w:rPr>
          <w:rFonts w:ascii="Times New Roman" w:cs="Times New Roman" w:eastAsia="Times New Roman" w:hAnsi="Times New Roman"/>
          <w:i/>
          <w:iCs/>
          <w:sz w:val="22"/>
          <w:szCs w:val="22"/>
          <w:vertAlign w:val="subscript"/>
        </w:rPr>
        <w:t xml:space="preserve">i</w:t>
      </w:r>
      <w:r>
        <w:rPr>
          <w:rFonts w:ascii="Times New Roman" w:cs="Times New Roman" w:eastAsia="Times New Roman" w:hAnsi="Times New Roman"/>
          <w:sz w:val="22"/>
          <w:szCs w:val="22"/>
        </w:rPr>
        <w:t xml:space="preserve">. A whole window, not individual bases, is masked: a pooled 256-dimensional vector cannot carry 5,000 bases, but it can be inferred from the window's graph neighbours, which is the capacity we want to train. With </w:t>
      </w:r>
      <w:r>
        <w:rPr>
          <w:rFonts w:ascii="Times New Roman" w:cs="Times New Roman" w:eastAsia="Times New Roman" w:hAnsi="Times New Roman"/>
          <w:sz w:val="22"/>
          <w:szCs w:val="22"/>
        </w:rPr>
        <w:t xml:space="preserve">ℳ</w:t>
      </w:r>
      <w:r>
        <w:rPr>
          <w:rFonts w:ascii="Times New Roman" w:cs="Times New Roman" w:eastAsia="Times New Roman" w:hAnsi="Times New Roman"/>
          <w:sz w:val="22"/>
          <w:szCs w:val="22"/>
        </w:rPr>
        <w:t xml:space="preserve"> the set of masked usable windows and </w:t>
      </w:r>
      <w:r>
        <w:rPr>
          <w:rFonts w:ascii="Times New Roman" w:cs="Times New Roman" w:eastAsia="Times New Roman" w:hAnsi="Times New Roman"/>
          <w:sz w:val="22"/>
          <w:szCs w:val="22"/>
        </w:rPr>
        <w:t xml:space="preserve">sg</w:t>
      </w:r>
      <w:r>
        <w:rPr>
          <w:rFonts w:ascii="Times New Roman" w:cs="Times New Roman" w:eastAsia="Times New Roman" w:hAnsi="Times New Roman"/>
          <w:sz w:val="22"/>
          <w:szCs w:val="22"/>
        </w:rPr>
        <w:t xml:space="preserve"> the stop-gradient,</w:t>
      </w:r>
    </w:p>
    <w:p>
      <w:pPr>
        <w:tabs>
          <w:tab w:val="center" w:pos="4514"/>
          <w:tab w:val="right" w:pos="9026"/>
        </w:tabs>
        <w:spacing w:after="100" w:before="100"/>
      </w:pPr>
      <w:r>
        <w:rPr>
          <w:rFonts w:ascii="Times New Roman" w:cs="Times New Roman" w:eastAsia="Times New Roman" w:hAnsi="Times New Roman"/>
          <w:sz w:val="22"/>
          <w:szCs w:val="22"/>
        </w:rPr>
        <w:t xml:space="preserve">	</w:t>
      </w:r>
      <w:r>
        <w:drawing>
          <wp:inline distT="0" distB="0" distL="0" distR="0">
            <wp:extent cx="1952625" cy="333375"/>
            <wp:effectExtent t="0" r="0" b="0" l="0"/>
            <wp:docPr id="10" name="eq_l_mask" descr="l_mask" title="Equatio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52625" cy="333375"/>
                    </a:xfrm>
                    <a:prstGeom prst="rect">
                      <a:avLst/>
                    </a:prstGeom>
                  </pic:spPr>
                </pic:pic>
              </a:graphicData>
            </a:graphic>
          </wp:inline>
        </w:drawing>
      </w:r>
      <w:r>
        <w:rPr>
          <w:rFonts w:ascii="Times New Roman" w:cs="Times New Roman" w:eastAsia="Times New Roman" w:hAnsi="Times New Roman"/>
          <w:sz w:val="22"/>
          <w:szCs w:val="22"/>
        </w:rPr>
        <w:t xml:space="preserve">	(7)</w:t>
      </w:r>
    </w:p>
    <w:p>
      <w:pPr>
        <w:spacing w:after="120" w:line="276"/>
        <w:jc w:val="both"/>
      </w:pPr>
      <w:r>
        <w:rPr>
          <w:rFonts w:ascii="Times New Roman" w:cs="Times New Roman" w:eastAsia="Times New Roman" w:hAnsi="Times New Roman"/>
          <w:i/>
          <w:iCs/>
          <w:sz w:val="22"/>
          <w:szCs w:val="22"/>
        </w:rPr>
        <w:t xml:space="preserve">Distance-matched contrastive alignment.</w:t>
      </w:r>
      <w:r>
        <w:rPr>
          <w:rFonts w:ascii="Times New Roman" w:cs="Times New Roman" w:eastAsia="Times New Roman" w:hAnsi="Times New Roman"/>
          <w:sz w:val="22"/>
          <w:szCs w:val="22"/>
        </w:rPr>
        <w:t xml:space="preserve"> Each held-out target edge </w:t>
      </w:r>
      <w:r>
        <w:rPr>
          <w:rFonts w:ascii="Times New Roman" w:cs="Times New Roman" w:eastAsia="Times New Roman" w:hAnsi="Times New Roman"/>
          <w:sz w:val="22"/>
          <w:szCs w:val="22"/>
        </w:rPr>
        <w:t xml:space="preserve">(</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j</w:t>
      </w:r>
      <w:r>
        <w:rPr>
          <w:rFonts w:ascii="Times New Roman" w:cs="Times New Roman" w:eastAsia="Times New Roman" w:hAnsi="Times New Roman"/>
          <w:sz w:val="22"/>
          <w:szCs w:val="22"/>
        </w:rPr>
        <w:t xml:space="preserve">) ∈ 𝒯</w:t>
      </w:r>
      <w:r>
        <w:rPr>
          <w:rFonts w:ascii="Times New Roman" w:cs="Times New Roman" w:eastAsia="Times New Roman" w:hAnsi="Times New Roman"/>
          <w:sz w:val="22"/>
          <w:szCs w:val="22"/>
        </w:rPr>
        <w:t xml:space="preserve"> is a positive pair, contrasted against up to 16 negative pairs </w:t>
      </w:r>
      <w:r>
        <w:rPr>
          <w:rFonts w:ascii="Times New Roman" w:cs="Times New Roman" w:eastAsia="Times New Roman" w:hAnsi="Times New Roman"/>
          <w:sz w:val="22"/>
          <w:szCs w:val="22"/>
        </w:rPr>
        <w:t xml:space="preserve">𝒟</w:t>
      </w:r>
      <w:r>
        <w:rPr>
          <w:rFonts w:ascii="Times New Roman" w:cs="Times New Roman" w:eastAsia="Times New Roman" w:hAnsi="Times New Roman"/>
          <w:i/>
          <w:iCs/>
          <w:sz w:val="22"/>
          <w:szCs w:val="22"/>
          <w:vertAlign w:val="subscript"/>
        </w:rPr>
        <w:t xml:space="preserve">ij</w:t>
      </w:r>
      <w:r>
        <w:rPr>
          <w:rFonts w:ascii="Times New Roman" w:cs="Times New Roman" w:eastAsia="Times New Roman" w:hAnsi="Times New Roman"/>
          <w:sz w:val="22"/>
          <w:szCs w:val="22"/>
        </w:rPr>
        <w:t xml:space="preserve"> drawn from the same sample at exactly the same separation, with an InfoNCE loss [40,41] on projected, </w:t>
      </w:r>
      <w:r>
        <w:rPr>
          <w:rFonts w:ascii="Times New Roman" w:cs="Times New Roman" w:eastAsia="Times New Roman" w:hAnsi="Times New Roman"/>
          <w:i/>
          <w:iCs/>
          <w:sz w:val="22"/>
          <w:szCs w:val="22"/>
        </w:rPr>
        <w:t xml:space="preserve">ℓ</w:t>
      </w:r>
      <w:r>
        <w:rPr>
          <w:rFonts w:ascii="Times New Roman" w:cs="Times New Roman" w:eastAsia="Times New Roman" w:hAnsi="Times New Roman"/>
          <w:sz w:val="22"/>
          <w:szCs w:val="22"/>
          <w:vertAlign w:val="subscript"/>
        </w:rPr>
        <w:t xml:space="preserve">2</w:t>
      </w:r>
      <w:r>
        <w:rPr>
          <w:rFonts w:ascii="Times New Roman" w:cs="Times New Roman" w:eastAsia="Times New Roman" w:hAnsi="Times New Roman"/>
          <w:sz w:val="22"/>
          <w:szCs w:val="22"/>
        </w:rPr>
        <w:t xml:space="preserve">-normalised representations </w:t>
      </w:r>
      <w:r>
        <w:rPr>
          <w:rFonts w:ascii="Times New Roman" w:cs="Times New Roman" w:eastAsia="Times New Roman" w:hAnsi="Times New Roman"/>
          <w:i/>
          <w:iCs/>
          <w:sz w:val="22"/>
          <w:szCs w:val="22"/>
        </w:rPr>
        <w:t xml:space="preserve">z</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and temperature </w:t>
      </w:r>
      <w:r>
        <w:rPr>
          <w:rFonts w:ascii="Times New Roman" w:cs="Times New Roman" w:eastAsia="Times New Roman" w:hAnsi="Times New Roman"/>
          <w:i/>
          <w:iCs/>
          <w:sz w:val="22"/>
          <w:szCs w:val="22"/>
        </w:rPr>
        <w:t xml:space="preserve">τ</w:t>
      </w:r>
      <w:r>
        <w:rPr>
          <w:rFonts w:ascii="Times New Roman" w:cs="Times New Roman" w:eastAsia="Times New Roman" w:hAnsi="Times New Roman"/>
          <w:sz w:val="22"/>
          <w:szCs w:val="22"/>
        </w:rPr>
        <w:t xml:space="preserve"> = 0.1</w:t>
      </w:r>
      <w:r>
        <w:rPr>
          <w:rFonts w:ascii="Times New Roman" w:cs="Times New Roman" w:eastAsia="Times New Roman" w:hAnsi="Times New Roman"/>
          <w:sz w:val="22"/>
          <w:szCs w:val="22"/>
        </w:rPr>
        <w:t xml:space="preserve">. Matching the separation of negatives to that of the positive removes the shortcut of judging contact by distance, which the model can already read from its input. Every held-out positive contributes, rather than one sampled positive per sample:</w:t>
      </w:r>
    </w:p>
    <w:p>
      <w:pPr>
        <w:tabs>
          <w:tab w:val="center" w:pos="4514"/>
          <w:tab w:val="right" w:pos="9026"/>
        </w:tabs>
        <w:spacing w:after="100" w:before="100"/>
      </w:pPr>
      <w:r>
        <w:rPr>
          <w:rFonts w:ascii="Times New Roman" w:cs="Times New Roman" w:eastAsia="Times New Roman" w:hAnsi="Times New Roman"/>
          <w:sz w:val="22"/>
          <w:szCs w:val="22"/>
        </w:rPr>
        <w:t xml:space="preserve">	</w:t>
      </w:r>
      <w:r>
        <w:drawing>
          <wp:inline distT="0" distB="0" distL="0" distR="0">
            <wp:extent cx="2705100" cy="428625"/>
            <wp:effectExtent t="0" r="0" b="0" l="0"/>
            <wp:docPr id="11" name="eq_l_con" descr="l_con" title="Equatio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05100" cy="428625"/>
                    </a:xfrm>
                    <a:prstGeom prst="rect">
                      <a:avLst/>
                    </a:prstGeom>
                  </pic:spPr>
                </pic:pic>
              </a:graphicData>
            </a:graphic>
          </wp:inline>
        </w:drawing>
      </w:r>
      <w:r>
        <w:rPr>
          <w:rFonts w:ascii="Times New Roman" w:cs="Times New Roman" w:eastAsia="Times New Roman" w:hAnsi="Times New Roman"/>
          <w:sz w:val="22"/>
          <w:szCs w:val="22"/>
        </w:rPr>
        <w:t xml:space="preserve">	(8)</w:t>
      </w:r>
    </w:p>
    <w:p>
      <w:pPr>
        <w:spacing w:after="120" w:line="276"/>
        <w:jc w:val="both"/>
      </w:pPr>
      <w:r>
        <w:rPr>
          <w:rFonts w:ascii="Times New Roman" w:cs="Times New Roman" w:eastAsia="Times New Roman" w:hAnsi="Times New Roman"/>
          <w:i/>
          <w:iCs/>
          <w:sz w:val="22"/>
          <w:szCs w:val="22"/>
        </w:rPr>
        <w:t xml:space="preserve">Contact regression.</w:t>
      </w:r>
      <w:r>
        <w:rPr>
          <w:rFonts w:ascii="Times New Roman" w:cs="Times New Roman" w:eastAsia="Times New Roman" w:hAnsi="Times New Roman"/>
          <w:sz w:val="22"/>
          <w:szCs w:val="22"/>
        </w:rPr>
        <w:t xml:space="preserve"> A symmetric head </w:t>
      </w:r>
      <w:r>
        <w:rPr>
          <w:rFonts w:ascii="Times New Roman" w:cs="Times New Roman" w:eastAsia="Times New Roman" w:hAnsi="Times New Roman"/>
          <w:i/>
          <w:iCs/>
          <w:sz w:val="22"/>
          <w:szCs w:val="22"/>
        </w:rPr>
        <w:t xml:space="preserve">f</w:t>
      </w:r>
      <w:r>
        <w:rPr>
          <w:rFonts w:ascii="Times New Roman" w:cs="Times New Roman" w:eastAsia="Times New Roman" w:hAnsi="Times New Roman"/>
          <w:sz w:val="22"/>
          <w:szCs w:val="22"/>
        </w:rPr>
        <w:t xml:space="preserve"> predicts each target edge's log observed-over-expected contact from the two window representations and their separation. Because </w:t>
      </w:r>
      <w:r>
        <w:rPr>
          <w:rFonts w:ascii="Times New Roman" w:cs="Times New Roman" w:eastAsia="Times New Roman" w:hAnsi="Times New Roman"/>
          <w:i/>
          <w:iCs/>
          <w:sz w:val="22"/>
          <w:szCs w:val="22"/>
        </w:rPr>
        <w:t xml:space="preserve">c</w:t>
      </w:r>
      <w:r>
        <w:rPr>
          <w:rFonts w:ascii="Times New Roman" w:cs="Times New Roman" w:eastAsia="Times New Roman" w:hAnsi="Times New Roman"/>
          <w:sz w:val="22"/>
          <w:szCs w:val="22"/>
        </w:rPr>
        <w:t xml:space="preserve"> = </w:t>
      </w:r>
      <w:r>
        <w:rPr>
          <w:rFonts w:ascii="Times New Roman" w:cs="Times New Roman" w:eastAsia="Times New Roman" w:hAnsi="Times New Roman"/>
          <w:sz w:val="22"/>
          <w:szCs w:val="22"/>
        </w:rPr>
        <w:t xml:space="preserve">O/E</w:t>
      </w:r>
      <w:r>
        <w:rPr>
          <w:rFonts w:ascii="Times New Roman" w:cs="Times New Roman" w:eastAsia="Times New Roman" w:hAnsi="Times New Roman"/>
          <w:sz w:val="22"/>
          <w:szCs w:val="22"/>
        </w:rPr>
        <w:t xml:space="preserve">/(1+</w:t>
      </w:r>
      <w:r>
        <w:rPr>
          <w:rFonts w:ascii="Times New Roman" w:cs="Times New Roman" w:eastAsia="Times New Roman" w:hAnsi="Times New Roman"/>
          <w:sz w:val="22"/>
          <w:szCs w:val="22"/>
        </w:rPr>
        <w:t xml:space="preserve">O/E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target </w:t>
      </w:r>
      <w:r>
        <w:rPr>
          <w:rFonts w:ascii="Times New Roman" w:cs="Times New Roman" w:eastAsia="Times New Roman" w:hAnsi="Times New Roman"/>
          <w:sz w:val="22"/>
          <w:szCs w:val="22"/>
        </w:rPr>
        <w:t xml:space="preserve">log</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O/E</w:t>
      </w:r>
      <w:r>
        <w:rPr>
          <w:rFonts w:ascii="Times New Roman" w:cs="Times New Roman" w:eastAsia="Times New Roman" w:hAnsi="Times New Roman"/>
          <w:sz w:val="22"/>
          <w:szCs w:val="22"/>
        </w:rPr>
        <w:t xml:space="preserve"> equals the logit of </w:t>
      </w:r>
      <w:r>
        <w:rPr>
          <w:rFonts w:ascii="Times New Roman" w:cs="Times New Roman" w:eastAsia="Times New Roman" w:hAnsi="Times New Roman"/>
          <w:i/>
          <w:iCs/>
          <w:sz w:val="22"/>
          <w:szCs w:val="22"/>
        </w:rPr>
        <w:t xml:space="preserve">c</w:t>
      </w:r>
      <w:r>
        <w:rPr>
          <w:rFonts w:ascii="Times New Roman" w:cs="Times New Roman" w:eastAsia="Times New Roman" w:hAnsi="Times New Roman"/>
          <w:sz w:val="22"/>
          <w:szCs w:val="22"/>
        </w:rPr>
        <w:t xml:space="preserve">, so the head's output is a logit and </w:t>
      </w:r>
      <w:r>
        <w:rPr>
          <w:rFonts w:ascii="Times New Roman" w:cs="Times New Roman" w:eastAsia="Times New Roman" w:hAnsi="Times New Roman"/>
          <w:i/>
          <w:iCs/>
          <w:sz w:val="22"/>
          <w:szCs w:val="22"/>
        </w:rPr>
        <w:t xml:space="preserve">σ</w:t>
      </w:r>
      <w:r>
        <w:rPr>
          <w:rFonts w:ascii="Times New Roman" w:cs="Times New Roman" w:eastAsia="Times New Roman" w:hAnsi="Times New Roman"/>
          <w:sz w:val="22"/>
          <w:szCs w:val="22"/>
        </w:rPr>
        <w:t xml:space="preserve">(</w:t>
      </w:r>
      <w:r>
        <w:rPr>
          <w:rFonts w:ascii="Times New Roman" w:cs="Times New Roman" w:eastAsia="Times New Roman" w:hAnsi="Times New Roman"/>
          <w:i/>
          <w:iCs/>
          <w:sz w:val="22"/>
          <w:szCs w:val="22"/>
        </w:rPr>
        <w:t xml:space="preserve">f</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is a predicted strength. Regressing the logit directly, rather than applying binary cross-entropy against the soft strength, keeps the same optimum while avoiding the shrinkage of the cross-entropy gradient by </w:t>
      </w:r>
      <w:r>
        <w:rPr>
          <w:rFonts w:ascii="Times New Roman" w:cs="Times New Roman" w:eastAsia="Times New Roman" w:hAnsi="Times New Roman"/>
          <w:i/>
          <w:iCs/>
          <w:sz w:val="22"/>
          <w:szCs w:val="22"/>
        </w:rPr>
        <w:t xml:space="preserve">σ</w:t>
      </w:r>
      <w:r>
        <w:rPr>
          <w:rFonts w:ascii="Times New Roman" w:cs="Times New Roman" w:eastAsia="Times New Roman" w:hAnsi="Times New Roman"/>
          <w:sz w:val="22"/>
          <w:szCs w:val="22"/>
        </w:rPr>
        <w:t xml:space="preserve">'(</w:t>
      </w:r>
      <w:r>
        <w:rPr>
          <w:rFonts w:ascii="Times New Roman" w:cs="Times New Roman" w:eastAsia="Times New Roman" w:hAnsi="Times New Roman"/>
          <w:i/>
          <w:iCs/>
          <w:sz w:val="22"/>
          <w:szCs w:val="22"/>
        </w:rPr>
        <w:t xml:space="preserve">f</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which is small for the strongly enriched contacts that make up the targets:</w:t>
      </w:r>
    </w:p>
    <w:p>
      <w:pPr>
        <w:tabs>
          <w:tab w:val="center" w:pos="4514"/>
          <w:tab w:val="right" w:pos="9026"/>
        </w:tabs>
        <w:spacing w:after="100" w:before="100"/>
      </w:pPr>
      <w:r>
        <w:rPr>
          <w:rFonts w:ascii="Times New Roman" w:cs="Times New Roman" w:eastAsia="Times New Roman" w:hAnsi="Times New Roman"/>
          <w:sz w:val="22"/>
          <w:szCs w:val="22"/>
        </w:rPr>
        <w:t xml:space="preserve">	</w:t>
      </w:r>
      <w:r>
        <w:drawing>
          <wp:inline distT="0" distB="0" distL="0" distR="0">
            <wp:extent cx="5095875" cy="333375"/>
            <wp:effectExtent t="0" r="0" b="0" l="0"/>
            <wp:docPr id="12" name="eq_l_contact" descr="l_contact" title="Equatio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95875" cy="333375"/>
                    </a:xfrm>
                    <a:prstGeom prst="rect">
                      <a:avLst/>
                    </a:prstGeom>
                  </pic:spPr>
                </pic:pic>
              </a:graphicData>
            </a:graphic>
          </wp:inline>
        </w:drawing>
      </w:r>
      <w:r>
        <w:rPr>
          <w:rFonts w:ascii="Times New Roman" w:cs="Times New Roman" w:eastAsia="Times New Roman" w:hAnsi="Times New Roman"/>
          <w:sz w:val="22"/>
          <w:szCs w:val="22"/>
        </w:rPr>
        <w:t xml:space="preserve">	(9)</w:t>
      </w:r>
    </w:p>
    <w:p>
      <w:pPr>
        <w:spacing w:after="120" w:line="276"/>
        <w:jc w:val="both"/>
      </w:pPr>
      <w:r>
        <w:rPr>
          <w:rFonts w:ascii="Times New Roman" w:cs="Times New Roman" w:eastAsia="Times New Roman" w:hAnsi="Times New Roman"/>
          <w:i/>
          <w:iCs/>
          <w:sz w:val="22"/>
          <w:szCs w:val="22"/>
        </w:rPr>
        <w:t xml:space="preserve">Structure distillation</w:t>
      </w:r>
      <w:r>
        <w:rPr>
          <w:rFonts w:ascii="Times New Roman" w:cs="Times New Roman" w:eastAsia="Times New Roman" w:hAnsi="Times New Roman"/>
          <w:sz w:val="22"/>
          <w:szCs w:val="22"/>
        </w:rPr>
        <w:t xml:space="preserve"> is defined over the set </w:t>
      </w:r>
      <w:r>
        <w:rPr>
          <w:rFonts w:ascii="Times New Roman" w:cs="Times New Roman" w:eastAsia="Times New Roman" w:hAnsi="Times New Roman"/>
          <w:i/>
          <w:iCs/>
          <w:sz w:val="22"/>
          <w:szCs w:val="22"/>
        </w:rPr>
        <w:t xml:space="preserve">V</w:t>
      </w:r>
      <w:r>
        <w:rPr>
          <w:rFonts w:ascii="Times New Roman" w:cs="Times New Roman" w:eastAsia="Times New Roman" w:hAnsi="Times New Roman"/>
          <w:sz w:val="22"/>
          <w:szCs w:val="22"/>
        </w:rPr>
        <w:t xml:space="preserve"> of usable windows as</w:t>
      </w:r>
    </w:p>
    <w:p>
      <w:pPr>
        <w:tabs>
          <w:tab w:val="center" w:pos="4514"/>
          <w:tab w:val="right" w:pos="9026"/>
        </w:tabs>
        <w:spacing w:after="100" w:before="100"/>
      </w:pPr>
      <w:r>
        <w:rPr>
          <w:rFonts w:ascii="Times New Roman" w:cs="Times New Roman" w:eastAsia="Times New Roman" w:hAnsi="Times New Roman"/>
          <w:sz w:val="22"/>
          <w:szCs w:val="22"/>
        </w:rPr>
        <w:t xml:space="preserve">	</w:t>
      </w:r>
      <w:r>
        <w:drawing>
          <wp:inline distT="0" distB="0" distL="0" distR="0">
            <wp:extent cx="1809750" cy="333375"/>
            <wp:effectExtent t="0" r="0" b="0" l="0"/>
            <wp:docPr id="13" name="eq_l_distill" descr="l_distill" title="Equatio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809750" cy="333375"/>
                    </a:xfrm>
                    <a:prstGeom prst="rect">
                      <a:avLst/>
                    </a:prstGeom>
                  </pic:spPr>
                </pic:pic>
              </a:graphicData>
            </a:graphic>
          </wp:inline>
        </w:drawing>
      </w:r>
      <w:r>
        <w:rPr>
          <w:rFonts w:ascii="Times New Roman" w:cs="Times New Roman" w:eastAsia="Times New Roman" w:hAnsi="Times New Roman"/>
          <w:sz w:val="22"/>
          <w:szCs w:val="22"/>
        </w:rPr>
        <w:t xml:space="preserve">	(10)</w:t>
      </w:r>
    </w:p>
    <w:p>
      <w:pPr>
        <w:spacing w:after="120" w:line="276"/>
        <w:jc w:val="both"/>
      </w:pPr>
      <w:r>
        <w:rPr>
          <w:rFonts w:ascii="Times New Roman" w:cs="Times New Roman" w:eastAsia="Times New Roman" w:hAnsi="Times New Roman"/>
          <w:sz w:val="22"/>
          <w:szCs w:val="22"/>
        </w:rPr>
        <w:t xml:space="preserve">and the total objective is</w:t>
      </w:r>
    </w:p>
    <w:p>
      <w:pPr>
        <w:tabs>
          <w:tab w:val="center" w:pos="4514"/>
          <w:tab w:val="right" w:pos="9026"/>
        </w:tabs>
        <w:spacing w:after="100" w:before="100"/>
      </w:pPr>
      <w:r>
        <w:rPr>
          <w:rFonts w:ascii="Times New Roman" w:cs="Times New Roman" w:eastAsia="Times New Roman" w:hAnsi="Times New Roman"/>
          <w:sz w:val="22"/>
          <w:szCs w:val="22"/>
        </w:rPr>
        <w:t xml:space="preserve">	</w:t>
      </w:r>
      <w:r>
        <w:drawing>
          <wp:inline distT="0" distB="0" distL="0" distR="0">
            <wp:extent cx="3400425" cy="171450"/>
            <wp:effectExtent t="0" r="0" b="0" l="0"/>
            <wp:docPr id="14" name="eq_l_total" descr="l_total" title="Equatio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00425" cy="171450"/>
                    </a:xfrm>
                    <a:prstGeom prst="rect">
                      <a:avLst/>
                    </a:prstGeom>
                  </pic:spPr>
                </pic:pic>
              </a:graphicData>
            </a:graphic>
          </wp:inline>
        </w:drawing>
      </w:r>
      <w:r>
        <w:rPr>
          <w:rFonts w:ascii="Times New Roman" w:cs="Times New Roman" w:eastAsia="Times New Roman" w:hAnsi="Times New Roman"/>
          <w:sz w:val="22"/>
          <w:szCs w:val="22"/>
        </w:rPr>
        <w:t xml:space="preserve">	(11)</w:t>
      </w:r>
    </w:p>
    <w:p>
      <w:pPr>
        <w:spacing w:after="120" w:line="276"/>
        <w:jc w:val="both"/>
      </w:pPr>
      <w:r>
        <w:rPr>
          <w:rFonts w:ascii="Times New Roman" w:cs="Times New Roman" w:eastAsia="Times New Roman" w:hAnsi="Times New Roman"/>
          <w:sz w:val="22"/>
          <w:szCs w:val="22"/>
        </w:rPr>
        <w:t xml:space="preserve">with </w:t>
      </w:r>
      <w:r>
        <w:rPr>
          <w:rFonts w:ascii="Times New Roman" w:cs="Times New Roman" w:eastAsia="Times New Roman" w:hAnsi="Times New Roman"/>
          <w:i/>
          <w:iCs/>
          <w:sz w:val="22"/>
          <w:szCs w:val="22"/>
        </w:rPr>
        <w:t xml:space="preserve">λ</w:t>
      </w:r>
      <w:r>
        <w:rPr>
          <w:rFonts w:ascii="Times New Roman" w:cs="Times New Roman" w:eastAsia="Times New Roman" w:hAnsi="Times New Roman"/>
          <w:sz w:val="22"/>
          <w:szCs w:val="22"/>
          <w:vertAlign w:val="subscript"/>
        </w:rPr>
        <w:t xml:space="preserve">mask</w:t>
      </w:r>
      <w:r>
        <w:rPr>
          <w:rFonts w:ascii="Times New Roman" w:cs="Times New Roman" w:eastAsia="Times New Roman" w:hAnsi="Times New Roman"/>
          <w:sz w:val="22"/>
          <w:szCs w:val="22"/>
        </w:rPr>
        <w:t xml:space="preserve"> = 1</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λ</w:t>
      </w:r>
      <w:r>
        <w:rPr>
          <w:rFonts w:ascii="Times New Roman" w:cs="Times New Roman" w:eastAsia="Times New Roman" w:hAnsi="Times New Roman"/>
          <w:sz w:val="22"/>
          <w:szCs w:val="22"/>
          <w:vertAlign w:val="subscript"/>
        </w:rPr>
        <w:t xml:space="preserve">con</w:t>
      </w:r>
      <w:r>
        <w:rPr>
          <w:rFonts w:ascii="Times New Roman" w:cs="Times New Roman" w:eastAsia="Times New Roman" w:hAnsi="Times New Roman"/>
          <w:sz w:val="22"/>
          <w:szCs w:val="22"/>
        </w:rPr>
        <w:t xml:space="preserve"> = 0.5</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λ</w:t>
      </w:r>
      <w:r>
        <w:rPr>
          <w:rFonts w:ascii="Times New Roman" w:cs="Times New Roman" w:eastAsia="Times New Roman" w:hAnsi="Times New Roman"/>
          <w:sz w:val="22"/>
          <w:szCs w:val="22"/>
          <w:vertAlign w:val="subscript"/>
        </w:rPr>
        <w:t xml:space="preserve">contact</w:t>
      </w:r>
      <w:r>
        <w:rPr>
          <w:rFonts w:ascii="Times New Roman" w:cs="Times New Roman" w:eastAsia="Times New Roman" w:hAnsi="Times New Roman"/>
          <w:sz w:val="22"/>
          <w:szCs w:val="22"/>
        </w:rPr>
        <w:t xml:space="preserve"> = 1</w:t>
      </w:r>
      <w:r>
        <w:rPr>
          <w:rFonts w:ascii="Times New Roman" w:cs="Times New Roman" w:eastAsia="Times New Roman" w:hAnsi="Times New Roman"/>
          <w:sz w:val="22"/>
          <w:szCs w:val="22"/>
        </w:rPr>
        <w:t xml:space="preserve"> and </w:t>
      </w:r>
      <w:r>
        <w:rPr>
          <w:rFonts w:ascii="Times New Roman" w:cs="Times New Roman" w:eastAsia="Times New Roman" w:hAnsi="Times New Roman"/>
          <w:i/>
          <w:iCs/>
          <w:sz w:val="22"/>
          <w:szCs w:val="22"/>
        </w:rPr>
        <w:t xml:space="preserve">λ</w:t>
      </w:r>
      <w:r>
        <w:rPr>
          <w:rFonts w:ascii="Times New Roman" w:cs="Times New Roman" w:eastAsia="Times New Roman" w:hAnsi="Times New Roman"/>
          <w:sz w:val="22"/>
          <w:szCs w:val="22"/>
          <w:vertAlign w:val="subscript"/>
        </w:rPr>
        <w:t xml:space="preserve">distill</w:t>
      </w:r>
      <w:r>
        <w:rPr>
          <w:rFonts w:ascii="Times New Roman" w:cs="Times New Roman" w:eastAsia="Times New Roman" w:hAnsi="Times New Roman"/>
          <w:sz w:val="22"/>
          <w:szCs w:val="22"/>
        </w:rPr>
        <w:t xml:space="preserve"> = 1</w:t>
      </w:r>
      <w:r>
        <w:rPr>
          <w:rFonts w:ascii="Times New Roman" w:cs="Times New Roman" w:eastAsia="Times New Roman" w:hAnsi="Times New Roman"/>
          <w:sz w:val="22"/>
          <w:szCs w:val="22"/>
        </w:rPr>
        <w:t xml:space="preserve">.</w:t>
      </w:r>
    </w:p>
    <w:p>
      <w:pPr>
        <w:pStyle w:val="Heading2"/>
        <w:spacing w:after="80" w:before="200"/>
      </w:pPr>
      <w:r>
        <w:rPr>
          <w:rFonts w:ascii="Times New Roman" w:cs="Times New Roman" w:eastAsia="Times New Roman" w:hAnsi="Times New Roman"/>
          <w:b/>
          <w:bCs/>
          <w:sz w:val="22"/>
          <w:szCs w:val="22"/>
        </w:rPr>
        <w:t xml:space="preserve">3.8  Controlled experimental design</w:t>
      </w:r>
    </w:p>
    <w:p>
      <w:pPr>
        <w:spacing w:after="120" w:line="276"/>
        <w:jc w:val="both"/>
      </w:pPr>
      <w:r>
        <w:rPr>
          <w:rFonts w:ascii="Times New Roman" w:cs="Times New Roman" w:eastAsia="Times New Roman" w:hAnsi="Times New Roman"/>
          <w:sz w:val="22"/>
          <w:szCs w:val="22"/>
        </w:rPr>
        <w:t xml:space="preserve">The claim that measured contacts improve a sequence representation is only meaningful against controls that remove everything else a graph-conditioned model has. We therefore train six control arms (Table 1) through the same code path as the full model, with the same architecture and parameter count, the same training windows, the same number of optimisation steps, the same pretraining recipe and the same held-out targets; only the structural signal differs. Each corruption is drawn from the fixed control seed, so every training seed sees the identical corrupted graph and seed variance cannot be confused with corruption variance. The arms are designed to be read in pairs: B0 against the full model asks whether structure helps at all; B1 asks whether any graph regularisation would do; B2 isolates genomic distance; B3, which keeps the measured topology but permutes strengths among edges, isolates the pairing of strength to edge; B4 asks whether conditioning inside the encoder is better than adding Hi-C features after it; and B5 asks whether Hi-C as a contrastive alignment target alone suffices.</w:t>
      </w:r>
    </w:p>
    <w:p>
      <w:pPr>
        <w:spacing w:after="120" w:line="276"/>
        <w:jc w:val="both"/>
      </w:pPr>
      <w:r>
        <w:rPr>
          <w:rFonts w:ascii="Times New Roman" w:cs="Times New Roman" w:eastAsia="Times New Roman" w:hAnsi="Times New Roman"/>
          <w:i/>
          <w:iCs/>
          <w:sz w:val="22"/>
          <w:szCs w:val="22"/>
        </w:rPr>
        <w:t xml:space="preserve">Splits.</w:t>
      </w:r>
      <w:r>
        <w:rPr>
          <w:rFonts w:ascii="Times New Roman" w:cs="Times New Roman" w:eastAsia="Times New Roman" w:hAnsi="Times New Roman"/>
          <w:sz w:val="22"/>
          <w:szCs w:val="22"/>
        </w:rPr>
        <w:t xml:space="preserve"> Hi-C is autocorrelated over megabases, so random window splits would leak. We split by chromosome: chr3, chr13 and chr17 form the test set, chr10 and chr11 the validation set, and the remaining 17 autosomes the training set (6,284 training samples at a stride of half a sample). All model and recipe decisions are made on the validation chromosomes; the test chromosomes are scored once, for the final table. One exception is disclosed: an evaluation bug, since fixed, read the test split for the full model and B3 at exploratory seed 0, so those two seed-0 test numbers are reported only as exploratory.</w:t>
      </w:r>
    </w:p>
    <w:p>
      <w:pPr>
        <w:spacing w:after="120" w:line="276"/>
        <w:jc w:val="both"/>
      </w:pPr>
      <w:r>
        <w:rPr>
          <w:rFonts w:ascii="Times New Roman" w:cs="Times New Roman" w:eastAsia="Times New Roman" w:hAnsi="Times New Roman"/>
          <w:i/>
          <w:iCs/>
          <w:sz w:val="22"/>
          <w:szCs w:val="22"/>
        </w:rPr>
        <w:t xml:space="preserve">Headline setting and metric.</w:t>
      </w:r>
      <w:r>
        <w:rPr>
          <w:rFonts w:ascii="Times New Roman" w:cs="Times New Roman" w:eastAsia="Times New Roman" w:hAnsi="Times New Roman"/>
          <w:sz w:val="22"/>
          <w:szCs w:val="22"/>
        </w:rPr>
        <w:t xml:space="preserve"> Every arm is evaluated with Hi-C removed at inference, so that the only difference between arms is what shaped their weights during pretraining. Results with the graph present are reported separately as an upper bound with privileged input and are never compared with a sequence-only baseline. The headline metric is the Pearson correlation between predicted and measured strength on held-out target edges, stratified by separation into short (&lt;50 kb), medium (50–150 kb) and long (≥150 kb) bands, because a single correlation is dominated by short-range contacts; the long-range band is the primary endpoint. For arms whose pretraining does not train a contact head (B0 and B5), the same contact head is fitted on frozen representations, and all arms are additionally compared under this frozen-representation probe. Differences between arms are assessed with a paired bootstrap over evaluation samples, which is valid because every arm is asked about the identical target edges, and over multiple training seeds.</w:t>
      </w:r>
    </w:p>
    <w:p>
      <w:pPr>
        <w:spacing w:after="120" w:line="276"/>
        <w:jc w:val="both"/>
      </w:pPr>
      <w:r>
        <w:rPr>
          <w:rFonts w:ascii="Times New Roman" w:cs="Times New Roman" w:eastAsia="Times New Roman" w:hAnsi="Times New Roman"/>
          <w:i/>
          <w:iCs/>
          <w:sz w:val="22"/>
          <w:szCs w:val="22"/>
        </w:rPr>
        <w:t xml:space="preserve">Pre-registered decision rule.</w:t>
      </w:r>
      <w:r>
        <w:rPr>
          <w:rFonts w:ascii="Times New Roman" w:cs="Times New Roman" w:eastAsia="Times New Roman" w:hAnsi="Times New Roman"/>
          <w:sz w:val="22"/>
          <w:szCs w:val="22"/>
        </w:rPr>
        <w:t xml:space="preserve"> The claims and the rule that decides them were fixed in writing before any confirmatory run was evaluated. Seed 0 is exploratory and was used only to choose the pretraining recipe; confirmation uses fresh seeds 1–3 for the full model, B3, B0 and B1, at 20,000 steps each, on the validation chromosomes. For a comparison X − Y, 10,000 paired bootstrap resamples of validation samples give a 95% interval for the seed-averaged difference, and X is said to beat Y only if the interval lies above zero and X − Y &gt; 0 in at least two of the three seeds. Claim A, that measured strengths matter, requires the full model to beat B3 on its own contact head. Claim B, that measured topology matters, requires both the full model and B3 to beat both B0 and B1 under the frozen-representation probe; because all four comparisons must pass, no multiple-comparison correction is needed. Every combination of outcomes maps to a pre-specified statement, including a controlled negative result, and B2, B4 and B5 are reported as secondary comparisons whatever the outcome.</w:t>
      </w:r>
    </w:p>
    <w:p>
      <w:pPr>
        <w:keepNext/>
        <w:spacing w:after="80" w:before="200"/>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b/>
          <w:bCs/>
          <w:sz w:val="18"/>
          <w:szCs w:val="18"/>
        </w:rPr>
        <w:t xml:space="preserve">Matched experimental arms.</w:t>
      </w:r>
      <w:r>
        <w:rPr>
          <w:rFonts w:ascii="Times New Roman" w:cs="Times New Roman" w:eastAsia="Times New Roman" w:hAnsi="Times New Roman"/>
          <w:sz w:val="18"/>
          <w:szCs w:val="18"/>
        </w:rPr>
        <w:t xml:space="preserve"> All arms share architecture, parameter count, training data, steps and held-out targets, and are evaluated with Hi-C removed at inference.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500"/>
        <w:gridCol w:w="5226"/>
      </w:tblGrid>
      <w:tr>
        <w:trPr>
          <w:tblHeader/>
        </w:trPr>
        <w:tc>
          <w:tcPr>
            <w:tcW w:type="dxa" w:w="1300"/>
            <w:tcBorders>
              <w:top w:val="single" w:color="000000" w:sz="4"/>
              <w:left w:val="none" w:color="FFFFFF" w:sz="0"/>
              <w:bottom w:val="single" w:color="000000" w:sz="4"/>
              <w:right w:val="none" w:color="FFFFFF" w:sz="0"/>
            </w:tcBorders>
            <w:shd w:fill="F2F2F2" w:color="auto" w:val="clear"/>
            <w:tcMar>
              <w:top w:type="dxa" w:w="50"/>
              <w:left w:type="dxa" w:w="90"/>
              <w:bottom w:type="dxa" w:w="50"/>
              <w:right w:type="dxa" w:w="90"/>
            </w:tcMar>
          </w:tcPr>
          <w:p>
            <w:r>
              <w:rPr>
                <w:rFonts w:ascii="Times New Roman" w:cs="Times New Roman" w:eastAsia="Times New Roman" w:hAnsi="Times New Roman"/>
                <w:b/>
                <w:bCs/>
                <w:sz w:val="18"/>
                <w:szCs w:val="18"/>
              </w:rPr>
              <w:t xml:space="preserve">Arm</w:t>
            </w:r>
          </w:p>
        </w:tc>
        <w:tc>
          <w:tcPr>
            <w:tcW w:type="dxa" w:w="2500"/>
            <w:tcBorders>
              <w:top w:val="single" w:color="000000" w:sz="4"/>
              <w:left w:val="none" w:color="FFFFFF" w:sz="0"/>
              <w:bottom w:val="single" w:color="000000" w:sz="4"/>
              <w:right w:val="none" w:color="FFFFFF" w:sz="0"/>
            </w:tcBorders>
            <w:shd w:fill="F2F2F2" w:color="auto" w:val="clear"/>
            <w:tcMar>
              <w:top w:type="dxa" w:w="50"/>
              <w:left w:type="dxa" w:w="90"/>
              <w:bottom w:type="dxa" w:w="50"/>
              <w:right w:type="dxa" w:w="90"/>
            </w:tcMar>
          </w:tcPr>
          <w:p>
            <w:r>
              <w:rPr>
                <w:rFonts w:ascii="Times New Roman" w:cs="Times New Roman" w:eastAsia="Times New Roman" w:hAnsi="Times New Roman"/>
                <w:b/>
                <w:bCs/>
                <w:sz w:val="18"/>
                <w:szCs w:val="18"/>
              </w:rPr>
              <w:t xml:space="preserve">Structural signal during pretraining</w:t>
            </w:r>
          </w:p>
        </w:tc>
        <w:tc>
          <w:tcPr>
            <w:tcW w:type="dxa" w:w="5226"/>
            <w:tcBorders>
              <w:top w:val="single" w:color="000000" w:sz="4"/>
              <w:left w:val="none" w:color="FFFFFF" w:sz="0"/>
              <w:bottom w:val="single" w:color="000000" w:sz="4"/>
              <w:right w:val="none" w:color="FFFFFF" w:sz="0"/>
            </w:tcBorders>
            <w:shd w:fill="F2F2F2" w:color="auto" w:val="clear"/>
            <w:tcMar>
              <w:top w:type="dxa" w:w="50"/>
              <w:left w:type="dxa" w:w="90"/>
              <w:bottom w:type="dxa" w:w="50"/>
              <w:right w:type="dxa" w:w="90"/>
            </w:tcMar>
          </w:tcPr>
          <w:p>
            <w:r>
              <w:rPr>
                <w:rFonts w:ascii="Times New Roman" w:cs="Times New Roman" w:eastAsia="Times New Roman" w:hAnsi="Times New Roman"/>
                <w:b/>
                <w:bCs/>
                <w:sz w:val="18"/>
                <w:szCs w:val="18"/>
              </w:rPr>
              <w:t xml:space="preserve">Question it answers</w:t>
            </w:r>
          </w:p>
        </w:tc>
      </w:tr>
      <w:tr>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Full</w:t>
            </w:r>
          </w:p>
        </w:tc>
        <w:tc>
          <w:tcPr>
            <w:tcW w:type="dxa" w:w="25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Measured detrended contacts bias attention over the top-k graph</w:t>
            </w:r>
          </w:p>
        </w:tc>
        <w:tc>
          <w:tcPr>
            <w:tcW w:type="dxa" w:w="5226"/>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w:t>
            </w:r>
          </w:p>
        </w:tc>
      </w:tr>
      <w:tr>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B0</w:t>
            </w:r>
          </w:p>
        </w:tc>
        <w:tc>
          <w:tcPr>
            <w:tcW w:type="dxa" w:w="25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No distal graph and no structural objective: local edges and masked-window reconstruction only</w:t>
            </w:r>
          </w:p>
        </w:tc>
        <w:tc>
          <w:tcPr>
            <w:tcW w:type="dxa" w:w="5226"/>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Does structural conditioning help at all?</w:t>
            </w:r>
          </w:p>
        </w:tc>
      </w:tr>
      <w:tr>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B1</w:t>
            </w:r>
          </w:p>
        </w:tc>
        <w:tc>
          <w:tcPr>
            <w:tcW w:type="dxa" w:w="25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Same number of distal edges placed uniformly at random, with borrowed strengths</w:t>
            </w:r>
          </w:p>
        </w:tc>
        <w:tc>
          <w:tcPr>
            <w:tcW w:type="dxa" w:w="5226"/>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Is any graph regularisation enough?</w:t>
            </w:r>
          </w:p>
        </w:tc>
      </w:tr>
      <w:tr>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B2</w:t>
            </w:r>
          </w:p>
        </w:tc>
        <w:tc>
          <w:tcPr>
            <w:tcW w:type="dxa" w:w="25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Measured topology, every strength set to 0.5</w:t>
            </w:r>
          </w:p>
        </w:tc>
        <w:tc>
          <w:tcPr>
            <w:tcW w:type="dxa" w:w="5226"/>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Is the gain explained by genomic distance?</w:t>
            </w:r>
          </w:p>
        </w:tc>
      </w:tr>
      <w:tr>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B3</w:t>
            </w:r>
          </w:p>
        </w:tc>
        <w:tc>
          <w:tcPr>
            <w:tcW w:type="dxa" w:w="25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Measured topology, strengths permuted among edges</w:t>
            </w:r>
          </w:p>
        </w:tc>
        <w:tc>
          <w:tcPr>
            <w:tcW w:type="dxa" w:w="5226"/>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Does the pairing of measured strength to edge matter?</w:t>
            </w:r>
          </w:p>
        </w:tc>
      </w:tr>
      <w:tr>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B4</w:t>
            </w:r>
          </w:p>
        </w:tc>
        <w:tc>
          <w:tcPr>
            <w:tcW w:type="dxa" w:w="25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No distal graph; per-window Hi-C summaries concatenated after the encoder</w:t>
            </w:r>
          </w:p>
        </w:tc>
        <w:tc>
          <w:tcPr>
            <w:tcW w:type="dxa" w:w="5226"/>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Is conditioning inside the encoder better than late fusion?</w:t>
            </w:r>
          </w:p>
        </w:tc>
      </w:tr>
      <w:tr>
        <w:tc>
          <w:tcPr>
            <w:tcW w:type="dxa" w:w="1300"/>
            <w:tcBorders>
              <w:top w:val="none" w:color="FFFFFF" w:sz="0"/>
              <w:left w:val="none" w:color="FFFFFF" w:sz="0"/>
              <w:bottom w:val="single" w:color="000000" w:sz="4"/>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B5</w:t>
            </w:r>
          </w:p>
        </w:tc>
        <w:tc>
          <w:tcPr>
            <w:tcW w:type="dxa" w:w="2500"/>
            <w:tcBorders>
              <w:top w:val="none" w:color="FFFFFF" w:sz="0"/>
              <w:left w:val="none" w:color="FFFFFF" w:sz="0"/>
              <w:bottom w:val="single" w:color="000000" w:sz="4"/>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No distal graph; Hi-C used only as the contrastive alignment target</w:t>
            </w:r>
          </w:p>
        </w:tc>
        <w:tc>
          <w:tcPr>
            <w:tcW w:type="dxa" w:w="5226"/>
            <w:tcBorders>
              <w:top w:val="none" w:color="FFFFFF" w:sz="0"/>
              <w:left w:val="none" w:color="FFFFFF" w:sz="0"/>
              <w:bottom w:val="single" w:color="000000" w:sz="4"/>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Is Hi-C as an alignment target alone sufficient?</w:t>
            </w:r>
          </w:p>
        </w:tc>
      </w:tr>
    </w:tbl>
    <w:p>
      <w:pPr>
        <w:spacing w:after="120"/>
      </w:pPr>
    </w:p>
    <w:p>
      <w:pPr>
        <w:pStyle w:val="Heading2"/>
        <w:spacing w:after="80" w:before="200"/>
      </w:pPr>
      <w:r>
        <w:rPr>
          <w:rFonts w:ascii="Times New Roman" w:cs="Times New Roman" w:eastAsia="Times New Roman" w:hAnsi="Times New Roman"/>
          <w:b/>
          <w:bCs/>
          <w:sz w:val="22"/>
          <w:szCs w:val="22"/>
        </w:rPr>
        <w:t xml:space="preserve">3.9  Implementation details</w:t>
      </w:r>
    </w:p>
    <w:p>
      <w:pPr>
        <w:spacing w:after="120" w:line="276"/>
        <w:jc w:val="both"/>
      </w:pPr>
      <w:r>
        <w:rPr>
          <w:rFonts w:ascii="Times New Roman" w:cs="Times New Roman" w:eastAsia="Times New Roman" w:hAnsi="Times New Roman"/>
          <w:sz w:val="22"/>
          <w:szCs w:val="22"/>
        </w:rPr>
        <w:t xml:space="preserve">The model has 7.3 M parameters: 3.3 M in the local encoder, 3.2 M in the attention blocks and the remainder in the heads. Models are trained for 20,000 steps with AdamW (learning rate </w:t>
      </w:r>
      <w:r>
        <w:rPr>
          <w:rFonts w:ascii="Times New Roman" w:cs="Times New Roman" w:eastAsia="Times New Roman" w:hAnsi="Times New Roman"/>
          <w:sz w:val="22"/>
          <w:szCs w:val="22"/>
        </w:rPr>
        <w:t xml:space="preserve">3 × 10</w:t>
      </w:r>
      <w:r>
        <w:rPr>
          <w:rFonts w:ascii="Times New Roman" w:cs="Times New Roman" w:eastAsia="Times New Roman" w:hAnsi="Times New Roman"/>
          <w:sz w:val="22"/>
          <w:szCs w:val="22"/>
          <w:vertAlign w:val="superscript"/>
        </w:rPr>
        <w:t xml:space="preserve">-4</w:t>
      </w:r>
      <w:r>
        <w:rPr>
          <w:rFonts w:ascii="Times New Roman" w:cs="Times New Roman" w:eastAsia="Times New Roman" w:hAnsi="Times New Roman"/>
          <w:sz w:val="22"/>
          <w:szCs w:val="22"/>
        </w:rPr>
        <w:t xml:space="preserve">, weight decay 0.01), 1,000 warm-up steps followed by cosine decay, gradient clipping at 1.0 and bfloat16 mixed precision. Each step accumulates gradients over four micro-batches of two samples, so one step sees 8 samples, or 1,024 windows (5.1 Mb of sequence). Training uses one NVIDIA L40S GPU per run, with a peak memory of 14.3 GiB. Data are built reproducibly from a manifest that pins the source accessions and checksums, and every run records its resolved configuration and code commit before its first step. Table 2 lists the hyperparameters.</w:t>
      </w:r>
    </w:p>
    <w:p>
      <w:pPr>
        <w:keepNext/>
        <w:spacing w:after="80" w:before="200"/>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b/>
          <w:bCs/>
          <w:sz w:val="18"/>
          <w:szCs w:val="18"/>
        </w:rPr>
        <w:t xml:space="preserve">Hyperparameters.</w:t>
      </w:r>
      <w:r>
        <w:rPr>
          <w:rFonts w:ascii="Times New Roman" w:cs="Times New Roman" w:eastAsia="Times New Roman" w:hAnsi="Times New Roman"/>
          <w:sz w:val="18"/>
          <w:szCs w:val="18"/>
        </w:rPr>
        <w:t xml:space="preserve"> Values are those of the configuration file used for every arm.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013"/>
        <w:gridCol w:w="2000"/>
        <w:gridCol w:w="2013"/>
      </w:tblGrid>
      <w:tr>
        <w:trPr>
          <w:tblHeader/>
        </w:trPr>
        <w:tc>
          <w:tcPr>
            <w:tcW w:type="dxa" w:w="3000"/>
            <w:tcBorders>
              <w:top w:val="single" w:color="000000" w:sz="4"/>
              <w:left w:val="none" w:color="FFFFFF" w:sz="0"/>
              <w:bottom w:val="single" w:color="000000" w:sz="4"/>
              <w:right w:val="none" w:color="FFFFFF" w:sz="0"/>
            </w:tcBorders>
            <w:shd w:fill="F2F2F2" w:color="auto" w:val="clear"/>
            <w:tcMar>
              <w:top w:type="dxa" w:w="50"/>
              <w:left w:type="dxa" w:w="90"/>
              <w:bottom w:type="dxa" w:w="50"/>
              <w:right w:type="dxa" w:w="90"/>
            </w:tcMar>
          </w:tcPr>
          <w:p>
            <w:r>
              <w:rPr>
                <w:rFonts w:ascii="Times New Roman" w:cs="Times New Roman" w:eastAsia="Times New Roman" w:hAnsi="Times New Roman"/>
                <w:b/>
                <w:bCs/>
                <w:sz w:val="18"/>
                <w:szCs w:val="18"/>
              </w:rPr>
              <w:t xml:space="preserve">Component</w:t>
            </w:r>
          </w:p>
        </w:tc>
        <w:tc>
          <w:tcPr>
            <w:tcW w:type="dxa" w:w="2013"/>
            <w:tcBorders>
              <w:top w:val="single" w:color="000000" w:sz="4"/>
              <w:left w:val="none" w:color="FFFFFF" w:sz="0"/>
              <w:bottom w:val="single" w:color="000000" w:sz="4"/>
              <w:right w:val="none" w:color="FFFFFF" w:sz="0"/>
            </w:tcBorders>
            <w:shd w:fill="F2F2F2" w:color="auto" w:val="clear"/>
            <w:tcMar>
              <w:top w:type="dxa" w:w="50"/>
              <w:left w:type="dxa" w:w="90"/>
              <w:bottom w:type="dxa" w:w="50"/>
              <w:right w:type="dxa" w:w="90"/>
            </w:tcMar>
          </w:tcPr>
          <w:p>
            <w:r>
              <w:rPr>
                <w:rFonts w:ascii="Times New Roman" w:cs="Times New Roman" w:eastAsia="Times New Roman" w:hAnsi="Times New Roman"/>
                <w:b/>
                <w:bCs/>
                <w:sz w:val="18"/>
                <w:szCs w:val="18"/>
              </w:rPr>
              <w:t xml:space="preserve">Value</w:t>
            </w:r>
          </w:p>
        </w:tc>
        <w:tc>
          <w:tcPr>
            <w:tcW w:type="dxa" w:w="2000"/>
            <w:tcBorders>
              <w:top w:val="single" w:color="000000" w:sz="4"/>
              <w:left w:val="none" w:color="FFFFFF" w:sz="0"/>
              <w:bottom w:val="single" w:color="000000" w:sz="4"/>
              <w:right w:val="none" w:color="FFFFFF" w:sz="0"/>
            </w:tcBorders>
            <w:shd w:fill="F2F2F2" w:color="auto" w:val="clear"/>
            <w:tcMar>
              <w:top w:type="dxa" w:w="50"/>
              <w:left w:type="dxa" w:w="90"/>
              <w:bottom w:type="dxa" w:w="50"/>
              <w:right w:type="dxa" w:w="90"/>
            </w:tcMar>
          </w:tcPr>
          <w:p>
            <w:r>
              <w:rPr>
                <w:rFonts w:ascii="Times New Roman" w:cs="Times New Roman" w:eastAsia="Times New Roman" w:hAnsi="Times New Roman"/>
                <w:b/>
                <w:bCs/>
                <w:sz w:val="18"/>
                <w:szCs w:val="18"/>
              </w:rPr>
              <w:t xml:space="preserve">Component</w:t>
            </w:r>
          </w:p>
        </w:tc>
        <w:tc>
          <w:tcPr>
            <w:tcW w:type="dxa" w:w="2013"/>
            <w:tcBorders>
              <w:top w:val="single" w:color="000000" w:sz="4"/>
              <w:left w:val="none" w:color="FFFFFF" w:sz="0"/>
              <w:bottom w:val="single" w:color="000000" w:sz="4"/>
              <w:right w:val="none" w:color="FFFFFF" w:sz="0"/>
            </w:tcBorders>
            <w:shd w:fill="F2F2F2" w:color="auto" w:val="clear"/>
            <w:tcMar>
              <w:top w:type="dxa" w:w="50"/>
              <w:left w:type="dxa" w:w="90"/>
              <w:bottom w:type="dxa" w:w="50"/>
              <w:right w:type="dxa" w:w="90"/>
            </w:tcMar>
          </w:tcPr>
          <w:p>
            <w:r>
              <w:rPr>
                <w:rFonts w:ascii="Times New Roman" w:cs="Times New Roman" w:eastAsia="Times New Roman" w:hAnsi="Times New Roman"/>
                <w:b/>
                <w:bCs/>
                <w:sz w:val="18"/>
                <w:szCs w:val="18"/>
              </w:rPr>
              <w:t xml:space="preserve">Value</w:t>
            </w:r>
          </w:p>
        </w:tc>
      </w:tr>
      <w:tr>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Window / context</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5 kb / 128 windows</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Model width </w:t>
            </w:r>
            <w:r>
              <w:rPr>
                <w:rFonts w:ascii="Times New Roman" w:cs="Times New Roman" w:eastAsia="Times New Roman" w:hAnsi="Times New Roman"/>
                <w:i/>
                <w:iCs/>
                <w:sz w:val="18"/>
                <w:szCs w:val="18"/>
              </w:rPr>
              <w:t xml:space="preserve">d</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256</w:t>
            </w:r>
          </w:p>
        </w:tc>
      </w:tr>
      <w:tr>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Local / distal edges</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±3 / top-16, ≥25 kb</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Held-out target edges</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15%</w:t>
            </w:r>
          </w:p>
        </w:tc>
      </w:tr>
      <w:tr>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Conv tower depth</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5 (÷32)</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State-space layers / state</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6 / 16</w:t>
            </w:r>
          </w:p>
        </w:tc>
      </w:tr>
      <w:tr>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Attention blocks / heads</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4 / 8</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Feed-forward width</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1,024</w:t>
            </w:r>
          </w:p>
        </w:tc>
      </w:tr>
      <w:tr>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Structure dropout </w:t>
            </w:r>
            <w:r>
              <w:rPr>
                <w:rFonts w:ascii="Times New Roman" w:cs="Times New Roman" w:eastAsia="Times New Roman" w:hAnsi="Times New Roman"/>
                <w:i/>
                <w:iCs/>
                <w:sz w:val="18"/>
                <w:szCs w:val="18"/>
              </w:rPr>
              <w:t xml:space="preserve">p</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0.3</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Dropout</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0.1</w:t>
            </w:r>
          </w:p>
        </w:tc>
      </w:tr>
      <w:tr>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Masked windows</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15%</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Contrastive </w:t>
            </w:r>
            <w:r>
              <w:rPr>
                <w:rFonts w:ascii="Times New Roman" w:cs="Times New Roman" w:eastAsia="Times New Roman" w:hAnsi="Times New Roman"/>
                <w:i/>
                <w:iCs/>
                <w:sz w:val="18"/>
                <w:szCs w:val="18"/>
              </w:rPr>
              <w:t xml:space="preserve">τ</w:t>
            </w:r>
            <w:r>
              <w:rPr>
                <w:rFonts w:ascii="Times New Roman" w:cs="Times New Roman" w:eastAsia="Times New Roman" w:hAnsi="Times New Roman"/>
                <w:sz w:val="18"/>
                <w:szCs w:val="18"/>
              </w:rPr>
              <w:t xml:space="preserve"> / negatives</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0.1 / 16</w:t>
            </w:r>
          </w:p>
        </w:tc>
      </w:tr>
      <w:tr>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i/>
                <w:iCs/>
                <w:sz w:val="18"/>
                <w:szCs w:val="18"/>
              </w:rPr>
              <w:t xml:space="preserve">λ</w:t>
            </w:r>
            <w:r>
              <w:rPr>
                <w:rFonts w:ascii="Times New Roman" w:cs="Times New Roman" w:eastAsia="Times New Roman" w:hAnsi="Times New Roman"/>
                <w:sz w:val="18"/>
                <w:szCs w:val="18"/>
                <w:vertAlign w:val="subscript"/>
              </w:rPr>
              <w:t xml:space="preserve">mask</w:t>
            </w:r>
            <w:r>
              <w:rPr>
                <w:rFonts w:ascii="Times New Roman" w:cs="Times New Roman" w:eastAsia="Times New Roman" w:hAnsi="Times New Roman"/>
                <w:sz w:val="18"/>
                <w:szCs w:val="18"/>
              </w:rPr>
              <w:t xml:space="preserve"> / </w:t>
            </w:r>
            <w:r>
              <w:rPr>
                <w:rFonts w:ascii="Times New Roman" w:cs="Times New Roman" w:eastAsia="Times New Roman" w:hAnsi="Times New Roman"/>
                <w:i/>
                <w:iCs/>
                <w:sz w:val="18"/>
                <w:szCs w:val="18"/>
              </w:rPr>
              <w:t xml:space="preserve">λ</w:t>
            </w:r>
            <w:r>
              <w:rPr>
                <w:rFonts w:ascii="Times New Roman" w:cs="Times New Roman" w:eastAsia="Times New Roman" w:hAnsi="Times New Roman"/>
                <w:sz w:val="18"/>
                <w:szCs w:val="18"/>
                <w:vertAlign w:val="subscript"/>
              </w:rPr>
              <w:t xml:space="preserve">con</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1 / 0.5</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i/>
                <w:iCs/>
                <w:sz w:val="18"/>
                <w:szCs w:val="18"/>
              </w:rPr>
              <w:t xml:space="preserve">λ</w:t>
            </w:r>
            <w:r>
              <w:rPr>
                <w:rFonts w:ascii="Times New Roman" w:cs="Times New Roman" w:eastAsia="Times New Roman" w:hAnsi="Times New Roman"/>
                <w:sz w:val="18"/>
                <w:szCs w:val="18"/>
                <w:vertAlign w:val="subscript"/>
              </w:rPr>
              <w:t xml:space="preserve">contact</w:t>
            </w:r>
            <w:r>
              <w:rPr>
                <w:rFonts w:ascii="Times New Roman" w:cs="Times New Roman" w:eastAsia="Times New Roman" w:hAnsi="Times New Roman"/>
                <w:sz w:val="18"/>
                <w:szCs w:val="18"/>
              </w:rPr>
              <w:t xml:space="preserve"> / </w:t>
            </w:r>
            <w:r>
              <w:rPr>
                <w:rFonts w:ascii="Times New Roman" w:cs="Times New Roman" w:eastAsia="Times New Roman" w:hAnsi="Times New Roman"/>
                <w:i/>
                <w:iCs/>
                <w:sz w:val="18"/>
                <w:szCs w:val="18"/>
              </w:rPr>
              <w:t xml:space="preserve">λ</w:t>
            </w:r>
            <w:r>
              <w:rPr>
                <w:rFonts w:ascii="Times New Roman" w:cs="Times New Roman" w:eastAsia="Times New Roman" w:hAnsi="Times New Roman"/>
                <w:sz w:val="18"/>
                <w:szCs w:val="18"/>
                <w:vertAlign w:val="subscript"/>
              </w:rPr>
              <w:t xml:space="preserve">distill</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1 / 1</w:t>
            </w:r>
          </w:p>
        </w:tc>
      </w:tr>
      <w:tr>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Steps / warm-up</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20,000 / 1,000</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Learning rate / decay</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3×10⁻⁴ / cosine</w:t>
            </w:r>
          </w:p>
        </w:tc>
      </w:tr>
      <w:tr>
        <w:tc>
          <w:tcPr>
            <w:tcW w:type="dxa" w:w="3000"/>
            <w:tcBorders>
              <w:top w:val="none" w:color="FFFFFF" w:sz="0"/>
              <w:left w:val="none" w:color="FFFFFF" w:sz="0"/>
              <w:bottom w:val="single" w:color="000000" w:sz="4"/>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Samples per step</w:t>
            </w:r>
          </w:p>
        </w:tc>
        <w:tc>
          <w:tcPr>
            <w:tcW w:type="dxa" w:w="2013"/>
            <w:tcBorders>
              <w:top w:val="none" w:color="FFFFFF" w:sz="0"/>
              <w:left w:val="none" w:color="FFFFFF" w:sz="0"/>
              <w:bottom w:val="single" w:color="000000" w:sz="4"/>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8 (2 × 4 accum.)</w:t>
            </w:r>
          </w:p>
        </w:tc>
        <w:tc>
          <w:tcPr>
            <w:tcW w:type="dxa" w:w="2000"/>
            <w:tcBorders>
              <w:top w:val="none" w:color="FFFFFF" w:sz="0"/>
              <w:left w:val="none" w:color="FFFFFF" w:sz="0"/>
              <w:bottom w:val="single" w:color="000000" w:sz="4"/>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Precision</w:t>
            </w:r>
          </w:p>
        </w:tc>
        <w:tc>
          <w:tcPr>
            <w:tcW w:type="dxa" w:w="2013"/>
            <w:tcBorders>
              <w:top w:val="none" w:color="FFFFFF" w:sz="0"/>
              <w:left w:val="none" w:color="FFFFFF" w:sz="0"/>
              <w:bottom w:val="single" w:color="000000" w:sz="4"/>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bfloat16</w:t>
            </w:r>
          </w:p>
        </w:tc>
      </w:tr>
    </w:tbl>
    <w:p>
      <w:pPr>
        <w:spacing w:after="120"/>
      </w:pPr>
    </w:p>
    <w:p>
      <w:pPr>
        <w:pStyle w:val="Heading1"/>
        <w:spacing w:after="120" w:before="280"/>
      </w:pPr>
      <w:r>
        <w:rPr>
          <w:rFonts w:ascii="Times New Roman" w:cs="Times New Roman" w:eastAsia="Times New Roman" w:hAnsi="Times New Roman"/>
          <w:b/>
          <w:bCs/>
          <w:sz w:val="26"/>
          <w:szCs w:val="26"/>
        </w:rPr>
        <w:t xml:space="preserve">4  Results</w:t>
      </w:r>
    </w:p>
    <w:p>
      <w:pPr>
        <w:spacing w:after="120" w:line="276"/>
        <w:jc w:val="both"/>
      </w:pPr>
      <w:r>
        <w:rPr>
          <w:rFonts w:ascii="Times New Roman" w:cs="Times New Roman" w:eastAsia="Times New Roman" w:hAnsi="Times New Roman"/>
          <w:sz w:val="22"/>
          <w:szCs w:val="22"/>
        </w:rPr>
        <w:t xml:space="preserve">[PENDING RESULTS — written from the final multi-seed validation results and the single sealed test evaluation.]</w:t>
      </w:r>
    </w:p>
    <w:p>
      <w:pPr>
        <w:pStyle w:val="Heading1"/>
        <w:spacing w:after="120" w:before="280"/>
      </w:pPr>
      <w:r>
        <w:rPr>
          <w:rFonts w:ascii="Times New Roman" w:cs="Times New Roman" w:eastAsia="Times New Roman" w:hAnsi="Times New Roman"/>
          <w:b/>
          <w:bCs/>
          <w:sz w:val="26"/>
          <w:szCs w:val="26"/>
        </w:rPr>
        <w:t xml:space="preserve">5  Discussion</w:t>
      </w:r>
    </w:p>
    <w:p>
      <w:pPr>
        <w:spacing w:after="120" w:line="276"/>
        <w:jc w:val="both"/>
      </w:pPr>
      <w:r>
        <w:rPr>
          <w:rFonts w:ascii="Times New Roman" w:cs="Times New Roman" w:eastAsia="Times New Roman" w:hAnsi="Times New Roman"/>
          <w:sz w:val="22"/>
          <w:szCs w:val="22"/>
        </w:rPr>
        <w:t xml:space="preserve">[PENDING]</w:t>
      </w:r>
    </w:p>
    <w:p>
      <w:pPr>
        <w:pStyle w:val="Heading1"/>
        <w:spacing w:after="120" w:before="280"/>
      </w:pPr>
      <w:r>
        <w:rPr>
          <w:rFonts w:ascii="Times New Roman" w:cs="Times New Roman" w:eastAsia="Times New Roman" w:hAnsi="Times New Roman"/>
          <w:b/>
          <w:bCs/>
          <w:sz w:val="26"/>
          <w:szCs w:val="26"/>
        </w:rPr>
        <w:t xml:space="preserve">6  Conclusion</w:t>
      </w:r>
    </w:p>
    <w:p>
      <w:pPr>
        <w:spacing w:after="120" w:line="276"/>
        <w:jc w:val="both"/>
      </w:pPr>
      <w:r>
        <w:rPr>
          <w:rFonts w:ascii="Times New Roman" w:cs="Times New Roman" w:eastAsia="Times New Roman" w:hAnsi="Times New Roman"/>
          <w:sz w:val="22"/>
          <w:szCs w:val="22"/>
        </w:rPr>
        <w:t xml:space="preserve">[PENDING]</w:t>
      </w:r>
    </w:p>
    <w:p>
      <w:pPr>
        <w:pStyle w:val="Heading1"/>
        <w:spacing w:after="120" w:before="280"/>
      </w:pPr>
      <w:r>
        <w:rPr>
          <w:rFonts w:ascii="Times New Roman" w:cs="Times New Roman" w:eastAsia="Times New Roman" w:hAnsi="Times New Roman"/>
          <w:b/>
          <w:bCs/>
          <w:sz w:val="26"/>
          <w:szCs w:val="26"/>
        </w:rPr>
        <w:t xml:space="preserve">References</w:t>
      </w:r>
    </w:p>
    <w:p>
      <w:pPr>
        <w:tabs>
          <w:tab w:val="left" w:pos="440"/>
        </w:tabs>
        <w:spacing w:after="60" w:line="240"/>
        <w:ind w:left="440" w:hanging="44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Ji Y, Zhou Z, Liu H, Davuluri RV. DNABERT: pre-trained Bidirectional Encoder Representations from Transformers model for DNA-language in genome. </w:t>
      </w:r>
      <w:r>
        <w:rPr>
          <w:rFonts w:ascii="Times New Roman" w:cs="Times New Roman" w:eastAsia="Times New Roman" w:hAnsi="Times New Roman"/>
          <w:i/>
          <w:iCs/>
          <w:sz w:val="18"/>
          <w:szCs w:val="18"/>
        </w:rPr>
        <w:t xml:space="preserve">Bioinformatics</w:t>
      </w:r>
      <w:r>
        <w:rPr>
          <w:rFonts w:ascii="Times New Roman" w:cs="Times New Roman" w:eastAsia="Times New Roman" w:hAnsi="Times New Roman"/>
          <w:sz w:val="18"/>
          <w:szCs w:val="18"/>
        </w:rPr>
        <w:t xml:space="preserve">. 2021;37(15):2112-2120. https://doi.org/10.1093/bioinformatics/btab083</w:t>
      </w:r>
    </w:p>
    <w:p>
      <w:pPr>
        <w:tabs>
          <w:tab w:val="left" w:pos="440"/>
        </w:tabs>
        <w:spacing w:after="60" w:line="240"/>
        <w:ind w:left="440" w:hanging="44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Dalla-Torre H, Gonzalez L, Mendoza-Revilla J, Lopez Carranza N, Grzywaczewski AH, Oteri F, et al.. Nucleotide Transformer: building and evaluating robust foundation models for human genomics. </w:t>
      </w:r>
      <w:r>
        <w:rPr>
          <w:rFonts w:ascii="Times New Roman" w:cs="Times New Roman" w:eastAsia="Times New Roman" w:hAnsi="Times New Roman"/>
          <w:i/>
          <w:iCs/>
          <w:sz w:val="18"/>
          <w:szCs w:val="18"/>
        </w:rPr>
        <w:t xml:space="preserve">Nature Methods</w:t>
      </w:r>
      <w:r>
        <w:rPr>
          <w:rFonts w:ascii="Times New Roman" w:cs="Times New Roman" w:eastAsia="Times New Roman" w:hAnsi="Times New Roman"/>
          <w:sz w:val="18"/>
          <w:szCs w:val="18"/>
        </w:rPr>
        <w:t xml:space="preserve">. 2025;22(2):287-297. https://doi.org/10.1038/s41592-024-02523-z</w:t>
      </w:r>
    </w:p>
    <w:p>
      <w:pPr>
        <w:tabs>
          <w:tab w:val="left" w:pos="440"/>
        </w:tabs>
        <w:spacing w:after="60" w:line="240"/>
        <w:ind w:left="440" w:hanging="44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Nguyen E, Poli M, Faizi M, Thomas A, Birch-Sykes C, Wornow M, et al.. HyenaDNA: Long-Range Genomic Sequence Modeling at Single Nucleotide Resolution. </w:t>
      </w:r>
      <w:r>
        <w:rPr>
          <w:rFonts w:ascii="Times New Roman" w:cs="Times New Roman" w:eastAsia="Times New Roman" w:hAnsi="Times New Roman"/>
          <w:i/>
          <w:iCs/>
          <w:sz w:val="18"/>
          <w:szCs w:val="18"/>
        </w:rPr>
        <w:t xml:space="preserve">Advances in Neural Information Processing Systems (NeurIPS)</w:t>
      </w:r>
      <w:r>
        <w:rPr>
          <w:rFonts w:ascii="Times New Roman" w:cs="Times New Roman" w:eastAsia="Times New Roman" w:hAnsi="Times New Roman"/>
          <w:sz w:val="18"/>
          <w:szCs w:val="18"/>
        </w:rPr>
        <w:t xml:space="preserve">. 2023. https://arxiv.org/abs/2306.15794</w:t>
      </w:r>
    </w:p>
    <w:p>
      <w:pPr>
        <w:tabs>
          <w:tab w:val="left" w:pos="440"/>
        </w:tabs>
        <w:spacing w:after="60" w:line="240"/>
        <w:ind w:left="440" w:hanging="44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Schiff Y, Kao CH, Gokaslan A, Dao T, Gu A, Kuleshov V. Caduceus: Bi-Directional Equivariant Long-Range DNA Sequence Modeling. </w:t>
      </w:r>
      <w:r>
        <w:rPr>
          <w:rFonts w:ascii="Times New Roman" w:cs="Times New Roman" w:eastAsia="Times New Roman" w:hAnsi="Times New Roman"/>
          <w:i/>
          <w:iCs/>
          <w:sz w:val="18"/>
          <w:szCs w:val="18"/>
        </w:rPr>
        <w:t xml:space="preserve">Proceedings of the 41st International Conference on Machine Learning (ICML), PMLR</w:t>
      </w:r>
      <w:r>
        <w:rPr>
          <w:rFonts w:ascii="Times New Roman" w:cs="Times New Roman" w:eastAsia="Times New Roman" w:hAnsi="Times New Roman"/>
          <w:sz w:val="18"/>
          <w:szCs w:val="18"/>
        </w:rPr>
        <w:t xml:space="preserve">. 2024;PMLR 235:43632-43648. https://proceedings.mlr.press/v235/schiff24a.html</w:t>
      </w:r>
    </w:p>
    <w:p>
      <w:pPr>
        <w:tabs>
          <w:tab w:val="left" w:pos="440"/>
        </w:tabs>
        <w:spacing w:after="60" w:line="240"/>
        <w:ind w:left="440" w:hanging="44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Nguyen E, Poli M, Durrant MG, Kang B, Katrekar D, Li DB, et al.. Sequence modeling and design from molecular to genome scale with Evo. </w:t>
      </w:r>
      <w:r>
        <w:rPr>
          <w:rFonts w:ascii="Times New Roman" w:cs="Times New Roman" w:eastAsia="Times New Roman" w:hAnsi="Times New Roman"/>
          <w:i/>
          <w:iCs/>
          <w:sz w:val="18"/>
          <w:szCs w:val="18"/>
        </w:rPr>
        <w:t xml:space="preserve">Science</w:t>
      </w:r>
      <w:r>
        <w:rPr>
          <w:rFonts w:ascii="Times New Roman" w:cs="Times New Roman" w:eastAsia="Times New Roman" w:hAnsi="Times New Roman"/>
          <w:sz w:val="18"/>
          <w:szCs w:val="18"/>
        </w:rPr>
        <w:t xml:space="preserve">. 2024;386(6723):eado9336. https://doi.org/10.1126/science.ado9336</w:t>
      </w:r>
    </w:p>
    <w:p>
      <w:pPr>
        <w:tabs>
          <w:tab w:val="left" w:pos="440"/>
        </w:tabs>
        <w:spacing w:after="60" w:line="240"/>
        <w:ind w:left="440" w:hanging="44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Brixi G, Durrant MG, Ku J, Naghipourfar M, Poli M, Sun G, et al.. Genome modelling and design across all domains of life with Evo 2. </w:t>
      </w:r>
      <w:r>
        <w:rPr>
          <w:rFonts w:ascii="Times New Roman" w:cs="Times New Roman" w:eastAsia="Times New Roman" w:hAnsi="Times New Roman"/>
          <w:i/>
          <w:iCs/>
          <w:sz w:val="18"/>
          <w:szCs w:val="18"/>
        </w:rPr>
        <w:t xml:space="preserve">Nature</w:t>
      </w:r>
      <w:r>
        <w:rPr>
          <w:rFonts w:ascii="Times New Roman" w:cs="Times New Roman" w:eastAsia="Times New Roman" w:hAnsi="Times New Roman"/>
          <w:sz w:val="18"/>
          <w:szCs w:val="18"/>
        </w:rPr>
        <w:t xml:space="preserve">. 2026;652(8112):1349-1361. https://doi.org/10.1038/s41586-026-10176-5</w:t>
      </w:r>
    </w:p>
    <w:p>
      <w:pPr>
        <w:tabs>
          <w:tab w:val="left" w:pos="440"/>
        </w:tabs>
        <w:spacing w:after="60" w:line="240"/>
        <w:ind w:left="440" w:hanging="44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Dixon JR, Selvaraj S, Yue F, Kim A, Li Y, Shen Y, et al.. Topological domains in mammalian genomes identified by analysis of chromatin interactions. </w:t>
      </w:r>
      <w:r>
        <w:rPr>
          <w:rFonts w:ascii="Times New Roman" w:cs="Times New Roman" w:eastAsia="Times New Roman" w:hAnsi="Times New Roman"/>
          <w:i/>
          <w:iCs/>
          <w:sz w:val="18"/>
          <w:szCs w:val="18"/>
        </w:rPr>
        <w:t xml:space="preserve">Nature</w:t>
      </w:r>
      <w:r>
        <w:rPr>
          <w:rFonts w:ascii="Times New Roman" w:cs="Times New Roman" w:eastAsia="Times New Roman" w:hAnsi="Times New Roman"/>
          <w:sz w:val="18"/>
          <w:szCs w:val="18"/>
        </w:rPr>
        <w:t xml:space="preserve">. 2012;485(7398):376-380. https://doi.org/10.1038/nature11082</w:t>
      </w:r>
    </w:p>
    <w:p>
      <w:pPr>
        <w:tabs>
          <w:tab w:val="left" w:pos="440"/>
        </w:tabs>
        <w:spacing w:after="60" w:line="240"/>
        <w:ind w:left="440" w:hanging="44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Rao SSP, Huntley MH, Durand NC, Stamenova EK, Bochkov ID, Robinson JT, et al.. A 3D Map of the Human Genome at Kilobase Resolution Reveals Principles of Chromatin Looping. </w:t>
      </w:r>
      <w:r>
        <w:rPr>
          <w:rFonts w:ascii="Times New Roman" w:cs="Times New Roman" w:eastAsia="Times New Roman" w:hAnsi="Times New Roman"/>
          <w:i/>
          <w:iCs/>
          <w:sz w:val="18"/>
          <w:szCs w:val="18"/>
        </w:rPr>
        <w:t xml:space="preserve">Cell</w:t>
      </w:r>
      <w:r>
        <w:rPr>
          <w:rFonts w:ascii="Times New Roman" w:cs="Times New Roman" w:eastAsia="Times New Roman" w:hAnsi="Times New Roman"/>
          <w:sz w:val="18"/>
          <w:szCs w:val="18"/>
        </w:rPr>
        <w:t xml:space="preserve">. 2014;159(7):1665-1680. https://doi.org/10.1016/j.cell.2014.11.021</w:t>
      </w:r>
    </w:p>
    <w:p>
      <w:pPr>
        <w:tabs>
          <w:tab w:val="left" w:pos="440"/>
        </w:tabs>
        <w:spacing w:after="60" w:line="240"/>
        <w:ind w:left="440" w:hanging="44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Kelley DR, Reshef YA, Bileschi M, Belanger D, McLean CY, Snoek J. Sequential regulatory activity prediction across chromosomes with convolutional neural networks. </w:t>
      </w:r>
      <w:r>
        <w:rPr>
          <w:rFonts w:ascii="Times New Roman" w:cs="Times New Roman" w:eastAsia="Times New Roman" w:hAnsi="Times New Roman"/>
          <w:i/>
          <w:iCs/>
          <w:sz w:val="18"/>
          <w:szCs w:val="18"/>
        </w:rPr>
        <w:t xml:space="preserve">Genome Research</w:t>
      </w:r>
      <w:r>
        <w:rPr>
          <w:rFonts w:ascii="Times New Roman" w:cs="Times New Roman" w:eastAsia="Times New Roman" w:hAnsi="Times New Roman"/>
          <w:sz w:val="18"/>
          <w:szCs w:val="18"/>
        </w:rPr>
        <w:t xml:space="preserve">. 2018;28(5):739-750. https://doi.org/10.1101/gr.227819.117</w:t>
      </w:r>
    </w:p>
    <w:p>
      <w:pPr>
        <w:tabs>
          <w:tab w:val="left" w:pos="440"/>
        </w:tabs>
        <w:spacing w:after="60" w:line="240"/>
        <w:ind w:left="440" w:hanging="44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Avsec Ž, Agarwal V, Visentin D, Ledsam JR, Grabska-Barwinska A, Taylor KR, et al.. Effective gene expression prediction from sequence by integrating long-range interactions. </w:t>
      </w:r>
      <w:r>
        <w:rPr>
          <w:rFonts w:ascii="Times New Roman" w:cs="Times New Roman" w:eastAsia="Times New Roman" w:hAnsi="Times New Roman"/>
          <w:i/>
          <w:iCs/>
          <w:sz w:val="18"/>
          <w:szCs w:val="18"/>
        </w:rPr>
        <w:t xml:space="preserve">Nature Methods</w:t>
      </w:r>
      <w:r>
        <w:rPr>
          <w:rFonts w:ascii="Times New Roman" w:cs="Times New Roman" w:eastAsia="Times New Roman" w:hAnsi="Times New Roman"/>
          <w:sz w:val="18"/>
          <w:szCs w:val="18"/>
        </w:rPr>
        <w:t xml:space="preserve">. 2021;18(10):1196-1203. https://doi.org/10.1038/s41592-021-01252-x</w:t>
      </w:r>
    </w:p>
    <w:p>
      <w:pPr>
        <w:tabs>
          <w:tab w:val="left" w:pos="440"/>
        </w:tabs>
        <w:spacing w:after="60" w:line="240"/>
        <w:ind w:left="440" w:hanging="44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Avsec Ž, Latysheva N, Cheng J, Novati G, Taylor KR, Ward T, et al.. Advancing regulatory variant effect prediction with AlphaGenome. </w:t>
      </w:r>
      <w:r>
        <w:rPr>
          <w:rFonts w:ascii="Times New Roman" w:cs="Times New Roman" w:eastAsia="Times New Roman" w:hAnsi="Times New Roman"/>
          <w:i/>
          <w:iCs/>
          <w:sz w:val="18"/>
          <w:szCs w:val="18"/>
        </w:rPr>
        <w:t xml:space="preserve">Nature</w:t>
      </w:r>
      <w:r>
        <w:rPr>
          <w:rFonts w:ascii="Times New Roman" w:cs="Times New Roman" w:eastAsia="Times New Roman" w:hAnsi="Times New Roman"/>
          <w:sz w:val="18"/>
          <w:szCs w:val="18"/>
        </w:rPr>
        <w:t xml:space="preserve">. 2026;649(8099):1206-1218. https://doi.org/10.1038/s41586-025-10014-0</w:t>
      </w:r>
    </w:p>
    <w:p>
      <w:pPr>
        <w:tabs>
          <w:tab w:val="left" w:pos="440"/>
        </w:tabs>
        <w:spacing w:after="60" w:line="240"/>
        <w:ind w:left="440" w:hanging="44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Fudenberg G, Imakaev M, Lu C, Goloborodko A, Abdennur N, Mirny LA. Formation of Chromosomal Domains by Loop Extrusion. </w:t>
      </w:r>
      <w:r>
        <w:rPr>
          <w:rFonts w:ascii="Times New Roman" w:cs="Times New Roman" w:eastAsia="Times New Roman" w:hAnsi="Times New Roman"/>
          <w:i/>
          <w:iCs/>
          <w:sz w:val="18"/>
          <w:szCs w:val="18"/>
        </w:rPr>
        <w:t xml:space="preserve">Cell Reports</w:t>
      </w:r>
      <w:r>
        <w:rPr>
          <w:rFonts w:ascii="Times New Roman" w:cs="Times New Roman" w:eastAsia="Times New Roman" w:hAnsi="Times New Roman"/>
          <w:sz w:val="18"/>
          <w:szCs w:val="18"/>
        </w:rPr>
        <w:t xml:space="preserve">. 2016;15(9):2038-2049. https://doi.org/10.1016/j.celrep.2016.04.085</w:t>
      </w:r>
    </w:p>
    <w:p>
      <w:pPr>
        <w:tabs>
          <w:tab w:val="left" w:pos="440"/>
        </w:tabs>
        <w:spacing w:after="60" w:line="240"/>
        <w:ind w:left="440" w:hanging="44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Lieberman-Aiden E, van Berkum NL, Williams L, Imakaev M, Ragoczy T, Telling A, et al.. Comprehensive Mapping of Long-Range Interactions Reveals Folding Principles of the Human Genome. </w:t>
      </w:r>
      <w:r>
        <w:rPr>
          <w:rFonts w:ascii="Times New Roman" w:cs="Times New Roman" w:eastAsia="Times New Roman" w:hAnsi="Times New Roman"/>
          <w:i/>
          <w:iCs/>
          <w:sz w:val="18"/>
          <w:szCs w:val="18"/>
        </w:rPr>
        <w:t xml:space="preserve">Science</w:t>
      </w:r>
      <w:r>
        <w:rPr>
          <w:rFonts w:ascii="Times New Roman" w:cs="Times New Roman" w:eastAsia="Times New Roman" w:hAnsi="Times New Roman"/>
          <w:sz w:val="18"/>
          <w:szCs w:val="18"/>
        </w:rPr>
        <w:t xml:space="preserve">. 2009;326(5950):289-293. https://doi.org/10.1126/science.1181369</w:t>
      </w:r>
    </w:p>
    <w:p>
      <w:pPr>
        <w:tabs>
          <w:tab w:val="left" w:pos="440"/>
        </w:tabs>
        <w:spacing w:after="60" w:line="240"/>
        <w:ind w:left="440" w:hanging="44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Fudenberg G, Kelley DR, Pollard KS. Predicting 3D genome folding from DNA sequence with Akita. </w:t>
      </w:r>
      <w:r>
        <w:rPr>
          <w:rFonts w:ascii="Times New Roman" w:cs="Times New Roman" w:eastAsia="Times New Roman" w:hAnsi="Times New Roman"/>
          <w:i/>
          <w:iCs/>
          <w:sz w:val="18"/>
          <w:szCs w:val="18"/>
        </w:rPr>
        <w:t xml:space="preserve">Nature Methods</w:t>
      </w:r>
      <w:r>
        <w:rPr>
          <w:rFonts w:ascii="Times New Roman" w:cs="Times New Roman" w:eastAsia="Times New Roman" w:hAnsi="Times New Roman"/>
          <w:sz w:val="18"/>
          <w:szCs w:val="18"/>
        </w:rPr>
        <w:t xml:space="preserve">. 2020;17:1111-1117. https://doi.org/10.1038/s41592-020-0958-x</w:t>
      </w:r>
    </w:p>
    <w:p>
      <w:pPr>
        <w:tabs>
          <w:tab w:val="left" w:pos="440"/>
        </w:tabs>
        <w:spacing w:after="60" w:line="240"/>
        <w:ind w:left="440" w:hanging="44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Zhou J. Sequence-based modeling of three-dimensional genome architecture from kilobase to chromosome scale. </w:t>
      </w:r>
      <w:r>
        <w:rPr>
          <w:rFonts w:ascii="Times New Roman" w:cs="Times New Roman" w:eastAsia="Times New Roman" w:hAnsi="Times New Roman"/>
          <w:i/>
          <w:iCs/>
          <w:sz w:val="18"/>
          <w:szCs w:val="18"/>
        </w:rPr>
        <w:t xml:space="preserve">Nature Genetics</w:t>
      </w:r>
      <w:r>
        <w:rPr>
          <w:rFonts w:ascii="Times New Roman" w:cs="Times New Roman" w:eastAsia="Times New Roman" w:hAnsi="Times New Roman"/>
          <w:sz w:val="18"/>
          <w:szCs w:val="18"/>
        </w:rPr>
        <w:t xml:space="preserve">. 2022;54(5):725-734. https://doi.org/10.1038/s41588-022-01065-4</w:t>
      </w:r>
    </w:p>
    <w:p>
      <w:pPr>
        <w:tabs>
          <w:tab w:val="left" w:pos="440"/>
        </w:tabs>
        <w:spacing w:after="60" w:line="240"/>
        <w:ind w:left="440" w:hanging="44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Tan J, Shenker-Tauris N, Rodriguez-Hernaez J, Wang E, Sakellaropoulos T, Boccalatte F, et al.. Cell-type-specific prediction of 3D chromatin organization enables high-throughput in silico genetic screening. </w:t>
      </w:r>
      <w:r>
        <w:rPr>
          <w:rFonts w:ascii="Times New Roman" w:cs="Times New Roman" w:eastAsia="Times New Roman" w:hAnsi="Times New Roman"/>
          <w:i/>
          <w:iCs/>
          <w:sz w:val="18"/>
          <w:szCs w:val="18"/>
        </w:rPr>
        <w:t xml:space="preserve">Nature Biotechnology</w:t>
      </w:r>
      <w:r>
        <w:rPr>
          <w:rFonts w:ascii="Times New Roman" w:cs="Times New Roman" w:eastAsia="Times New Roman" w:hAnsi="Times New Roman"/>
          <w:sz w:val="18"/>
          <w:szCs w:val="18"/>
        </w:rPr>
        <w:t xml:space="preserve">. 2023;41:1140-1150. https://doi.org/10.1038/s41587-022-01612-8</w:t>
      </w:r>
    </w:p>
    <w:p>
      <w:pPr>
        <w:tabs>
          <w:tab w:val="left" w:pos="440"/>
        </w:tabs>
        <w:spacing w:after="60" w:line="240"/>
        <w:ind w:left="440" w:hanging="44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Shkolikov A, Galitsyna A, Gelfand MS. Deciphering the 3D genome organization across species from Hi-C data. </w:t>
      </w:r>
      <w:r>
        <w:rPr>
          <w:rFonts w:ascii="Times New Roman" w:cs="Times New Roman" w:eastAsia="Times New Roman" w:hAnsi="Times New Roman"/>
          <w:i/>
          <w:iCs/>
          <w:sz w:val="18"/>
          <w:szCs w:val="18"/>
        </w:rPr>
        <w:t xml:space="preserve">Nucleic Acids Research</w:t>
      </w:r>
      <w:r>
        <w:rPr>
          <w:rFonts w:ascii="Times New Roman" w:cs="Times New Roman" w:eastAsia="Times New Roman" w:hAnsi="Times New Roman"/>
          <w:sz w:val="18"/>
          <w:szCs w:val="18"/>
        </w:rPr>
        <w:t xml:space="preserve">. 2026;54(2):gkaf1516. https://doi.org/10.1093/nar/gkaf1516</w:t>
      </w:r>
    </w:p>
    <w:p>
      <w:pPr>
        <w:tabs>
          <w:tab w:val="left" w:pos="440"/>
        </w:tabs>
        <w:spacing w:after="60" w:line="240"/>
        <w:ind w:left="440" w:hanging="44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Wang X, Zhang Y, Ray S, Jha A, Fang T, Hang S, et al.. A generalizable Hi-C foundation model for chromatin architecture, single-cell and multiomics analysis across species. </w:t>
      </w:r>
      <w:r>
        <w:rPr>
          <w:rFonts w:ascii="Times New Roman" w:cs="Times New Roman" w:eastAsia="Times New Roman" w:hAnsi="Times New Roman"/>
          <w:i/>
          <w:iCs/>
          <w:sz w:val="18"/>
          <w:szCs w:val="18"/>
        </w:rPr>
        <w:t xml:space="preserve">Nature Methods</w:t>
      </w:r>
      <w:r>
        <w:rPr>
          <w:rFonts w:ascii="Times New Roman" w:cs="Times New Roman" w:eastAsia="Times New Roman" w:hAnsi="Times New Roman"/>
          <w:sz w:val="18"/>
          <w:szCs w:val="18"/>
        </w:rPr>
        <w:t xml:space="preserve">. 2026;23(7):1334-1348. https://doi.org/10.1038/s41592-026-03097-8</w:t>
      </w:r>
    </w:p>
    <w:p>
      <w:pPr>
        <w:tabs>
          <w:tab w:val="left" w:pos="440"/>
        </w:tabs>
        <w:spacing w:after="60" w:line="240"/>
        <w:ind w:left="440" w:hanging="44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Yang M, Li P, Liang Y, Cai Q, Zheng Z, Zhang S, et al.. Multimodal 3D Genome Pre-training. </w:t>
      </w:r>
      <w:r>
        <w:rPr>
          <w:rFonts w:ascii="Times New Roman" w:cs="Times New Roman" w:eastAsia="Times New Roman" w:hAnsi="Times New Roman"/>
          <w:i/>
          <w:iCs/>
          <w:sz w:val="18"/>
          <w:szCs w:val="18"/>
        </w:rPr>
        <w:t xml:space="preserve">Advances in Neural Information Processing Systems (NeurIPS)</w:t>
      </w:r>
      <w:r>
        <w:rPr>
          <w:rFonts w:ascii="Times New Roman" w:cs="Times New Roman" w:eastAsia="Times New Roman" w:hAnsi="Times New Roman"/>
          <w:sz w:val="18"/>
          <w:szCs w:val="18"/>
        </w:rPr>
        <w:t xml:space="preserve">. 2025. https://arxiv.org/abs/2504.09060</w:t>
      </w:r>
    </w:p>
    <w:p>
      <w:pPr>
        <w:tabs>
          <w:tab w:val="left" w:pos="440"/>
        </w:tabs>
        <w:spacing w:after="60" w:line="240"/>
        <w:ind w:left="440" w:hanging="44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Karbalayghareh A, Sahin M, Leslie CS. Chromatin interaction-aware gene regulatory modeling with graph attention networks. </w:t>
      </w:r>
      <w:r>
        <w:rPr>
          <w:rFonts w:ascii="Times New Roman" w:cs="Times New Roman" w:eastAsia="Times New Roman" w:hAnsi="Times New Roman"/>
          <w:i/>
          <w:iCs/>
          <w:sz w:val="18"/>
          <w:szCs w:val="18"/>
        </w:rPr>
        <w:t xml:space="preserve">Genome Research</w:t>
      </w:r>
      <w:r>
        <w:rPr>
          <w:rFonts w:ascii="Times New Roman" w:cs="Times New Roman" w:eastAsia="Times New Roman" w:hAnsi="Times New Roman"/>
          <w:sz w:val="18"/>
          <w:szCs w:val="18"/>
        </w:rPr>
        <w:t xml:space="preserve">. 2022;32(5):930-944. https://doi.org/10.1101/gr.275870.121</w:t>
      </w:r>
    </w:p>
    <w:p>
      <w:pPr>
        <w:tabs>
          <w:tab w:val="left" w:pos="440"/>
        </w:tabs>
        <w:spacing w:after="60" w:line="240"/>
        <w:ind w:left="440" w:hanging="44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Lee D, Yang J, Kim S. Learning the histone codes with large genomic windows and three-dimensional chromatin interactions using transformer. </w:t>
      </w:r>
      <w:r>
        <w:rPr>
          <w:rFonts w:ascii="Times New Roman" w:cs="Times New Roman" w:eastAsia="Times New Roman" w:hAnsi="Times New Roman"/>
          <w:i/>
          <w:iCs/>
          <w:sz w:val="18"/>
          <w:szCs w:val="18"/>
        </w:rPr>
        <w:t xml:space="preserve">Nature Communications</w:t>
      </w:r>
      <w:r>
        <w:rPr>
          <w:rFonts w:ascii="Times New Roman" w:cs="Times New Roman" w:eastAsia="Times New Roman" w:hAnsi="Times New Roman"/>
          <w:sz w:val="18"/>
          <w:szCs w:val="18"/>
        </w:rPr>
        <w:t xml:space="preserve">. 2022;13:6678. https://doi.org/10.1038/s41467-022-34152-5</w:t>
      </w:r>
    </w:p>
    <w:p>
      <w:pPr>
        <w:tabs>
          <w:tab w:val="left" w:pos="440"/>
        </w:tabs>
        <w:spacing w:after="60" w:line="240"/>
        <w:ind w:left="440" w:hanging="44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Ye B, Du L, Chen M, Dai Y, Ma A, Liang J. A chromatin-structure-guided framework for predictive and interpretable regulatory genomics. </w:t>
      </w:r>
      <w:r>
        <w:rPr>
          <w:rFonts w:ascii="Times New Roman" w:cs="Times New Roman" w:eastAsia="Times New Roman" w:hAnsi="Times New Roman"/>
          <w:i/>
          <w:iCs/>
          <w:sz w:val="18"/>
          <w:szCs w:val="18"/>
        </w:rPr>
        <w:t xml:space="preserve">Briefings in Bioinformatics</w:t>
      </w:r>
      <w:r>
        <w:rPr>
          <w:rFonts w:ascii="Times New Roman" w:cs="Times New Roman" w:eastAsia="Times New Roman" w:hAnsi="Times New Roman"/>
          <w:sz w:val="18"/>
          <w:szCs w:val="18"/>
        </w:rPr>
        <w:t xml:space="preserve">. 2026;27:bbag360. https://doi.org/10.1093/bib/bbag360</w:t>
      </w:r>
    </w:p>
    <w:p>
      <w:pPr>
        <w:tabs>
          <w:tab w:val="left" w:pos="440"/>
        </w:tabs>
        <w:spacing w:after="60" w:line="240"/>
        <w:ind w:left="440" w:hanging="44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Hang S, Wang X, Murtaza G, Jha A, Wen B, Fang T, et al.. Puget predicts gene expression across cell types using sequence and 3D chromatin organization data. </w:t>
      </w:r>
      <w:r>
        <w:rPr>
          <w:rFonts w:ascii="Times New Roman" w:cs="Times New Roman" w:eastAsia="Times New Roman" w:hAnsi="Times New Roman"/>
          <w:i/>
          <w:iCs/>
          <w:sz w:val="18"/>
          <w:szCs w:val="18"/>
        </w:rPr>
        <w:t xml:space="preserve">bioRxiv</w:t>
      </w:r>
      <w:r>
        <w:rPr>
          <w:rFonts w:ascii="Times New Roman" w:cs="Times New Roman" w:eastAsia="Times New Roman" w:hAnsi="Times New Roman"/>
          <w:sz w:val="18"/>
          <w:szCs w:val="18"/>
        </w:rPr>
        <w:t xml:space="preserve">. 2025. https://doi.org/10.1101/2025.11.19.689320</w:t>
      </w:r>
    </w:p>
    <w:p>
      <w:pPr>
        <w:tabs>
          <w:tab w:val="left" w:pos="440"/>
        </w:tabs>
        <w:spacing w:after="60" w:line="240"/>
        <w:ind w:left="440" w:hanging="44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Fang T, Wang X, Xiao Z, Hang S, Murtaza G, Yang J, et al.. Evo2HiC: a multimodal foundation model for integrative analysis of genome sequence and architecture. </w:t>
      </w:r>
      <w:r>
        <w:rPr>
          <w:rFonts w:ascii="Times New Roman" w:cs="Times New Roman" w:eastAsia="Times New Roman" w:hAnsi="Times New Roman"/>
          <w:i/>
          <w:iCs/>
          <w:sz w:val="18"/>
          <w:szCs w:val="18"/>
        </w:rPr>
        <w:t xml:space="preserve">bioRxiv</w:t>
      </w:r>
      <w:r>
        <w:rPr>
          <w:rFonts w:ascii="Times New Roman" w:cs="Times New Roman" w:eastAsia="Times New Roman" w:hAnsi="Times New Roman"/>
          <w:sz w:val="18"/>
          <w:szCs w:val="18"/>
        </w:rPr>
        <w:t xml:space="preserve">. 2025. https://doi.org/10.1101/2025.11.18.689171</w:t>
      </w:r>
    </w:p>
    <w:p>
      <w:pPr>
        <w:tabs>
          <w:tab w:val="left" w:pos="440"/>
        </w:tabs>
        <w:spacing w:after="60" w:line="240"/>
        <w:ind w:left="440" w:hanging="44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Vapnik V, Vashist A. A new learning paradigm: Learning using privileged information. </w:t>
      </w:r>
      <w:r>
        <w:rPr>
          <w:rFonts w:ascii="Times New Roman" w:cs="Times New Roman" w:eastAsia="Times New Roman" w:hAnsi="Times New Roman"/>
          <w:i/>
          <w:iCs/>
          <w:sz w:val="18"/>
          <w:szCs w:val="18"/>
        </w:rPr>
        <w:t xml:space="preserve">Neural Networks</w:t>
      </w:r>
      <w:r>
        <w:rPr>
          <w:rFonts w:ascii="Times New Roman" w:cs="Times New Roman" w:eastAsia="Times New Roman" w:hAnsi="Times New Roman"/>
          <w:sz w:val="18"/>
          <w:szCs w:val="18"/>
        </w:rPr>
        <w:t xml:space="preserve">. 2009;22(5-6):544-557. https://doi.org/10.1016/j.neunet.2009.06.042</w:t>
      </w:r>
    </w:p>
    <w:p>
      <w:pPr>
        <w:tabs>
          <w:tab w:val="left" w:pos="440"/>
        </w:tabs>
        <w:spacing w:after="60" w:line="240"/>
        <w:ind w:left="440" w:hanging="44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Hinton G, Vinyals O, Dean J. Distilling the Knowledge in a Neural Network. </w:t>
      </w:r>
      <w:r>
        <w:rPr>
          <w:rFonts w:ascii="Times New Roman" w:cs="Times New Roman" w:eastAsia="Times New Roman" w:hAnsi="Times New Roman"/>
          <w:i/>
          <w:iCs/>
          <w:sz w:val="18"/>
          <w:szCs w:val="18"/>
        </w:rPr>
        <w:t xml:space="preserve">arXiv preprint (NIPS 2014 Deep Learning Workshop)</w:t>
      </w:r>
      <w:r>
        <w:rPr>
          <w:rFonts w:ascii="Times New Roman" w:cs="Times New Roman" w:eastAsia="Times New Roman" w:hAnsi="Times New Roman"/>
          <w:sz w:val="18"/>
          <w:szCs w:val="18"/>
        </w:rPr>
        <w:t xml:space="preserve">. 2015. https://arxiv.org/abs/1503.02531</w:t>
      </w:r>
    </w:p>
    <w:p>
      <w:pPr>
        <w:tabs>
          <w:tab w:val="left" w:pos="440"/>
        </w:tabs>
        <w:spacing w:after="60" w:line="240"/>
        <w:ind w:left="440" w:hanging="44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Zhang Z, Feng F, Qiu Y, Liu J. A generalizable framework to comprehensively predict epigenome, chromatin organization, and transcriptome. </w:t>
      </w:r>
      <w:r>
        <w:rPr>
          <w:rFonts w:ascii="Times New Roman" w:cs="Times New Roman" w:eastAsia="Times New Roman" w:hAnsi="Times New Roman"/>
          <w:i/>
          <w:iCs/>
          <w:sz w:val="18"/>
          <w:szCs w:val="18"/>
        </w:rPr>
        <w:t xml:space="preserve">Nucleic Acids Research</w:t>
      </w:r>
      <w:r>
        <w:rPr>
          <w:rFonts w:ascii="Times New Roman" w:cs="Times New Roman" w:eastAsia="Times New Roman" w:hAnsi="Times New Roman"/>
          <w:sz w:val="18"/>
          <w:szCs w:val="18"/>
        </w:rPr>
        <w:t xml:space="preserve">. 2023;51(12):5931-5947. https://doi.org/10.1093/nar/gkad436</w:t>
      </w:r>
    </w:p>
    <w:p>
      <w:pPr>
        <w:tabs>
          <w:tab w:val="left" w:pos="440"/>
        </w:tabs>
        <w:spacing w:after="60" w:line="240"/>
        <w:ind w:left="440" w:hanging="44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Zhou Z, Ji Y, Li W, Dutta P, Davuluri R, Liu H. DNABERT-2: Efficient Foundation Model and Benchmark For Multi-Species Genome. </w:t>
      </w:r>
      <w:r>
        <w:rPr>
          <w:rFonts w:ascii="Times New Roman" w:cs="Times New Roman" w:eastAsia="Times New Roman" w:hAnsi="Times New Roman"/>
          <w:i/>
          <w:iCs/>
          <w:sz w:val="18"/>
          <w:szCs w:val="18"/>
        </w:rPr>
        <w:t xml:space="preserve">International Conference on Learning Representations (ICLR)</w:t>
      </w:r>
      <w:r>
        <w:rPr>
          <w:rFonts w:ascii="Times New Roman" w:cs="Times New Roman" w:eastAsia="Times New Roman" w:hAnsi="Times New Roman"/>
          <w:sz w:val="18"/>
          <w:szCs w:val="18"/>
        </w:rPr>
        <w:t xml:space="preserve">. 2024. https://arxiv.org/abs/2306.15006</w:t>
      </w:r>
    </w:p>
    <w:p>
      <w:pPr>
        <w:tabs>
          <w:tab w:val="left" w:pos="440"/>
        </w:tabs>
        <w:spacing w:after="60" w:line="240"/>
        <w:ind w:left="440" w:hanging="44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Gu A, Goel K, Ré C. Efficiently Modeling Long Sequences with Structured State Spaces. </w:t>
      </w:r>
      <w:r>
        <w:rPr>
          <w:rFonts w:ascii="Times New Roman" w:cs="Times New Roman" w:eastAsia="Times New Roman" w:hAnsi="Times New Roman"/>
          <w:i/>
          <w:iCs/>
          <w:sz w:val="18"/>
          <w:szCs w:val="18"/>
        </w:rPr>
        <w:t xml:space="preserve">International Conference on Learning Representations (ICLR)</w:t>
      </w:r>
      <w:r>
        <w:rPr>
          <w:rFonts w:ascii="Times New Roman" w:cs="Times New Roman" w:eastAsia="Times New Roman" w:hAnsi="Times New Roman"/>
          <w:sz w:val="18"/>
          <w:szCs w:val="18"/>
        </w:rPr>
        <w:t xml:space="preserve">. 2022. https://arxiv.org/abs/2111.00396</w:t>
      </w:r>
    </w:p>
    <w:p>
      <w:pPr>
        <w:tabs>
          <w:tab w:val="left" w:pos="440"/>
        </w:tabs>
        <w:spacing w:after="60" w:line="240"/>
        <w:ind w:left="440" w:hanging="44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Gu A, Gupta A, Goel K, Ré C. On the Parameterization and Initialization of Diagonal State Space Models. </w:t>
      </w:r>
      <w:r>
        <w:rPr>
          <w:rFonts w:ascii="Times New Roman" w:cs="Times New Roman" w:eastAsia="Times New Roman" w:hAnsi="Times New Roman"/>
          <w:i/>
          <w:iCs/>
          <w:sz w:val="18"/>
          <w:szCs w:val="18"/>
        </w:rPr>
        <w:t xml:space="preserve">Advances in Neural Information Processing Systems 35 (NeurIPS 2022)</w:t>
      </w:r>
      <w:r>
        <w:rPr>
          <w:rFonts w:ascii="Times New Roman" w:cs="Times New Roman" w:eastAsia="Times New Roman" w:hAnsi="Times New Roman"/>
          <w:sz w:val="18"/>
          <w:szCs w:val="18"/>
        </w:rPr>
        <w:t xml:space="preserve">. 2022. https://proceedings.neurips.cc/paper_files/paper/2022/hash/e9a32fade47b906de908431991440f7c-Abstract-Conference.html</w:t>
      </w:r>
    </w:p>
    <w:p>
      <w:pPr>
        <w:tabs>
          <w:tab w:val="left" w:pos="440"/>
        </w:tabs>
        <w:spacing w:after="60" w:line="240"/>
        <w:ind w:left="440" w:hanging="44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Gu A, Dao T. Mamba: Linear-Time Sequence Modeling with Selective State Spaces. </w:t>
      </w:r>
      <w:r>
        <w:rPr>
          <w:rFonts w:ascii="Times New Roman" w:cs="Times New Roman" w:eastAsia="Times New Roman" w:hAnsi="Times New Roman"/>
          <w:i/>
          <w:iCs/>
          <w:sz w:val="18"/>
          <w:szCs w:val="18"/>
        </w:rPr>
        <w:t xml:space="preserve">First Conference on Language Modeling (COLM)</w:t>
      </w:r>
      <w:r>
        <w:rPr>
          <w:rFonts w:ascii="Times New Roman" w:cs="Times New Roman" w:eastAsia="Times New Roman" w:hAnsi="Times New Roman"/>
          <w:sz w:val="18"/>
          <w:szCs w:val="18"/>
        </w:rPr>
        <w:t xml:space="preserve">. 2024. https://openreview.net/forum?id=tEYskw1VY2</w:t>
      </w:r>
    </w:p>
    <w:p>
      <w:pPr>
        <w:tabs>
          <w:tab w:val="left" w:pos="440"/>
        </w:tabs>
        <w:spacing w:after="60" w:line="240"/>
        <w:ind w:left="440" w:hanging="44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Veličković P, Cucurull G, Casanova A, Romero A, Liò P, Bengio Y. Graph Attention Networks. </w:t>
      </w:r>
      <w:r>
        <w:rPr>
          <w:rFonts w:ascii="Times New Roman" w:cs="Times New Roman" w:eastAsia="Times New Roman" w:hAnsi="Times New Roman"/>
          <w:i/>
          <w:iCs/>
          <w:sz w:val="18"/>
          <w:szCs w:val="18"/>
        </w:rPr>
        <w:t xml:space="preserve">International Conference on Learning Representations (ICLR)</w:t>
      </w:r>
      <w:r>
        <w:rPr>
          <w:rFonts w:ascii="Times New Roman" w:cs="Times New Roman" w:eastAsia="Times New Roman" w:hAnsi="Times New Roman"/>
          <w:sz w:val="18"/>
          <w:szCs w:val="18"/>
        </w:rPr>
        <w:t xml:space="preserve">. 2018. https://arxiv.org/abs/1710.10903</w:t>
      </w:r>
    </w:p>
    <w:p>
      <w:pPr>
        <w:tabs>
          <w:tab w:val="left" w:pos="440"/>
        </w:tabs>
        <w:spacing w:after="60" w:line="240"/>
        <w:ind w:left="440" w:hanging="44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Ying C, Cai T, Luo S, Zheng S, Ke G, He D, et al.. Do Transformers Really Perform Bad for Graph Representation?. </w:t>
      </w:r>
      <w:r>
        <w:rPr>
          <w:rFonts w:ascii="Times New Roman" w:cs="Times New Roman" w:eastAsia="Times New Roman" w:hAnsi="Times New Roman"/>
          <w:i/>
          <w:iCs/>
          <w:sz w:val="18"/>
          <w:szCs w:val="18"/>
        </w:rPr>
        <w:t xml:space="preserve">Advances in Neural Information Processing Systems (NeurIPS)</w:t>
      </w:r>
      <w:r>
        <w:rPr>
          <w:rFonts w:ascii="Times New Roman" w:cs="Times New Roman" w:eastAsia="Times New Roman" w:hAnsi="Times New Roman"/>
          <w:sz w:val="18"/>
          <w:szCs w:val="18"/>
        </w:rPr>
        <w:t xml:space="preserve">. 2021. https://arxiv.org/abs/2106.05234</w:t>
      </w:r>
    </w:p>
    <w:p>
      <w:pPr>
        <w:tabs>
          <w:tab w:val="left" w:pos="440"/>
        </w:tabs>
        <w:spacing w:after="60" w:line="240"/>
        <w:ind w:left="440" w:hanging="44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Vaswani A, Shazeer N, Parmar N, Uszkoreit J, Jones L, Gomez AN, et al.. Attention is All you Need. </w:t>
      </w:r>
      <w:r>
        <w:rPr>
          <w:rFonts w:ascii="Times New Roman" w:cs="Times New Roman" w:eastAsia="Times New Roman" w:hAnsi="Times New Roman"/>
          <w:i/>
          <w:iCs/>
          <w:sz w:val="18"/>
          <w:szCs w:val="18"/>
        </w:rPr>
        <w:t xml:space="preserve">Advances in Neural Information Processing Systems 30 (NeurIPS 2017)</w:t>
      </w:r>
      <w:r>
        <w:rPr>
          <w:rFonts w:ascii="Times New Roman" w:cs="Times New Roman" w:eastAsia="Times New Roman" w:hAnsi="Times New Roman"/>
          <w:sz w:val="18"/>
          <w:szCs w:val="18"/>
        </w:rPr>
        <w:t xml:space="preserve">. 2017;5998-6008. https://proceedings.neurips.cc/paper_files/paper/2017/hash/3f5ee243547dee91fbd053c1c4a845aa-Abstract.html</w:t>
      </w:r>
    </w:p>
    <w:p>
      <w:pPr>
        <w:tabs>
          <w:tab w:val="left" w:pos="440"/>
        </w:tabs>
        <w:spacing w:after="60" w:line="240"/>
        <w:ind w:left="440" w:hanging="44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Rong Y, Huang W, Xu T, Huang J. DropEdge: Towards Deep Graph Convolutional Networks on Node Classification. </w:t>
      </w:r>
      <w:r>
        <w:rPr>
          <w:rFonts w:ascii="Times New Roman" w:cs="Times New Roman" w:eastAsia="Times New Roman" w:hAnsi="Times New Roman"/>
          <w:i/>
          <w:iCs/>
          <w:sz w:val="18"/>
          <w:szCs w:val="18"/>
        </w:rPr>
        <w:t xml:space="preserve">International Conference on Learning Representations (ICLR)</w:t>
      </w:r>
      <w:r>
        <w:rPr>
          <w:rFonts w:ascii="Times New Roman" w:cs="Times New Roman" w:eastAsia="Times New Roman" w:hAnsi="Times New Roman"/>
          <w:sz w:val="18"/>
          <w:szCs w:val="18"/>
        </w:rPr>
        <w:t xml:space="preserve">. 2020. https://openreview.net/forum?id=Hkx1qkrKPr</w:t>
      </w:r>
    </w:p>
    <w:p>
      <w:pPr>
        <w:tabs>
          <w:tab w:val="left" w:pos="440"/>
        </w:tabs>
        <w:spacing w:after="60" w:line="240"/>
        <w:ind w:left="440" w:hanging="44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Neverova N, Wolf C, Taylor G, Nebout F. ModDrop: Adaptive Multi-Modal Gesture Recognition. </w:t>
      </w:r>
      <w:r>
        <w:rPr>
          <w:rFonts w:ascii="Times New Roman" w:cs="Times New Roman" w:eastAsia="Times New Roman" w:hAnsi="Times New Roman"/>
          <w:i/>
          <w:iCs/>
          <w:sz w:val="18"/>
          <w:szCs w:val="18"/>
        </w:rPr>
        <w:t xml:space="preserve">IEEE Transactions on Pattern Analysis and Machine Intelligence</w:t>
      </w:r>
      <w:r>
        <w:rPr>
          <w:rFonts w:ascii="Times New Roman" w:cs="Times New Roman" w:eastAsia="Times New Roman" w:hAnsi="Times New Roman"/>
          <w:sz w:val="18"/>
          <w:szCs w:val="18"/>
        </w:rPr>
        <w:t xml:space="preserve">. 2016;38(8):1692-1706. https://doi.org/10.1109/TPAMI.2015.2461544</w:t>
      </w:r>
    </w:p>
    <w:p>
      <w:pPr>
        <w:tabs>
          <w:tab w:val="left" w:pos="440"/>
        </w:tabs>
        <w:spacing w:after="60" w:line="240"/>
        <w:ind w:left="440" w:hanging="44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Dekker J, Belmont AS, Guttman M, Leshyk VO, Lis JT, Lomvardas S, et al.; 4D Nucleome Network. The 4D nucleome project. </w:t>
      </w:r>
      <w:r>
        <w:rPr>
          <w:rFonts w:ascii="Times New Roman" w:cs="Times New Roman" w:eastAsia="Times New Roman" w:hAnsi="Times New Roman"/>
          <w:i/>
          <w:iCs/>
          <w:sz w:val="18"/>
          <w:szCs w:val="18"/>
        </w:rPr>
        <w:t xml:space="preserve">Nature</w:t>
      </w:r>
      <w:r>
        <w:rPr>
          <w:rFonts w:ascii="Times New Roman" w:cs="Times New Roman" w:eastAsia="Times New Roman" w:hAnsi="Times New Roman"/>
          <w:sz w:val="18"/>
          <w:szCs w:val="18"/>
        </w:rPr>
        <w:t xml:space="preserve">. 2017;549(7671):219-226. https://doi.org/10.1038/nature23884</w:t>
      </w:r>
    </w:p>
    <w:p>
      <w:pPr>
        <w:tabs>
          <w:tab w:val="left" w:pos="440"/>
        </w:tabs>
        <w:spacing w:after="60" w:line="240"/>
        <w:ind w:left="440" w:hanging="44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Reiff SB, Schroeder AJ, Kırlı K, Cosolo A, Bakker C, Mercado L, et al.. The 4D Nucleome Data Portal as a resource for searching and visualizing curated nucleomics data. </w:t>
      </w:r>
      <w:r>
        <w:rPr>
          <w:rFonts w:ascii="Times New Roman" w:cs="Times New Roman" w:eastAsia="Times New Roman" w:hAnsi="Times New Roman"/>
          <w:i/>
          <w:iCs/>
          <w:sz w:val="18"/>
          <w:szCs w:val="18"/>
        </w:rPr>
        <w:t xml:space="preserve">Nature Communications</w:t>
      </w:r>
      <w:r>
        <w:rPr>
          <w:rFonts w:ascii="Times New Roman" w:cs="Times New Roman" w:eastAsia="Times New Roman" w:hAnsi="Times New Roman"/>
          <w:sz w:val="18"/>
          <w:szCs w:val="18"/>
        </w:rPr>
        <w:t xml:space="preserve">. 2022;13:2365. https://doi.org/10.1038/s41467-022-29697-4</w:t>
      </w:r>
    </w:p>
    <w:p>
      <w:pPr>
        <w:tabs>
          <w:tab w:val="left" w:pos="440"/>
        </w:tabs>
        <w:spacing w:after="60" w:line="240"/>
        <w:ind w:left="440" w:hanging="44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Imakaev M, Fudenberg G, McCord RP, Naumova N, Goloborodko A, Lajoie BR, et al.. Iterative correction of Hi-C data reveals hallmarks of chromosome organization. </w:t>
      </w:r>
      <w:r>
        <w:rPr>
          <w:rFonts w:ascii="Times New Roman" w:cs="Times New Roman" w:eastAsia="Times New Roman" w:hAnsi="Times New Roman"/>
          <w:i/>
          <w:iCs/>
          <w:sz w:val="18"/>
          <w:szCs w:val="18"/>
        </w:rPr>
        <w:t xml:space="preserve">Nature Methods</w:t>
      </w:r>
      <w:r>
        <w:rPr>
          <w:rFonts w:ascii="Times New Roman" w:cs="Times New Roman" w:eastAsia="Times New Roman" w:hAnsi="Times New Roman"/>
          <w:sz w:val="18"/>
          <w:szCs w:val="18"/>
        </w:rPr>
        <w:t xml:space="preserve">. 2012;9(10):999-1003. https://doi.org/10.1038/nmeth.2148</w:t>
      </w:r>
    </w:p>
    <w:p>
      <w:pPr>
        <w:tabs>
          <w:tab w:val="left" w:pos="440"/>
        </w:tabs>
        <w:spacing w:after="60" w:line="240"/>
        <w:ind w:left="440" w:hanging="44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van den Oord A, Li Y, Vinyals O. Representation Learning with Contrastive Predictive Coding. </w:t>
      </w:r>
      <w:r>
        <w:rPr>
          <w:rFonts w:ascii="Times New Roman" w:cs="Times New Roman" w:eastAsia="Times New Roman" w:hAnsi="Times New Roman"/>
          <w:i/>
          <w:iCs/>
          <w:sz w:val="18"/>
          <w:szCs w:val="18"/>
        </w:rPr>
        <w:t xml:space="preserve">arXiv preprint</w:t>
      </w:r>
      <w:r>
        <w:rPr>
          <w:rFonts w:ascii="Times New Roman" w:cs="Times New Roman" w:eastAsia="Times New Roman" w:hAnsi="Times New Roman"/>
          <w:sz w:val="18"/>
          <w:szCs w:val="18"/>
        </w:rPr>
        <w:t xml:space="preserve">. 2018. https://arxiv.org/abs/1807.03748</w:t>
      </w:r>
    </w:p>
    <w:p>
      <w:pPr>
        <w:tabs>
          <w:tab w:val="left" w:pos="440"/>
        </w:tabs>
        <w:spacing w:after="60" w:line="240"/>
        <w:ind w:left="440" w:hanging="44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Chen T, Kornblith S, Norouzi M, Hinton G. A Simple Framework for Contrastive Learning of Visual Representations. </w:t>
      </w:r>
      <w:r>
        <w:rPr>
          <w:rFonts w:ascii="Times New Roman" w:cs="Times New Roman" w:eastAsia="Times New Roman" w:hAnsi="Times New Roman"/>
          <w:i/>
          <w:iCs/>
          <w:sz w:val="18"/>
          <w:szCs w:val="18"/>
        </w:rPr>
        <w:t xml:space="preserve">International Conference on Machine Learning (ICML)</w:t>
      </w:r>
      <w:r>
        <w:rPr>
          <w:rFonts w:ascii="Times New Roman" w:cs="Times New Roman" w:eastAsia="Times New Roman" w:hAnsi="Times New Roman"/>
          <w:sz w:val="18"/>
          <w:szCs w:val="18"/>
        </w:rPr>
        <w:t xml:space="preserve">. 2020. https://arxiv.org/abs/2002.05709</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280"/>
      <w:outlineLvl w:val="0"/>
    </w:pPr>
    <w:rPr>
      <w:rFonts w:ascii="Times New Roman" w:cs="Times New Roman" w:eastAsia="Times New Roman" w:hAnsi="Times New Roman"/>
      <w:b/>
      <w:bCs/>
      <w:color w:val="000000"/>
      <w:sz w:val="26"/>
      <w:szCs w:val="26"/>
    </w:rPr>
  </w:style>
  <w:style w:type="paragraph" w:styleId="Heading2">
    <w:name w:val="Heading 2"/>
    <w:basedOn w:val="Normal"/>
    <w:next w:val="Normal"/>
    <w:qFormat/>
    <w:pPr>
      <w:keepNext/>
      <w:spacing w:after="80" w:before="200"/>
      <w:outlineLvl w:val="1"/>
    </w:pPr>
    <w:rPr>
      <w:rFonts w:ascii="Times New Roman" w:cs="Times New Roman" w:eastAsia="Times New Roman" w:hAnsi="Times New Roman"/>
      <w:b/>
      <w:bCs/>
      <w:color w:val="000000"/>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74e65fef01cf4bb9185862fe5098aab0cf74c1f.png"/><Relationship Id="rId9" Type="http://schemas.openxmlformats.org/officeDocument/2006/relationships/image" Target="media/a8a938326c65030d0dd2c17a99364424391b9c50.png"/><Relationship Id="rId10" Type="http://schemas.openxmlformats.org/officeDocument/2006/relationships/image" Target="media/6dcb05b323e5185e29fbd6916fccb86b17ce833a.png"/><Relationship Id="rId11" Type="http://schemas.openxmlformats.org/officeDocument/2006/relationships/image" Target="media/f54c05a2af2804b38e518d6cbb54e2091d3c4d4f.png"/><Relationship Id="rId12" Type="http://schemas.openxmlformats.org/officeDocument/2006/relationships/image" Target="media/0e34ea8e695b47ac8e9360782b829646ab63ba40.png"/><Relationship Id="rId13" Type="http://schemas.openxmlformats.org/officeDocument/2006/relationships/image" Target="media/53d6936c2f454a9a01d62d29e3f17640816ee32e.png"/><Relationship Id="rId14" Type="http://schemas.openxmlformats.org/officeDocument/2006/relationships/image" Target="media/a82350fd9e1e6c862c1fa3c1c85399971b448164.png"/><Relationship Id="rId15" Type="http://schemas.openxmlformats.org/officeDocument/2006/relationships/image" Target="media/1de728b50592bfb2c64442a892a64408bb5c1e7b.png"/><Relationship Id="rId16" Type="http://schemas.openxmlformats.org/officeDocument/2006/relationships/image" Target="media/d835b212d3e2e9aaf81bc1ac86085180f5fb853c.png"/><Relationship Id="rId17" Type="http://schemas.openxmlformats.org/officeDocument/2006/relationships/image" Target="media/38e7947412cc9df937db9048db5200c70f7847e6.png"/><Relationship Id="rId18" Type="http://schemas.openxmlformats.org/officeDocument/2006/relationships/image" Target="media/67b0e8f73d0f1bf27124f3098a72883dc1a545a2.png"/><Relationship Id="rId19" Type="http://schemas.openxmlformats.org/officeDocument/2006/relationships/image" Target="media/7f7560919927c49ca74b92b0bc5d611a201fed1b.png"/><Relationship Id="rId20" Type="http://schemas.openxmlformats.org/officeDocument/2006/relationships/image" Target="media/4002e6d4ec6195030ac0b324118717a5c1da5287.png"/><Relationship Id="rId21" Type="http://schemas.openxmlformats.org/officeDocument/2006/relationships/image" Target="media/9be207068a0f51c2c39fc61d01bdd11d4038d837.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ChromGraphFM: Measured 3D Chromatin Contacts as a Training-Time Signal for Hi-C-Free DNA Sequence Representations</dc:title>
  <dc:creator>ChromGraphFM authors</dc:creator>
  <cp:lastModifiedBy>Un-named</cp:lastModifiedBy>
  <cp:revision>1</cp:revision>
  <dcterms:created xsi:type="dcterms:W3CDTF">2026-10-14T03:56:23.209Z</dcterms:created>
  <dcterms:modified xsi:type="dcterms:W3CDTF">2026-10-14T03:56:23.217Z</dcterms:modified>
</cp:coreProperties>
</file>

<file path=docProps/custom.xml><?xml version="1.0" encoding="utf-8"?>
<Properties xmlns="http://schemas.openxmlformats.org/officeDocument/2006/custom-properties" xmlns:vt="http://schemas.openxmlformats.org/officeDocument/2006/docPropsVTypes"/>
</file>