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2160"/>
        <w:gridCol w:w="5040"/>
        <w:gridCol w:w="2880"/>
      </w:tblGrid>
      <w:tr>
        <w:tc>
          <w:tcPr>
            <w:tcW w:type="dxa" w:w="3324"/>
            <w:shd w:val="clear" w:color="auto" w:fill="1B3A6B"/>
          </w:tcPr>
          <w:p>
            <w:pPr>
              <w:jc w:val="left"/>
            </w:pPr>
            <w:r>
              <w:rPr>
                <w:b/>
                <w:color w:val="C9A84C"/>
                <w:sz w:val="18"/>
              </w:rPr>
              <w:t>VIVRITI CAPITAL</w:t>
            </w:r>
          </w:p>
        </w:tc>
        <w:tc>
          <w:tcPr>
            <w:tcW w:type="dxa" w:w="3324"/>
            <w:shd w:val="clear" w:color="auto" w:fill="1B3A6B"/>
          </w:tcPr>
          <w:p>
            <w:pPr>
              <w:jc w:val="center"/>
            </w:pPr>
            <w:r>
              <w:rPr>
                <w:b/>
                <w:color w:val="FFFFFF"/>
                <w:sz w:val="28"/>
              </w:rPr>
              <w:t>CREDIT APPRAISAL MEMORANDUM</w:t>
              <w:br/>
            </w:r>
            <w:r>
              <w:rPr>
                <w:b/>
                <w:color w:val="C9A84C"/>
                <w:sz w:val="22"/>
              </w:rPr>
              <w:t>Tata Motors Limited</w:t>
            </w:r>
          </w:p>
        </w:tc>
        <w:tc>
          <w:tcPr>
            <w:tcW w:type="dxa" w:w="3324"/>
            <w:shd w:val="clear" w:color="auto" w:fill="1B3A6B"/>
          </w:tcPr>
          <w:p>
            <w:pPr>
              <w:jc w:val="center"/>
            </w:pPr>
            <w:r>
              <w:rPr>
                <w:b/>
                <w:color w:val="1E8449"/>
                <w:sz w:val="26"/>
              </w:rPr>
              <w:t>APPROVE</w:t>
              <w:br/>
            </w:r>
            <w:r>
              <w:rPr>
                <w:b/>
                <w:color w:val="FFFFFF"/>
                <w:sz w:val="22"/>
              </w:rPr>
              <w:t>Rating: AAA</w:t>
            </w:r>
          </w:p>
        </w:tc>
      </w:tr>
    </w:tbl>
    <w:p/>
    <w:p>
      <w:pPr>
        <w:jc w:val="left"/>
      </w:pPr>
      <w:r>
        <w:rPr>
          <w:b/>
          <w:color w:val="1B3A6B"/>
          <w:sz w:val="24"/>
          <w:u w:val="single"/>
        </w:rPr>
        <w:t>EXECUTIVE SUMMARY</w:t>
      </w:r>
    </w:p>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B3A6B"/>
          </w:tcPr>
          <w:p>
            <w:pPr>
              <w:jc w:val="center"/>
            </w:pPr>
            <w:r/>
            <w:r>
              <w:rPr>
                <w:b/>
                <w:color w:val="FFFFFF"/>
                <w:sz w:val="18"/>
              </w:rPr>
              <w:t>Credit Score</w:t>
            </w:r>
          </w:p>
        </w:tc>
        <w:tc>
          <w:tcPr>
            <w:tcW w:type="dxa" w:w="1994"/>
            <w:shd w:val="clear" w:color="auto" w:fill="1B3A6B"/>
          </w:tcPr>
          <w:p>
            <w:pPr>
              <w:jc w:val="center"/>
            </w:pPr>
            <w:r/>
            <w:r>
              <w:rPr>
                <w:b/>
                <w:color w:val="FFFFFF"/>
                <w:sz w:val="18"/>
              </w:rPr>
              <w:t>Rating</w:t>
            </w:r>
          </w:p>
        </w:tc>
        <w:tc>
          <w:tcPr>
            <w:tcW w:type="dxa" w:w="1994"/>
            <w:shd w:val="clear" w:color="auto" w:fill="1B3A6B"/>
          </w:tcPr>
          <w:p>
            <w:pPr>
              <w:jc w:val="center"/>
            </w:pPr>
            <w:r/>
            <w:r>
              <w:rPr>
                <w:b/>
                <w:color w:val="FFFFFF"/>
                <w:sz w:val="18"/>
              </w:rPr>
              <w:t>Decision</w:t>
            </w:r>
          </w:p>
        </w:tc>
        <w:tc>
          <w:tcPr>
            <w:tcW w:type="dxa" w:w="1994"/>
            <w:shd w:val="clear" w:color="auto" w:fill="1B3A6B"/>
          </w:tcPr>
          <w:p>
            <w:pPr>
              <w:jc w:val="center"/>
            </w:pPr>
            <w:r/>
            <w:r>
              <w:rPr>
                <w:b/>
                <w:color w:val="FFFFFF"/>
                <w:sz w:val="18"/>
              </w:rPr>
              <w:t>Recommended Amount</w:t>
            </w:r>
          </w:p>
        </w:tc>
        <w:tc>
          <w:tcPr>
            <w:tcW w:type="dxa" w:w="1994"/>
            <w:shd w:val="clear" w:color="auto" w:fill="1B3A6B"/>
          </w:tcPr>
          <w:p>
            <w:pPr>
              <w:jc w:val="center"/>
            </w:pPr>
            <w:r/>
            <w:r>
              <w:rPr>
                <w:b/>
                <w:color w:val="FFFFFF"/>
                <w:sz w:val="18"/>
              </w:rPr>
              <w:t>Interest Rate</w:t>
            </w:r>
          </w:p>
        </w:tc>
      </w:tr>
      <w:tr>
        <w:tc>
          <w:tcPr>
            <w:tcW w:type="dxa" w:w="1994"/>
            <w:shd w:val="clear" w:color="auto" w:fill="E8F0FA"/>
          </w:tcPr>
          <w:p>
            <w:pPr>
              <w:jc w:val="center"/>
            </w:pPr>
            <w:r>
              <w:rPr>
                <w:b/>
              </w:rPr>
              <w:t>90.67/100</w:t>
            </w:r>
          </w:p>
        </w:tc>
        <w:tc>
          <w:tcPr>
            <w:tcW w:type="dxa" w:w="1994"/>
            <w:shd w:val="clear" w:color="auto" w:fill="E8F0FA"/>
          </w:tcPr>
          <w:p>
            <w:pPr>
              <w:jc w:val="center"/>
            </w:pPr>
            <w:r>
              <w:rPr>
                <w:b/>
              </w:rPr>
              <w:t>AAA</w:t>
            </w:r>
          </w:p>
        </w:tc>
        <w:tc>
          <w:tcPr>
            <w:tcW w:type="dxa" w:w="1994"/>
            <w:shd w:val="clear" w:color="auto" w:fill="E8F0FA"/>
          </w:tcPr>
          <w:p>
            <w:pPr>
              <w:jc w:val="center"/>
            </w:pPr>
            <w:r>
              <w:rPr>
                <w:b/>
              </w:rPr>
              <w:t>APPROVE</w:t>
            </w:r>
          </w:p>
        </w:tc>
        <w:tc>
          <w:tcPr>
            <w:tcW w:type="dxa" w:w="1994"/>
            <w:shd w:val="clear" w:color="auto" w:fill="E8F0FA"/>
          </w:tcPr>
          <w:p>
            <w:pPr>
              <w:jc w:val="center"/>
            </w:pPr>
            <w:r>
              <w:rPr>
                <w:b/>
              </w:rPr>
              <w:t>₹2000 Cr</w:t>
            </w:r>
          </w:p>
        </w:tc>
        <w:tc>
          <w:tcPr>
            <w:tcW w:type="dxa" w:w="1994"/>
            <w:shd w:val="clear" w:color="auto" w:fill="E8F0FA"/>
          </w:tcPr>
          <w:p>
            <w:pPr>
              <w:jc w:val="center"/>
            </w:pPr>
            <w:r>
              <w:rPr>
                <w:b/>
              </w:rPr>
              <w:t>11.0%</w:t>
            </w:r>
          </w:p>
        </w:tc>
      </w:tr>
    </w:tbl>
    <w:p/>
    <w:p>
      <w:r>
        <w:rPr>
          <w:b/>
        </w:rPr>
        <w:t xml:space="preserve">Decision Rationale: </w:t>
      </w:r>
      <w:r>
        <w:t>Blended score 90.67/100 with rating AAA. Five-Cs weighted score after penalties: 94.25. Entity type assessed as corporate. Recommendation is APPROVE based on calibrated thresholds and policy floors.</w:t>
      </w:r>
    </w:p>
    <w:p/>
    <w:p>
      <w:r>
        <w:rPr>
          <w:b/>
        </w:rPr>
        <w:t xml:space="preserve">Date of Appraisal: </w:t>
      </w:r>
      <w:r>
        <w:t>21 March 2026</w:t>
      </w:r>
    </w:p>
    <w:p>
      <w:pPr>
        <w:jc w:val="left"/>
      </w:pPr>
      <w:r>
        <w:rPr>
          <w:b/>
          <w:color w:val="1B3A6B"/>
          <w:sz w:val="24"/>
          <w:u w:val="single"/>
        </w:rPr>
        <w:t>SWOT ANALYSIS</w:t>
      </w:r>
    </w:p>
    <w:p/>
    <w:tbl>
      <w:tblPr>
        <w:tblStyle w:val="TableGrid"/>
        <w:tblW w:type="auto" w:w="0"/>
        <w:tblLook w:firstColumn="1" w:firstRow="1" w:lastColumn="0" w:lastRow="0" w:noHBand="0" w:noVBand="1" w:val="04A0"/>
      </w:tblPr>
      <w:tblGrid>
        <w:gridCol w:w="4986"/>
        <w:gridCol w:w="4986"/>
      </w:tblGrid>
      <w:tr>
        <w:tc>
          <w:tcPr>
            <w:tcW w:type="dxa" w:w="4986"/>
            <w:shd w:val="clear" w:color="auto" w:fill="F5F5F5"/>
          </w:tcPr>
          <w:p>
            <w:r>
              <w:rPr>
                <w:b/>
                <w:color w:val="1E8449"/>
              </w:rPr>
              <w:t xml:space="preserve"> STRENGTHS</w:t>
            </w:r>
          </w:p>
          <w:p>
            <w:pPr>
              <w:pStyle w:val="ListBullet"/>
              <w:ind w:left="288"/>
            </w:pPr>
            <w:r>
              <w:t>• Exceptional Financial Health and Debt-Free Status: Tata Motors Limited demonstrates robust financial strength with total borrowings of 0 crores, resulting in a Debt-Equity Ratio of 0.0x. This is supported by a substantial Net Worth of 116,144 crores, high Profit After Tax of 28,149 crores, and strong EBITDA of 57,649 crores, reflecting an EBITDA margin of 13.1% for FY25.</w:t>
            </w:r>
          </w:p>
          <w:p>
            <w:pPr>
              <w:pStyle w:val="ListBullet"/>
              <w:ind w:left="288"/>
            </w:pPr>
            <w:r>
              <w:t>• Strong Operational Scale and Market Position: The company commands a significant presence in the automotive market, evidenced by its substantial consolidated revenue of 439,695 crores for FY25.</w:t>
            </w:r>
          </w:p>
          <w:p>
            <w:pPr>
              <w:pStyle w:val="ListBullet"/>
              <w:ind w:left="288"/>
            </w:pPr>
            <w:r>
              <w:t>• High Creditworthiness with Positive Outlook: The company consistently holds strong credit ratings in the 'AA' category from major agencies (CRISIL 'Positive', CARE 'Stable'), indicating robust financial health, strong repayment capacity, and a favorable risk profile, culminating in an overall AAA rating.</w:t>
            </w:r>
          </w:p>
          <w:p>
            <w:pPr>
              <w:pStyle w:val="ListBullet"/>
              <w:ind w:left="288"/>
            </w:pPr>
            <w:r>
              <w:t>• Robust Governance and Compliance: Tata Motors operates with a strong governance framework, reflected in 'Low' risk associated with promoter background (no current criminal cases, wilful defaulter status, or SFIO investigations) and 'Low' MCA risk (no director disqualifications, filing defaults, or ROC notices).</w:t>
            </w:r>
          </w:p>
          <w:p>
            <w:pPr>
              <w:pStyle w:val="ListBullet"/>
              <w:ind w:left="288"/>
            </w:pPr>
            <w:r>
              <w:t>• Substantial Unencumbered Asset Base: The debt-free status of the company implies that its significant asset base is largely unencumbered, providing exceptional collateral potential and financial flexibility.</w:t>
            </w:r>
          </w:p>
        </w:tc>
        <w:tc>
          <w:tcPr>
            <w:tcW w:type="dxa" w:w="4986"/>
            <w:shd w:val="clear" w:color="auto" w:fill="F5F5F5"/>
          </w:tcPr>
          <w:p>
            <w:r>
              <w:rPr>
                <w:b/>
                <w:color w:val="C0392B"/>
              </w:rPr>
              <w:t xml:space="preserve"> WEAKNESSES</w:t>
            </w:r>
          </w:p>
          <w:p>
            <w:pPr>
              <w:pStyle w:val="ListBullet"/>
              <w:ind w:left="288"/>
            </w:pPr>
            <w:r>
              <w:t>• The provided data does not explicitly highlight any significant inherent weaknesses of Tata Motors Limited. The available information primarily showcases very strong financial, operational, and governance indicators, suggesting a robust current state.</w:t>
            </w:r>
          </w:p>
        </w:tc>
      </w:tr>
      <w:tr>
        <w:tc>
          <w:tcPr>
            <w:tcW w:type="dxa" w:w="4986"/>
            <w:shd w:val="clear" w:color="auto" w:fill="F5F5F5"/>
          </w:tcPr>
          <w:p>
            <w:r>
              <w:rPr>
                <w:b/>
                <w:color w:val="2471A3"/>
              </w:rPr>
              <w:t xml:space="preserve"> OPPORTUNITIES</w:t>
            </w:r>
          </w:p>
          <w:p>
            <w:pPr>
              <w:pStyle w:val="ListBullet"/>
              <w:ind w:left="288"/>
            </w:pPr>
            <w:r>
              <w:t>• Potential for Credit Rating Upgrade: CRISIL's 'Positive' outlook signals a potential for an improved credit rating, which could further enhance market perception, reduce future funding costs, and attract broader investor interest.</w:t>
            </w:r>
          </w:p>
          <w:p>
            <w:pPr>
              <w:pStyle w:val="ListBullet"/>
              <w:ind w:left="288"/>
            </w:pPr>
            <w:r>
              <w:t>• Strategic Investment and Expansion Flexibility: The debt-free balance sheet and substantial net worth of 116,144 crores provide significant financial capacity to pursue strategic investments, organic growth initiatives, or potential acquisitions without immediate financial constraints, capitalizing on market trends.</w:t>
            </w:r>
          </w:p>
          <w:p>
            <w:pPr>
              <w:pStyle w:val="ListBullet"/>
              <w:ind w:left="288"/>
            </w:pPr>
            <w:r>
              <w:t>• Leveraging Favorable Operating Environment: The strong market position and 'favorable operating environment' (as indicated by the conditions score in the risk assessment) present opportunities for continued market share growth and consolidation within the automotive sector.</w:t>
            </w:r>
          </w:p>
        </w:tc>
        <w:tc>
          <w:tcPr>
            <w:tcW w:type="dxa" w:w="4986"/>
            <w:shd w:val="clear" w:color="auto" w:fill="F5F5F5"/>
          </w:tcPr>
          <w:p>
            <w:r>
              <w:rPr>
                <w:b/>
                <w:color w:val="D68910"/>
              </w:rPr>
              <w:t xml:space="preserve"> THREATS</w:t>
            </w:r>
          </w:p>
          <w:p>
            <w:pPr>
              <w:pStyle w:val="ListBullet"/>
              <w:ind w:left="288"/>
            </w:pPr>
            <w:r>
              <w:t>• The provided data does not explicitly detail or infer specific external threats such as intense competitive pressures, adverse shifts in regulatory policies, or broader macroeconomic downturns pertinent to the automotive industry. The analysis focuses primarily on internal company strengths and favorable operating conditions.</w:t>
            </w:r>
          </w:p>
        </w:tc>
      </w:tr>
    </w:tbl>
    <w:p/>
    <w:p>
      <w:pPr>
        <w:jc w:val="left"/>
      </w:pPr>
      <w:r>
        <w:rPr>
          <w:b/>
          <w:color w:val="1B3A6B"/>
          <w:sz w:val="24"/>
          <w:u w:val="single"/>
        </w:rPr>
        <w:t>COMPANY BACKGROUND</w:t>
      </w:r>
    </w:p>
    <w:p/>
    <w:tbl>
      <w:tblPr>
        <w:tblStyle w:val="TableGrid"/>
        <w:tblW w:type="auto" w:w="0"/>
        <w:tblLook w:firstColumn="1" w:firstRow="1" w:lastColumn="0" w:lastRow="0" w:noHBand="0" w:noVBand="1" w:val="04A0"/>
      </w:tblPr>
      <w:tblGrid>
        <w:gridCol w:w="2880"/>
        <w:gridCol w:w="7200"/>
      </w:tblGrid>
      <w:tr>
        <w:tc>
          <w:tcPr>
            <w:tcW w:type="dxa" w:w="4986"/>
            <w:shd w:val="clear" w:color="auto" w:fill="E8F0FA"/>
          </w:tcPr>
          <w:p>
            <w:r>
              <w:rPr>
                <w:b/>
              </w:rPr>
              <w:t>Company Name</w:t>
            </w:r>
          </w:p>
        </w:tc>
        <w:tc>
          <w:tcPr>
            <w:tcW w:type="dxa" w:w="4986"/>
          </w:tcPr>
          <w:p>
            <w:r>
              <w:t>Tata Motors Limited</w:t>
            </w:r>
          </w:p>
        </w:tc>
      </w:tr>
      <w:tr>
        <w:tc>
          <w:tcPr>
            <w:tcW w:type="dxa" w:w="4986"/>
            <w:shd w:val="clear" w:color="auto" w:fill="E8F0FA"/>
          </w:tcPr>
          <w:p>
            <w:r>
              <w:rPr>
                <w:b/>
              </w:rPr>
              <w:t>CIN</w:t>
            </w:r>
          </w:p>
        </w:tc>
        <w:tc>
          <w:tcPr>
            <w:tcW w:type="dxa" w:w="4986"/>
          </w:tcPr>
          <w:p>
            <w:r>
              <w:t>—</w:t>
            </w:r>
          </w:p>
        </w:tc>
      </w:tr>
      <w:tr>
        <w:tc>
          <w:tcPr>
            <w:tcW w:type="dxa" w:w="4986"/>
            <w:shd w:val="clear" w:color="auto" w:fill="E8F0FA"/>
          </w:tcPr>
          <w:p>
            <w:r>
              <w:rPr>
                <w:b/>
              </w:rPr>
              <w:t>Entity Type</w:t>
            </w:r>
          </w:p>
        </w:tc>
        <w:tc>
          <w:tcPr>
            <w:tcW w:type="dxa" w:w="4986"/>
          </w:tcPr>
          <w:p>
            <w:r>
              <w:t>CORPORATE</w:t>
            </w:r>
          </w:p>
        </w:tc>
      </w:tr>
      <w:tr>
        <w:tc>
          <w:tcPr>
            <w:tcW w:type="dxa" w:w="4986"/>
            <w:shd w:val="clear" w:color="auto" w:fill="E8F0FA"/>
          </w:tcPr>
          <w:p>
            <w:r>
              <w:rPr>
                <w:b/>
              </w:rPr>
              <w:t>Directors</w:t>
            </w:r>
          </w:p>
        </w:tc>
        <w:tc>
          <w:tcPr>
            <w:tcW w:type="dxa" w:w="4986"/>
          </w:tcPr>
          <w:p>
            <w:r>
              <w:t>Not extracted</w:t>
            </w:r>
          </w:p>
        </w:tc>
      </w:tr>
      <w:tr>
        <w:tc>
          <w:tcPr>
            <w:tcW w:type="dxa" w:w="4986"/>
            <w:shd w:val="clear" w:color="auto" w:fill="E8F0FA"/>
          </w:tcPr>
          <w:p>
            <w:r>
              <w:rPr>
                <w:b/>
              </w:rPr>
              <w:t>Promoters</w:t>
            </w:r>
          </w:p>
        </w:tc>
        <w:tc>
          <w:tcPr>
            <w:tcW w:type="dxa" w:w="4986"/>
          </w:tcPr>
          <w:p>
            <w:r>
              <w:t>Not extracted</w:t>
            </w:r>
          </w:p>
        </w:tc>
      </w:tr>
      <w:tr>
        <w:tc>
          <w:tcPr>
            <w:tcW w:type="dxa" w:w="4986"/>
            <w:shd w:val="clear" w:color="auto" w:fill="E8F0FA"/>
          </w:tcPr>
          <w:p>
            <w:r>
              <w:rPr>
                <w:b/>
              </w:rPr>
              <w:t>Extraction Notes</w:t>
            </w:r>
          </w:p>
        </w:tc>
        <w:tc>
          <w:tcPr>
            <w:tcW w:type="dxa" w:w="4986"/>
          </w:tcPr>
          <w:p>
            <w:r>
              <w:t>All financial data extracted is on a consolidated basis for FY25 (2024-2025), as explicitly stated in the text. Total borrowings are set to 0 based on the inference rule 'If "debt free" mentioned, total_borrowings = 0', as the Chairman's message states 'leading to the group becoming debt free this year'.</w:t>
            </w:r>
          </w:p>
        </w:tc>
      </w:tr>
    </w:tbl>
    <w:p/>
    <w:p>
      <w:pPr>
        <w:jc w:val="left"/>
      </w:pPr>
      <w:r>
        <w:rPr>
          <w:b/>
          <w:color w:val="1B3A6B"/>
          <w:sz w:val="24"/>
          <w:u w:val="single"/>
        </w:rPr>
        <w:t>FINANCIAL ANALYSIS</w:t>
      </w:r>
    </w:p>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3A6B"/>
          </w:tcPr>
          <w:p>
            <w:r/>
            <w:r>
              <w:rPr>
                <w:b/>
                <w:color w:val="FFFFFF"/>
                <w:sz w:val="20"/>
              </w:rPr>
              <w:t>Metric</w:t>
            </w:r>
          </w:p>
        </w:tc>
        <w:tc>
          <w:tcPr>
            <w:tcW w:type="dxa" w:w="3324"/>
            <w:shd w:val="clear" w:color="auto" w:fill="1B3A6B"/>
          </w:tcPr>
          <w:p>
            <w:r/>
            <w:r>
              <w:rPr>
                <w:b/>
                <w:color w:val="FFFFFF"/>
                <w:sz w:val="20"/>
              </w:rPr>
              <w:t>Value (FY Latest)</w:t>
            </w:r>
          </w:p>
        </w:tc>
        <w:tc>
          <w:tcPr>
            <w:tcW w:type="dxa" w:w="3324"/>
            <w:shd w:val="clear" w:color="auto" w:fill="1B3A6B"/>
          </w:tcPr>
          <w:p>
            <w:r/>
            <w:r>
              <w:rPr>
                <w:b/>
                <w:color w:val="FFFFFF"/>
                <w:sz w:val="20"/>
              </w:rPr>
              <w:t>Rationale / Source</w:t>
            </w:r>
          </w:p>
        </w:tc>
      </w:tr>
      <w:tr>
        <w:tc>
          <w:tcPr>
            <w:tcW w:type="dxa" w:w="3324"/>
          </w:tcPr>
          <w:p>
            <w:r>
              <w:t>Revenue</w:t>
            </w:r>
          </w:p>
        </w:tc>
        <w:tc>
          <w:tcPr>
            <w:tcW w:type="dxa" w:w="3324"/>
          </w:tcPr>
          <w:p>
            <w:r>
              <w:t>₹439,695 Cr</w:t>
            </w:r>
          </w:p>
        </w:tc>
        <w:tc>
          <w:tcPr>
            <w:tcW w:type="dxa" w:w="3324"/>
          </w:tcPr>
          <w:p>
            <w:r>
              <w:t>Direct extraction</w:t>
            </w:r>
          </w:p>
        </w:tc>
      </w:tr>
      <w:tr>
        <w:tc>
          <w:tcPr>
            <w:tcW w:type="dxa" w:w="3324"/>
          </w:tcPr>
          <w:p>
            <w:r>
              <w:t>Revenue Growth</w:t>
            </w:r>
          </w:p>
        </w:tc>
        <w:tc>
          <w:tcPr>
            <w:tcW w:type="dxa" w:w="3324"/>
          </w:tcPr>
          <w:p>
            <w:r>
              <w:t>N/A</w:t>
            </w:r>
          </w:p>
        </w:tc>
        <w:tc>
          <w:tcPr>
            <w:tcW w:type="dxa" w:w="3324"/>
          </w:tcPr>
          <w:p>
            <w:r>
              <w:t>Direct extraction</w:t>
            </w:r>
          </w:p>
        </w:tc>
      </w:tr>
      <w:tr>
        <w:tc>
          <w:tcPr>
            <w:tcW w:type="dxa" w:w="3324"/>
          </w:tcPr>
          <w:p>
            <w:r>
              <w:t>Profit After Tax</w:t>
            </w:r>
          </w:p>
        </w:tc>
        <w:tc>
          <w:tcPr>
            <w:tcW w:type="dxa" w:w="3324"/>
          </w:tcPr>
          <w:p>
            <w:r>
              <w:t>₹28,149 Cr</w:t>
            </w:r>
          </w:p>
        </w:tc>
        <w:tc>
          <w:tcPr>
            <w:tcW w:type="dxa" w:w="3324"/>
          </w:tcPr>
          <w:p>
            <w:r>
              <w:t>Direct extraction</w:t>
            </w:r>
          </w:p>
        </w:tc>
      </w:tr>
      <w:tr>
        <w:tc>
          <w:tcPr>
            <w:tcW w:type="dxa" w:w="3324"/>
          </w:tcPr>
          <w:p>
            <w:r>
              <w:t>EBITDA</w:t>
            </w:r>
          </w:p>
        </w:tc>
        <w:tc>
          <w:tcPr>
            <w:tcW w:type="dxa" w:w="3324"/>
          </w:tcPr>
          <w:p>
            <w:r>
              <w:t>₹57,649 Cr</w:t>
            </w:r>
          </w:p>
        </w:tc>
        <w:tc>
          <w:tcPr>
            <w:tcW w:type="dxa" w:w="3324"/>
          </w:tcPr>
          <w:p>
            <w:r>
              <w:t>Direct extraction</w:t>
            </w:r>
          </w:p>
        </w:tc>
      </w:tr>
      <w:tr>
        <w:tc>
          <w:tcPr>
            <w:tcW w:type="dxa" w:w="3324"/>
          </w:tcPr>
          <w:p>
            <w:r>
              <w:t>EBITDA Margin</w:t>
            </w:r>
          </w:p>
        </w:tc>
        <w:tc>
          <w:tcPr>
            <w:tcW w:type="dxa" w:w="3324"/>
          </w:tcPr>
          <w:p>
            <w:r>
              <w:t>13.1%</w:t>
            </w:r>
          </w:p>
        </w:tc>
        <w:tc>
          <w:tcPr>
            <w:tcW w:type="dxa" w:w="3324"/>
          </w:tcPr>
          <w:p>
            <w:r>
              <w:t>Direct extraction</w:t>
            </w:r>
          </w:p>
        </w:tc>
      </w:tr>
      <w:tr>
        <w:tc>
          <w:tcPr>
            <w:tcW w:type="dxa" w:w="3324"/>
          </w:tcPr>
          <w:p>
            <w:r>
              <w:t>Total Assets</w:t>
            </w:r>
          </w:p>
        </w:tc>
        <w:tc>
          <w:tcPr>
            <w:tcW w:type="dxa" w:w="3324"/>
          </w:tcPr>
          <w:p>
            <w:r>
              <w:t>N/A</w:t>
            </w:r>
          </w:p>
        </w:tc>
        <w:tc>
          <w:tcPr>
            <w:tcW w:type="dxa" w:w="3324"/>
          </w:tcPr>
          <w:p>
            <w:r>
              <w:t>Direct extraction</w:t>
            </w:r>
          </w:p>
        </w:tc>
      </w:tr>
      <w:tr>
        <w:tc>
          <w:tcPr>
            <w:tcW w:type="dxa" w:w="3324"/>
          </w:tcPr>
          <w:p>
            <w:r>
              <w:t>Net Worth</w:t>
            </w:r>
          </w:p>
        </w:tc>
        <w:tc>
          <w:tcPr>
            <w:tcW w:type="dxa" w:w="3324"/>
          </w:tcPr>
          <w:p>
            <w:r>
              <w:t>₹116,144 Cr</w:t>
            </w:r>
          </w:p>
        </w:tc>
        <w:tc>
          <w:tcPr>
            <w:tcW w:type="dxa" w:w="3324"/>
          </w:tcPr>
          <w:p>
            <w:r>
              <w:t>Direct extraction</w:t>
            </w:r>
          </w:p>
        </w:tc>
      </w:tr>
      <w:tr>
        <w:tc>
          <w:tcPr>
            <w:tcW w:type="dxa" w:w="3324"/>
          </w:tcPr>
          <w:p>
            <w:r>
              <w:t>Total Borrowings</w:t>
            </w:r>
          </w:p>
        </w:tc>
        <w:tc>
          <w:tcPr>
            <w:tcW w:type="dxa" w:w="3324"/>
          </w:tcPr>
          <w:p>
            <w:r>
              <w:t>₹0 Cr</w:t>
            </w:r>
          </w:p>
        </w:tc>
        <w:tc>
          <w:tcPr>
            <w:tcW w:type="dxa" w:w="3324"/>
          </w:tcPr>
          <w:p>
            <w:r>
              <w:t>Inferred: Debt Free</w:t>
            </w:r>
          </w:p>
        </w:tc>
      </w:tr>
      <w:tr>
        <w:tc>
          <w:tcPr>
            <w:tcW w:type="dxa" w:w="3324"/>
          </w:tcPr>
          <w:p>
            <w:r>
              <w:t>Debt / Equity</w:t>
            </w:r>
          </w:p>
        </w:tc>
        <w:tc>
          <w:tcPr>
            <w:tcW w:type="dxa" w:w="3324"/>
          </w:tcPr>
          <w:p>
            <w:r>
              <w:t>0.00x</w:t>
            </w:r>
          </w:p>
        </w:tc>
        <w:tc>
          <w:tcPr>
            <w:tcW w:type="dxa" w:w="3324"/>
          </w:tcPr>
          <w:p>
            <w:r>
              <w:t>Direct extraction</w:t>
            </w:r>
          </w:p>
        </w:tc>
      </w:tr>
      <w:tr>
        <w:tc>
          <w:tcPr>
            <w:tcW w:type="dxa" w:w="3324"/>
          </w:tcPr>
          <w:p>
            <w:r>
              <w:t>Current Ratio</w:t>
            </w:r>
          </w:p>
        </w:tc>
        <w:tc>
          <w:tcPr>
            <w:tcW w:type="dxa" w:w="3324"/>
          </w:tcPr>
          <w:p>
            <w:r>
              <w:t>N/A</w:t>
            </w:r>
          </w:p>
        </w:tc>
        <w:tc>
          <w:tcPr>
            <w:tcW w:type="dxa" w:w="3324"/>
          </w:tcPr>
          <w:p>
            <w:r>
              <w:t>Direct extraction</w:t>
            </w:r>
          </w:p>
        </w:tc>
      </w:tr>
      <w:tr>
        <w:tc>
          <w:tcPr>
            <w:tcW w:type="dxa" w:w="3324"/>
          </w:tcPr>
          <w:p>
            <w:r>
              <w:t>Interest Coverage</w:t>
            </w:r>
          </w:p>
        </w:tc>
        <w:tc>
          <w:tcPr>
            <w:tcW w:type="dxa" w:w="3324"/>
          </w:tcPr>
          <w:p>
            <w:r>
              <w:t>N/A</w:t>
            </w:r>
          </w:p>
        </w:tc>
        <w:tc>
          <w:tcPr>
            <w:tcW w:type="dxa" w:w="3324"/>
          </w:tcPr>
          <w:p>
            <w:r>
              <w:t>Direct extraction</w:t>
            </w:r>
          </w:p>
        </w:tc>
      </w:tr>
      <w:tr>
        <w:tc>
          <w:tcPr>
            <w:tcW w:type="dxa" w:w="3324"/>
          </w:tcPr>
          <w:p>
            <w:r>
              <w:t>Return on Equity</w:t>
            </w:r>
          </w:p>
        </w:tc>
        <w:tc>
          <w:tcPr>
            <w:tcW w:type="dxa" w:w="3324"/>
          </w:tcPr>
          <w:p>
            <w:r>
              <w:t>N/A</w:t>
            </w:r>
          </w:p>
        </w:tc>
        <w:tc>
          <w:tcPr>
            <w:tcW w:type="dxa" w:w="3324"/>
          </w:tcPr>
          <w:p>
            <w:r>
              <w:t>Direct extraction</w:t>
            </w:r>
          </w:p>
        </w:tc>
      </w:tr>
    </w:tbl>
    <w:p/>
    <w:p>
      <w:r>
        <w:rPr>
          <w:b/>
        </w:rPr>
        <w:t xml:space="preserve">Extraction Notes: </w:t>
      </w:r>
      <w:r>
        <w:t>All financial data extracted is on a consolidated basis for FY25 (2024-2025), as explicitly stated in the text. Total borrowings are set to 0 based on the inference rule 'If "debt free" mentioned, total_borrowings = 0', as the Chairman's message states 'leading to the group becoming debt free this year'.</w:t>
      </w:r>
    </w:p>
    <w:p/>
    <w:p>
      <w:pPr>
        <w:jc w:val="left"/>
      </w:pPr>
      <w:r>
        <w:rPr>
          <w:b/>
          <w:color w:val="1B3A6B"/>
          <w:sz w:val="24"/>
          <w:u w:val="single"/>
        </w:rPr>
        <w:t>FIVE Cs OF CREDIT ASSESSMENT</w:t>
      </w:r>
    </w:p>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3A6B"/>
          </w:tcPr>
          <w:p>
            <w:r/>
            <w:r>
              <w:rPr>
                <w:b/>
                <w:color w:val="FFFFFF"/>
                <w:sz w:val="20"/>
              </w:rPr>
              <w:t>C</w:t>
            </w:r>
          </w:p>
        </w:tc>
        <w:tc>
          <w:tcPr>
            <w:tcW w:type="dxa" w:w="2493"/>
            <w:shd w:val="clear" w:color="auto" w:fill="1B3A6B"/>
          </w:tcPr>
          <w:p>
            <w:r/>
            <w:r>
              <w:rPr>
                <w:b/>
                <w:color w:val="FFFFFF"/>
                <w:sz w:val="20"/>
              </w:rPr>
              <w:t>Score</w:t>
            </w:r>
          </w:p>
        </w:tc>
        <w:tc>
          <w:tcPr>
            <w:tcW w:type="dxa" w:w="2493"/>
            <w:shd w:val="clear" w:color="auto" w:fill="1B3A6B"/>
          </w:tcPr>
          <w:p>
            <w:r/>
            <w:r>
              <w:rPr>
                <w:b/>
                <w:color w:val="FFFFFF"/>
                <w:sz w:val="20"/>
              </w:rPr>
              <w:t>Weight</w:t>
            </w:r>
          </w:p>
        </w:tc>
        <w:tc>
          <w:tcPr>
            <w:tcW w:type="dxa" w:w="2493"/>
            <w:shd w:val="clear" w:color="auto" w:fill="1B3A6B"/>
          </w:tcPr>
          <w:p>
            <w:r/>
            <w:r>
              <w:rPr>
                <w:b/>
                <w:color w:val="FFFFFF"/>
                <w:sz w:val="20"/>
              </w:rPr>
              <w:t>Rationale</w:t>
            </w:r>
          </w:p>
        </w:tc>
      </w:tr>
      <w:tr>
        <w:tc>
          <w:tcPr>
            <w:tcW w:type="dxa" w:w="2493"/>
          </w:tcPr>
          <w:p>
            <w:r>
              <w:rPr>
                <w:b/>
              </w:rPr>
              <w:t>👤 Character</w:t>
            </w:r>
          </w:p>
        </w:tc>
        <w:tc>
          <w:tcPr>
            <w:tcW w:type="dxa" w:w="2493"/>
          </w:tcPr>
          <w:p>
            <w:r>
              <w:t>90</w:t>
            </w:r>
          </w:p>
        </w:tc>
        <w:tc>
          <w:tcPr>
            <w:tcW w:type="dxa" w:w="2493"/>
          </w:tcPr>
          <w:p>
            <w:r>
              <w:t>25%</w:t>
            </w:r>
          </w:p>
        </w:tc>
        <w:tc>
          <w:tcPr>
            <w:tcW w:type="dxa" w:w="2493"/>
          </w:tcPr>
          <w:p>
            <w:r>
              <w:t>Promoter background indicates 'Low' risk with no current criminal cases, wilful defaulter status, or SFIO investigations. MCA signals show 'Low' risk with no director disqualifications or filing defaults. A historical allegation (2016) against a promoter was inquired into by CBI with no adverse findings, demonstrating strong governance.</w:t>
            </w:r>
          </w:p>
        </w:tc>
      </w:tr>
      <w:tr>
        <w:tc>
          <w:tcPr>
            <w:tcW w:type="dxa" w:w="2493"/>
            <w:shd w:val="clear" w:color="auto" w:fill="E8F0FA"/>
          </w:tcPr>
          <w:p>
            <w:r>
              <w:rPr>
                <w:b/>
              </w:rPr>
              <w:t>💰 Capacity</w:t>
            </w:r>
          </w:p>
        </w:tc>
        <w:tc>
          <w:tcPr>
            <w:tcW w:type="dxa" w:w="2493"/>
            <w:shd w:val="clear" w:color="auto" w:fill="E8F0FA"/>
          </w:tcPr>
          <w:p>
            <w:r>
              <w:t>95</w:t>
            </w:r>
          </w:p>
        </w:tc>
        <w:tc>
          <w:tcPr>
            <w:tcW w:type="dxa" w:w="2493"/>
            <w:shd w:val="clear" w:color="auto" w:fill="E8F0FA"/>
          </w:tcPr>
          <w:p>
            <w:r>
              <w:t>30%</w:t>
            </w:r>
          </w:p>
        </w:tc>
        <w:tc>
          <w:tcPr>
            <w:tcW w:type="dxa" w:w="2493"/>
            <w:shd w:val="clear" w:color="auto" w:fill="E8F0FA"/>
          </w:tcPr>
          <w:p>
            <w:r>
              <w:t>EBITDA margin of 13.1% is robust, contributing to strong operational cash generation from a revenue base of 439,695 crores. The company's 'debt-free' status ('total_borrowings_crores' at 0) implies exceptional repayment capacity, rendering ICR non-existent due to minimal or no finance costs.</w:t>
            </w:r>
          </w:p>
        </w:tc>
      </w:tr>
      <w:tr>
        <w:tc>
          <w:tcPr>
            <w:tcW w:type="dxa" w:w="2493"/>
          </w:tcPr>
          <w:p>
            <w:r>
              <w:rPr>
                <w:b/>
              </w:rPr>
              <w:t>🏛️ Capital</w:t>
            </w:r>
          </w:p>
        </w:tc>
        <w:tc>
          <w:tcPr>
            <w:tcW w:type="dxa" w:w="2493"/>
          </w:tcPr>
          <w:p>
            <w:r>
              <w:t>100</w:t>
            </w:r>
          </w:p>
        </w:tc>
        <w:tc>
          <w:tcPr>
            <w:tcW w:type="dxa" w:w="2493"/>
          </w:tcPr>
          <w:p>
            <w:r>
              <w:t>20%</w:t>
            </w:r>
          </w:p>
        </w:tc>
        <w:tc>
          <w:tcPr>
            <w:tcW w:type="dxa" w:w="2493"/>
          </w:tcPr>
          <w:p>
            <w:r>
              <w:t>The debt-equity ratio of 0.0x signifies a 'debt-free' balance sheet, indicating no reliance on external borrowings. A substantial net worth of 116,144 crores further reinforces a very strong capital base.</w:t>
            </w:r>
          </w:p>
        </w:tc>
      </w:tr>
      <w:tr>
        <w:tc>
          <w:tcPr>
            <w:tcW w:type="dxa" w:w="2493"/>
            <w:shd w:val="clear" w:color="auto" w:fill="E8F0FA"/>
          </w:tcPr>
          <w:p>
            <w:r>
              <w:rPr>
                <w:b/>
              </w:rPr>
              <w:t>🔒 Collateral</w:t>
            </w:r>
          </w:p>
        </w:tc>
        <w:tc>
          <w:tcPr>
            <w:tcW w:type="dxa" w:w="2493"/>
            <w:shd w:val="clear" w:color="auto" w:fill="E8F0FA"/>
          </w:tcPr>
          <w:p>
            <w:r>
              <w:t>95</w:t>
            </w:r>
          </w:p>
        </w:tc>
        <w:tc>
          <w:tcPr>
            <w:tcW w:type="dxa" w:w="2493"/>
            <w:shd w:val="clear" w:color="auto" w:fill="E8F0FA"/>
          </w:tcPr>
          <w:p>
            <w:r>
              <w:t>15%</w:t>
            </w:r>
          </w:p>
        </w:tc>
        <w:tc>
          <w:tcPr>
            <w:tcW w:type="dxa" w:w="2493"/>
            <w:shd w:val="clear" w:color="auto" w:fill="E8F0FA"/>
          </w:tcPr>
          <w:p>
            <w:r>
              <w:t>Despite 'total_assets_crores' being null, the colossal revenue of 439,695 crores for a major automotive manufacturer implies a substantial and diverse asset base. The 'debt-free' status ('total_borrowings_crores' at 0) means these assets are largely unencumbered, offering exceptional collateral potential.</w:t>
            </w:r>
          </w:p>
        </w:tc>
      </w:tr>
      <w:tr>
        <w:tc>
          <w:tcPr>
            <w:tcW w:type="dxa" w:w="2493"/>
          </w:tcPr>
          <w:p>
            <w:r>
              <w:rPr>
                <w:b/>
              </w:rPr>
              <w:t>🌍 Conditions</w:t>
            </w:r>
          </w:p>
        </w:tc>
        <w:tc>
          <w:tcPr>
            <w:tcW w:type="dxa" w:w="2493"/>
          </w:tcPr>
          <w:p>
            <w:r>
              <w:t>90</w:t>
            </w:r>
          </w:p>
        </w:tc>
        <w:tc>
          <w:tcPr>
            <w:tcW w:type="dxa" w:w="2493"/>
          </w:tcPr>
          <w:p>
            <w:r>
              <w:t>10%</w:t>
            </w:r>
          </w:p>
        </w:tc>
        <w:tc>
          <w:tcPr>
            <w:tcW w:type="dxa" w:w="2493"/>
          </w:tcPr>
          <w:p>
            <w:r>
              <w:t>Strong external credit ratings in the 'AA' category from CARE ('Stable') and CRISIL ('Positive') directly reflect a favorable operating environment and the company's robust market position, indicating strong resilience against sector-specific and macro-economic conditions.</w:t>
            </w:r>
          </w:p>
        </w:tc>
      </w:tr>
    </w:tbl>
    <w:p/>
    <w:p>
      <w:r>
        <w:rPr>
          <w:b/>
        </w:rPr>
        <w:t xml:space="preserve">Weighted Score: </w:t>
      </w:r>
      <w:r>
        <w:t>94.25/100</w:t>
      </w:r>
      <w:r>
        <w:t xml:space="preserve">   |   </w:t>
      </w:r>
      <w:r>
        <w:rPr>
          <w:b/>
        </w:rPr>
        <w:t xml:space="preserve">Penalty Applied: </w:t>
      </w:r>
      <w:r>
        <w:t>0 points</w:t>
      </w:r>
      <w:r>
        <w:t xml:space="preserve">   |   </w:t>
      </w:r>
      <w:r>
        <w:rPr>
          <w:b/>
        </w:rPr>
        <w:t xml:space="preserve">Final Score: </w:t>
      </w:r>
      <w:r>
        <w:t>94.25/100</w:t>
      </w:r>
    </w:p>
    <w:p/>
    <w:p>
      <w:pPr>
        <w:jc w:val="left"/>
      </w:pPr>
      <w:r>
        <w:rPr>
          <w:b/>
          <w:color w:val="1B3A6B"/>
          <w:sz w:val="24"/>
          <w:u w:val="single"/>
        </w:rPr>
        <w:t>SECONDARY RESEARCH INTELLIGENCE</w:t>
      </w:r>
    </w:p>
    <w:p/>
    <w:p>
      <w:r>
        <w:rPr>
          <w:b/>
        </w:rPr>
        <w:t xml:space="preserve">Company News: </w:t>
      </w:r>
      <w:r>
        <w:t>Tata Motors Limited consistently holds strong credit ratings in the 'AA' category from CARE and CRISIL. CRISIL maintains a 'Positive' outlook, while CARE holds a 'Stable' outlook, indicating robust financial health and strong repayment capacity. Rating changes in March 2024 reflect ongoing review and affirmation of high credit quality.</w:t>
      </w:r>
    </w:p>
    <w:p/>
    <w:p>
      <w:r>
        <w:rPr>
          <w:b/>
        </w:rPr>
        <w:t xml:space="preserve">Promoter Background: </w:t>
      </w:r>
      <w:r>
        <w:t>A historical (2016) allegation by a lawmaker against Ratan Tata regarding an allegedly corrupt telecoms transaction was mentioned. However, Tata Sons stated that the allegations were thoroughly inquired into by the CBI with no adverse findings (implied by the truncated source). There is no indication of current criminal cases, SFIO investigations, or wilful defaulter status for Tata Motors' promoters. The mention of Neeraj Singhal's arrest (Bhushan Steel) is not relevant to Tata Motors.</w:t>
      </w:r>
    </w:p>
    <w:p/>
    <w:p>
      <w:r>
        <w:rPr>
          <w:b/>
        </w:rPr>
        <w:t xml:space="preserve">Sector Headwinds: </w:t>
      </w:r>
      <w:r>
        <w:t>The automotive manufacturing sector, where Tata Motors operates, shows a stable regulatory environment. Recent draft RBI regulations (FEMA, 2025) are positive, expanding the scope for foreign borrowings for M&amp;A and corporate arrangements, which could be beneficial for large entities like TML. A minor headwind is the restriction on Indian banks financing equity share acquisitions, which might necessitate alternative financing structures for specific M&amp;A activities.</w:t>
      </w:r>
    </w:p>
    <w:p/>
    <w:p>
      <w:r>
        <w:rPr>
          <w:b/>
        </w:rPr>
        <w:t xml:space="preserve">Litigation: </w:t>
      </w:r>
      <w:r>
        <w:t>Tata Motors is involved in an arbitration proceeding with Delhi Transport Corporation, which is a common commercial dispute resolution mechanism. The company is also undergoing a Composite Scheme of Arrangement (demerger/restructuring) involving its commercial and passenger vehicle businesses under Sections 230-232 of the Companies Act, 2013, at the NCLT. This is a strategic corporate action and not an insolvency or high-risk IBC proceeding.</w:t>
      </w:r>
    </w:p>
    <w:p/>
    <w:p>
      <w:r>
        <w:rPr>
          <w:b/>
        </w:rPr>
        <w:t xml:space="preserve">Regulatory: </w:t>
      </w:r>
      <w:r>
        <w:t>No specific SEBI actions, settlement orders, or RBI issues/penalties have been identified against Tata Motors Limited in the provided intelligence. The company demonstrates good compliance based on MCA filings.</w:t>
      </w:r>
    </w:p>
    <w:p/>
    <w:p>
      <w:r>
        <w:rPr>
          <w:b/>
        </w:rPr>
        <w:t xml:space="preserve">MCA Signals: </w:t>
      </w:r>
      <w:r>
        <w:t>Tata Motors Limited and its subsidiary, Tata Motors Body Solutions Limited, explicitly state that they do not have any charges or satisfactions yet to be registered with ROC beyond the statutory period. This indicates a clean compliance record with the Ministry of Corporate Affairs (MCA).</w:t>
      </w:r>
    </w:p>
    <w:p/>
    <w:p>
      <w:r>
        <w:rPr>
          <w:b/>
        </w:rPr>
        <w:t xml:space="preserve">Overall Research Rating: </w:t>
      </w:r>
      <w:r>
        <w:t>A — Strong Proceed</w:t>
      </w:r>
    </w:p>
    <w:p>
      <w:r>
        <w:rPr>
          <w:b/>
        </w:rPr>
        <w:t xml:space="preserve">Top Risks Identified: </w:t>
      </w:r>
      <w:r>
        <w:t>Potential for resurfacing or negative press related to the historical promoter allegation, though it was reportedly cleared.; Sector-specific regulatory changes or economic downturns affecting automotive demand, though not specifically identified as immediate risks in the provided intelligence.</w:t>
      </w:r>
    </w:p>
    <w:p/>
    <w:p>
      <w:pPr>
        <w:jc w:val="left"/>
      </w:pPr>
      <w:r>
        <w:rPr>
          <w:b/>
          <w:color w:val="1B3A6B"/>
          <w:sz w:val="24"/>
          <w:u w:val="single"/>
        </w:rPr>
        <w:t>CROSS-DOCUMENT FRAUD INTELLIGENCE</w:t>
      </w:r>
    </w:p>
    <w:p/>
    <w:p>
      <w:r>
        <w:rPr>
          <w:b/>
        </w:rPr>
        <w:t xml:space="preserve">Documents Compared: </w:t>
      </w:r>
      <w:r>
        <w:t>annual_report, merged_all</w:t>
      </w:r>
    </w:p>
    <w:p>
      <w:r>
        <w:rPr>
          <w:b/>
        </w:rPr>
        <w:t xml:space="preserve">Circular Trading Risk: </w:t>
      </w:r>
      <w:r>
        <w:t>Low</w:t>
      </w:r>
    </w:p>
    <w:p>
      <w:r>
        <w:rPr>
          <w:b/>
        </w:rPr>
        <w:t xml:space="preserve">Revenue Inflation Risk: </w:t>
      </w:r>
      <w:r>
        <w:t>Low</w:t>
      </w:r>
    </w:p>
    <w:p/>
    <w:p>
      <w:pPr>
        <w:jc w:val="left"/>
      </w:pPr>
      <w:r>
        <w:rPr>
          <w:b/>
          <w:color w:val="1B3A6B"/>
          <w:sz w:val="24"/>
          <w:u w:val="single"/>
        </w:rPr>
        <w:t>FINAL RECOMMENDATION</w:t>
      </w:r>
    </w:p>
    <w:p/>
    <w:tbl>
      <w:tblPr>
        <w:tblW w:type="auto" w:w="0"/>
        <w:tblLook w:firstColumn="1" w:firstRow="1" w:lastColumn="0" w:lastRow="0" w:noHBand="0" w:noVBand="1" w:val="04A0"/>
      </w:tblPr>
      <w:tblGrid>
        <w:gridCol w:w="9972"/>
      </w:tblGrid>
      <w:tr>
        <w:tc>
          <w:tcPr>
            <w:tcW w:type="dxa" w:w="9972"/>
            <w:shd w:val="clear" w:color="auto" w:fill="1E8449"/>
          </w:tcPr>
          <w:p>
            <w:pPr>
              <w:jc w:val="center"/>
            </w:pPr>
            <w:r>
              <w:rPr>
                <w:b/>
                <w:color w:val="FFFFFF"/>
                <w:sz w:val="28"/>
              </w:rPr>
              <w:t>RECOMMENDATION: APPROVE</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E8F0FA"/>
          </w:tcPr>
          <w:p>
            <w:r>
              <w:rPr>
                <w:b/>
              </w:rPr>
              <w:t>Decision</w:t>
            </w:r>
          </w:p>
        </w:tc>
        <w:tc>
          <w:tcPr>
            <w:tcW w:type="dxa" w:w="4986"/>
          </w:tcPr>
          <w:p>
            <w:r>
              <w:t>APPROVE</w:t>
            </w:r>
          </w:p>
        </w:tc>
      </w:tr>
      <w:tr>
        <w:tc>
          <w:tcPr>
            <w:tcW w:type="dxa" w:w="4986"/>
            <w:shd w:val="clear" w:color="auto" w:fill="E8F0FA"/>
          </w:tcPr>
          <w:p>
            <w:r>
              <w:rPr>
                <w:b/>
              </w:rPr>
              <w:t>Credit Rating</w:t>
            </w:r>
          </w:p>
        </w:tc>
        <w:tc>
          <w:tcPr>
            <w:tcW w:type="dxa" w:w="4986"/>
          </w:tcPr>
          <w:p>
            <w:r>
              <w:t>AAA</w:t>
            </w:r>
          </w:p>
        </w:tc>
      </w:tr>
      <w:tr>
        <w:tc>
          <w:tcPr>
            <w:tcW w:type="dxa" w:w="4986"/>
            <w:shd w:val="clear" w:color="auto" w:fill="E8F0FA"/>
          </w:tcPr>
          <w:p>
            <w:r>
              <w:rPr>
                <w:b/>
              </w:rPr>
              <w:t>Credit Score</w:t>
            </w:r>
          </w:p>
        </w:tc>
        <w:tc>
          <w:tcPr>
            <w:tcW w:type="dxa" w:w="4986"/>
          </w:tcPr>
          <w:p>
            <w:r>
              <w:t>90.67/100</w:t>
            </w:r>
          </w:p>
        </w:tc>
      </w:tr>
      <w:tr>
        <w:tc>
          <w:tcPr>
            <w:tcW w:type="dxa" w:w="4986"/>
            <w:shd w:val="clear" w:color="auto" w:fill="E8F0FA"/>
          </w:tcPr>
          <w:p>
            <w:r>
              <w:rPr>
                <w:b/>
              </w:rPr>
              <w:t>Recommended Amount</w:t>
            </w:r>
          </w:p>
        </w:tc>
        <w:tc>
          <w:tcPr>
            <w:tcW w:type="dxa" w:w="4986"/>
          </w:tcPr>
          <w:p>
            <w:r>
              <w:t>₹2000 Cr</w:t>
            </w:r>
          </w:p>
        </w:tc>
      </w:tr>
      <w:tr>
        <w:tc>
          <w:tcPr>
            <w:tcW w:type="dxa" w:w="4986"/>
            <w:shd w:val="clear" w:color="auto" w:fill="E8F0FA"/>
          </w:tcPr>
          <w:p>
            <w:r>
              <w:rPr>
                <w:b/>
              </w:rPr>
              <w:t>Interest Rate</w:t>
            </w:r>
          </w:p>
        </w:tc>
        <w:tc>
          <w:tcPr>
            <w:tcW w:type="dxa" w:w="4986"/>
          </w:tcPr>
          <w:p>
            <w:r>
              <w:t>11.0%</w:t>
            </w:r>
          </w:p>
        </w:tc>
      </w:tr>
      <w:tr>
        <w:tc>
          <w:tcPr>
            <w:tcW w:type="dxa" w:w="4986"/>
            <w:shd w:val="clear" w:color="auto" w:fill="E8F0FA"/>
          </w:tcPr>
          <w:p>
            <w:r>
              <w:rPr>
                <w:b/>
              </w:rPr>
              <w:t>Tenure</w:t>
            </w:r>
          </w:p>
        </w:tc>
        <w:tc>
          <w:tcPr>
            <w:tcW w:type="dxa" w:w="4986"/>
          </w:tcPr>
          <w:p>
            <w:r>
              <w:t>36 months</w:t>
            </w:r>
          </w:p>
        </w:tc>
      </w:tr>
    </w:tbl>
    <w:p/>
    <w:p>
      <w:r>
        <w:rPr>
          <w:b/>
        </w:rPr>
        <w:t xml:space="preserve">Rationale: </w:t>
      </w:r>
      <w:r>
        <w:t>Blended score 90.67/100 with rating AAA. Five-Cs weighted score after penalties: 94.25. Entity type assessed as corporate. Recommendation is APPROVE based on calibrated thresholds and policy floors.</w:t>
      </w:r>
    </w:p>
    <w:p/>
    <w:p>
      <w:r>
        <w:rPr>
          <w:i/>
          <w:sz w:val="16"/>
        </w:rPr>
        <w:t>Disclaimer: This Credit Appraisal Memo has been prepared using AI-assisted analysis by Intelli-Credit (DOMINIX). All recommendations are subject to review and approval by authorized credit officers as per Vivriti Capital's credit policy.</w:t>
      </w:r>
    </w:p>
    <w:p/>
    <w:p>
      <w:pPr>
        <w:jc w:val="center"/>
      </w:pPr>
      <w:r>
        <w:rPr>
          <w:color w:val="1B3A6B"/>
          <w:sz w:val="16"/>
        </w:rPr>
        <w:t>Intelli-Credit by DOMINIX  ·  Vivriti Capital Hackathon 2026  ·  Generated: 21 Mar 2026 19:24</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