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Vivriti Capital</w:t>
            </w:r>
          </w:p>
        </w:tc>
        <w:tc>
          <w:tcPr>
            <w:tcW w:type="dxa" w:w="3324"/>
            <w:shd w:val="clear" w:color="auto" w:fill="1B3A6B"/>
          </w:tcPr>
          <w:p>
            <w:pPr>
              <w:jc w:val="center"/>
            </w:pPr>
            <w:r>
              <w:rPr>
                <w:b/>
                <w:color w:val="1E8449"/>
                <w:sz w:val="26"/>
              </w:rPr>
              <w:t>APPROVE</w:t>
              <w:br/>
            </w:r>
            <w:r>
              <w:rPr>
                <w:b/>
                <w:color w:val="FFFFFF"/>
                <w:sz w:val="22"/>
              </w:rPr>
              <w:t>Rating: 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77.3/100</w:t>
            </w:r>
          </w:p>
        </w:tc>
        <w:tc>
          <w:tcPr>
            <w:tcW w:type="dxa" w:w="1994"/>
            <w:shd w:val="clear" w:color="auto" w:fill="E8F0FA"/>
          </w:tcPr>
          <w:p>
            <w:pPr>
              <w:jc w:val="center"/>
            </w:pPr>
            <w:r>
              <w:rPr>
                <w:b/>
              </w:rPr>
              <w:t>A</w:t>
            </w:r>
          </w:p>
        </w:tc>
        <w:tc>
          <w:tcPr>
            <w:tcW w:type="dxa" w:w="1994"/>
            <w:shd w:val="clear" w:color="auto" w:fill="E8F0FA"/>
          </w:tcPr>
          <w:p>
            <w:pPr>
              <w:jc w:val="center"/>
            </w:pPr>
            <w:r>
              <w:rPr>
                <w:b/>
              </w:rPr>
              <w:t>APPROVE</w:t>
            </w:r>
          </w:p>
        </w:tc>
        <w:tc>
          <w:tcPr>
            <w:tcW w:type="dxa" w:w="1994"/>
            <w:shd w:val="clear" w:color="auto" w:fill="E8F0FA"/>
          </w:tcPr>
          <w:p>
            <w:pPr>
              <w:jc w:val="center"/>
            </w:pPr>
            <w:r>
              <w:rPr>
                <w:b/>
              </w:rPr>
              <w:t>₹20.0 Cr</w:t>
            </w:r>
          </w:p>
        </w:tc>
        <w:tc>
          <w:tcPr>
            <w:tcW w:type="dxa" w:w="1994"/>
            <w:shd w:val="clear" w:color="auto" w:fill="E8F0FA"/>
          </w:tcPr>
          <w:p>
            <w:pPr>
              <w:jc w:val="center"/>
            </w:pPr>
            <w:r>
              <w:rPr>
                <w:b/>
              </w:rPr>
              <w:t>11.0%</w:t>
            </w:r>
          </w:p>
        </w:tc>
      </w:tr>
    </w:tbl>
    <w:p/>
    <w:p>
      <w:r>
        <w:rPr>
          <w:b/>
        </w:rPr>
        <w:t xml:space="preserve">Decision Rationale: </w:t>
      </w:r>
      <w:r>
        <w:t>Blended score 77.3/100 with rating A. Five-Cs weighted score after penalties: 75.75. Entity type assessed as nbfc. Recommendation is APPROVE based on calibrated thresholds and policy floors.</w:t>
      </w:r>
    </w:p>
    <w:p/>
    <w:p>
      <w:r>
        <w:rPr>
          <w:b/>
        </w:rPr>
        <w:t xml:space="preserve">Date of Appraisal: </w:t>
      </w:r>
      <w:r>
        <w:t>22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**Strong Financial Performance &amp; Capital Base:** Reported profit after tax of 220.04 Crores on revenue of 1363.9 Crores in FY25, backed by a substantial net worth of 2146.91 Crores and total assets of 9081.07 Crores.</w:t>
            </w:r>
          </w:p>
          <w:p>
            <w:pPr>
              <w:pStyle w:val="ListBullet"/>
              <w:ind w:left="288"/>
            </w:pPr>
            <w:r>
              <w:t>• **Robust Operational Growth:** Demonstrated significant operational expansion in FY24 with an 82% increase in disbursements and a 34% increase in Assets Under Management (AUM), indicating strong market traction.</w:t>
            </w:r>
          </w:p>
          <w:p>
            <w:pPr>
              <w:pStyle w:val="ListBullet"/>
              <w:ind w:left="288"/>
            </w:pPr>
            <w:r>
              <w:t>• **Excellent External Credit Ratings:** Secured strong investment-grade credit ratings from multiple agencies (CRISIL A+, ICRA A, CARE A+), affirming its creditworthiness and access to capital markets.</w:t>
            </w:r>
          </w:p>
          <w:p>
            <w:pPr>
              <w:pStyle w:val="ListBullet"/>
              <w:ind w:left="288"/>
            </w:pPr>
            <w:r>
              <w:t>• **Broad Access to Funding:** Maintains a diversified funding base with a network of over 60 lenders, enhancing liquidity and financial flexibility.</w:t>
            </w:r>
          </w:p>
          <w:p>
            <w:pPr>
              <w:pStyle w:val="ListBullet"/>
              <w:ind w:left="288"/>
            </w:pPr>
            <w:r>
              <w:t>• **Sound Corporate Governance:** Low promoter risk (no criminal cases, wilful defaulter, SFIO investigation) and low MCA risk (no director disqualifications, filing defaults) suggest strong governance practices.</w:t>
            </w:r>
          </w:p>
        </w:tc>
        <w:tc>
          <w:tcPr>
            <w:tcW w:type="dxa" w:w="4986"/>
            <w:shd w:val="clear" w:color="auto" w:fill="F5F5F5"/>
          </w:tcPr>
          <w:p>
            <w:r>
              <w:rPr>
                <w:b/>
                <w:color w:val="C0392B"/>
              </w:rPr>
              <w:t xml:space="preserve"> WEAKNESSES</w:t>
            </w:r>
          </w:p>
          <w:p>
            <w:pPr>
              <w:pStyle w:val="ListBullet"/>
              <w:ind w:left="288"/>
            </w:pPr>
            <w:r>
              <w:t>• **Elevated Leverage:** A debt-equity ratio of 3.48 indicates a relatively high reliance on borrowed funds, which, while common for growth-oriented NBFCs, could expose the company to higher financial risk during adverse market conditions.</w:t>
            </w:r>
          </w:p>
          <w:p>
            <w:pPr>
              <w:pStyle w:val="ListBullet"/>
              <w:ind w:left="288"/>
            </w:pPr>
            <w:r>
              <w:t>• **Incomplete Financial Transparency:** Key financial metrics such as EBITDA, Current Ratio, and Interest Coverage Ratio are not available, limiting a comprehensive assessment of operational efficiency and short-term liquidity.</w:t>
            </w:r>
          </w:p>
          <w:p>
            <w:pPr>
              <w:pStyle w:val="ListBullet"/>
              <w:ind w:left="288"/>
            </w:pPr>
            <w:r>
              <w:t>• **Potential for Associate Losses to Impact Group Performance:** The mentioned net loss of 200.2696 Crores from an associate, though not consolidated in the primary figures provided, could represent a drag on overall group profitability or future impairments if not managed effectively.</w:t>
            </w:r>
          </w:p>
        </w:tc>
      </w:tr>
      <w:tr>
        <w:tc>
          <w:tcPr>
            <w:tcW w:type="dxa" w:w="4986"/>
            <w:shd w:val="clear" w:color="auto" w:fill="F5F5F5"/>
          </w:tcPr>
          <w:p>
            <w:r>
              <w:rPr>
                <w:b/>
                <w:color w:val="2471A3"/>
              </w:rPr>
              <w:t xml:space="preserve"> OPPORTUNITIES</w:t>
            </w:r>
          </w:p>
          <w:p>
            <w:pPr>
              <w:pStyle w:val="ListBullet"/>
              <w:ind w:left="288"/>
            </w:pPr>
            <w:r>
              <w:t>• **Capitalize on Growing Demand in Indian NBFC Sector:** The favorable operating conditions and strong growth trajectory (82% disbursement increase, 34% AUM increase in FY24) position Vivriti to further expand its market share in India's expanding credit landscape.</w:t>
            </w:r>
          </w:p>
          <w:p>
            <w:pPr>
              <w:pStyle w:val="ListBullet"/>
              <w:ind w:left="288"/>
            </w:pPr>
            <w:r>
              <w:t>• **Deepen Lender Relationships and Diversify Funding:** Leveraging its extensive network of 60+ lenders to secure more favorable terms, explore new funding avenues (e.g., securitization, public issues), and optimize its cost of funds.</w:t>
            </w:r>
          </w:p>
          <w:p>
            <w:pPr>
              <w:pStyle w:val="ListBullet"/>
              <w:ind w:left="288"/>
            </w:pPr>
            <w:r>
              <w:t>• **Strategic Expansion &amp; Product Diversification:** With strong credit ratings and capital base, Vivriti can explore opportunities for geographic expansion, entry into new niche credit segments, or diversification of its product offerings to new customer segments.</w:t>
            </w:r>
          </w:p>
        </w:tc>
        <w:tc>
          <w:tcPr>
            <w:tcW w:type="dxa" w:w="4986"/>
            <w:shd w:val="clear" w:color="auto" w:fill="F5F5F5"/>
          </w:tcPr>
          <w:p>
            <w:r>
              <w:rPr>
                <w:b/>
                <w:color w:val="D68910"/>
              </w:rPr>
              <w:t xml:space="preserve"> THREATS</w:t>
            </w:r>
          </w:p>
          <w:p>
            <w:pPr>
              <w:pStyle w:val="ListBullet"/>
              <w:ind w:left="288"/>
            </w:pPr>
            <w:r>
              <w:t>• **Adverse Regulatory Changes:** The highly regulated NBFC sector is susceptible to evolving RBI norms and increased scrutiny, which could impact operational flexibility, capital requirements, or lending practices, potentially increasing compliance costs.</w:t>
            </w:r>
          </w:p>
          <w:p>
            <w:pPr>
              <w:pStyle w:val="ListBullet"/>
              <w:ind w:left="288"/>
            </w:pPr>
            <w:r>
              <w:t>• **Increased Competition and Margin Pressure:** Intense competition from traditional banks, other NBFCs, and new-age fintech lenders could lead to pressure on lending rates, higher acquisition costs, and a squeeze on profit margins.</w:t>
            </w:r>
          </w:p>
          <w:p>
            <w:pPr>
              <w:pStyle w:val="ListBullet"/>
              <w:ind w:left="288"/>
            </w:pPr>
            <w:r>
              <w:t>• **Economic Downturn and Asset Quality Risks:** A general economic slowdown or sector-specific challenges could lead to higher non-performing assets (NPAs) and credit losses, especially given its rapid disbursement growth and existing high leverage.</w:t>
            </w:r>
          </w:p>
          <w:p>
            <w:pPr>
              <w:pStyle w:val="ListBullet"/>
              <w:ind w:left="288"/>
            </w:pPr>
            <w:r>
              <w:t>• **Interest Rate Volatility and Funding Cost Increases:** Given total borrowings of 7470 Crores, rising interest rates could significantly increase funding costs, impacting profitability if these costs cannot be effectively passed on to borrowers or adequately hedged.</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Vivriti Capital Limited</w:t>
            </w:r>
          </w:p>
        </w:tc>
      </w:tr>
      <w:tr>
        <w:tc>
          <w:tcPr>
            <w:tcW w:type="dxa" w:w="4986"/>
            <w:shd w:val="clear" w:color="auto" w:fill="E8F0FA"/>
          </w:tcPr>
          <w:p>
            <w:r>
              <w:rPr>
                <w:b/>
              </w:rPr>
              <w:t>CIN</w:t>
            </w:r>
          </w:p>
        </w:tc>
        <w:tc>
          <w:tcPr>
            <w:tcW w:type="dxa" w:w="4986"/>
          </w:tcPr>
          <w:p>
            <w:r>
              <w:t>U65929TN2017PLC117196</w:t>
            </w:r>
          </w:p>
        </w:tc>
      </w:tr>
      <w:tr>
        <w:tc>
          <w:tcPr>
            <w:tcW w:type="dxa" w:w="4986"/>
            <w:shd w:val="clear" w:color="auto" w:fill="E8F0FA"/>
          </w:tcPr>
          <w:p>
            <w:r>
              <w:rPr>
                <w:b/>
              </w:rPr>
              <w:t>Entity Type</w:t>
            </w:r>
          </w:p>
        </w:tc>
        <w:tc>
          <w:tcPr>
            <w:tcW w:type="dxa" w:w="4986"/>
          </w:tcPr>
          <w:p>
            <w:r>
              <w:t>NBFC</w:t>
            </w:r>
          </w:p>
        </w:tc>
      </w:tr>
      <w:tr>
        <w:tc>
          <w:tcPr>
            <w:tcW w:type="dxa" w:w="4986"/>
            <w:shd w:val="clear" w:color="auto" w:fill="E8F0FA"/>
          </w:tcPr>
          <w:p>
            <w:r>
              <w:rPr>
                <w:b/>
              </w:rPr>
              <w:t>Directors</w:t>
            </w:r>
          </w:p>
        </w:tc>
        <w:tc>
          <w:tcPr>
            <w:tcW w:type="dxa" w:w="4986"/>
          </w:tcPr>
          <w:p>
            <w:r>
              <w:t>Vineet Sukumar, Gaurav Kumar, Namrata Kaul, Anita Belani, Santanu Paul, JohnTyler Day, Lazar Zdravkovic, Gopal Srinivasan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The audit report is for the consolidated financial statements of Vivriti Capital Limited for the year ended March 31, 2025. The consolidated revenue, profit after tax, total assets, and total borrowings for the group were not explicitly stated in the provided text. Information regarding a subsidiary's total assets (241.0148 Crores) and total revenues (64.4639 Crores), and an associate's net loss (200.2696 Crores) were mentioned in the 'Other Matters' section, but these are not the consolidated figures and hence not extracted as such. No red flags were identified regarding audit qualification or going concern issues; the auditors provided a true and fair view opinion, and the reliance on other auditors for parts of the consolidated statements is a standard disclosure, not a qualification of the overall opinion.</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Total Income</w:t>
            </w:r>
          </w:p>
        </w:tc>
        <w:tc>
          <w:tcPr>
            <w:tcW w:type="dxa" w:w="3324"/>
          </w:tcPr>
          <w:p>
            <w:r>
              <w:t>₹1,364 Cr</w:t>
            </w:r>
          </w:p>
        </w:tc>
        <w:tc>
          <w:tcPr>
            <w:tcW w:type="dxa" w:w="3324"/>
          </w:tcPr>
          <w:p>
            <w:r>
              <w:t>Direct extraction</w:t>
            </w:r>
          </w:p>
        </w:tc>
      </w:tr>
      <w:tr>
        <w:tc>
          <w:tcPr>
            <w:tcW w:type="dxa" w:w="3324"/>
          </w:tcPr>
          <w:p>
            <w:r>
              <w:t>Net Interest Income</w:t>
            </w:r>
          </w:p>
        </w:tc>
        <w:tc>
          <w:tcPr>
            <w:tcW w:type="dxa" w:w="3324"/>
          </w:tcPr>
          <w:p>
            <w:r>
              <w:t>N/A</w:t>
            </w:r>
          </w:p>
        </w:tc>
        <w:tc>
          <w:tcPr>
            <w:tcW w:type="dxa" w:w="3324"/>
          </w:tcPr>
          <w:p>
            <w:r>
              <w:t>Direct extraction</w:t>
            </w:r>
          </w:p>
        </w:tc>
      </w:tr>
      <w:tr>
        <w:tc>
          <w:tcPr>
            <w:tcW w:type="dxa" w:w="3324"/>
          </w:tcPr>
          <w:p>
            <w:r>
              <w:t>Net Interest Margin</w:t>
            </w:r>
          </w:p>
        </w:tc>
        <w:tc>
          <w:tcPr>
            <w:tcW w:type="dxa" w:w="3324"/>
          </w:tcPr>
          <w:p>
            <w:r>
              <w:t>N/A</w:t>
            </w:r>
          </w:p>
        </w:tc>
        <w:tc>
          <w:tcPr>
            <w:tcW w:type="dxa" w:w="3324"/>
          </w:tcPr>
          <w:p>
            <w:r>
              <w:t>Direct extraction</w:t>
            </w:r>
          </w:p>
        </w:tc>
      </w:tr>
      <w:tr>
        <w:tc>
          <w:tcPr>
            <w:tcW w:type="dxa" w:w="3324"/>
          </w:tcPr>
          <w:p>
            <w:r>
              <w:t>Profit After Tax</w:t>
            </w:r>
          </w:p>
        </w:tc>
        <w:tc>
          <w:tcPr>
            <w:tcW w:type="dxa" w:w="3324"/>
          </w:tcPr>
          <w:p>
            <w:r>
              <w:t>₹220 Cr</w:t>
            </w:r>
          </w:p>
        </w:tc>
        <w:tc>
          <w:tcPr>
            <w:tcW w:type="dxa" w:w="3324"/>
          </w:tcPr>
          <w:p>
            <w:r>
              <w:t>Direct extraction</w:t>
            </w:r>
          </w:p>
        </w:tc>
      </w:tr>
      <w:tr>
        <w:tc>
          <w:tcPr>
            <w:tcW w:type="dxa" w:w="3324"/>
          </w:tcPr>
          <w:p>
            <w:r>
              <w:t>Total Assets</w:t>
            </w:r>
          </w:p>
        </w:tc>
        <w:tc>
          <w:tcPr>
            <w:tcW w:type="dxa" w:w="3324"/>
          </w:tcPr>
          <w:p>
            <w:r>
              <w:t>₹9,081 Cr</w:t>
            </w:r>
          </w:p>
        </w:tc>
        <w:tc>
          <w:tcPr>
            <w:tcW w:type="dxa" w:w="3324"/>
          </w:tcPr>
          <w:p>
            <w:r>
              <w:t>Direct extraction</w:t>
            </w:r>
          </w:p>
        </w:tc>
      </w:tr>
      <w:tr>
        <w:tc>
          <w:tcPr>
            <w:tcW w:type="dxa" w:w="3324"/>
          </w:tcPr>
          <w:p>
            <w:r>
              <w:t>Net Worth</w:t>
            </w:r>
          </w:p>
        </w:tc>
        <w:tc>
          <w:tcPr>
            <w:tcW w:type="dxa" w:w="3324"/>
          </w:tcPr>
          <w:p>
            <w:r>
              <w:t>₹2,147 Cr</w:t>
            </w:r>
          </w:p>
        </w:tc>
        <w:tc>
          <w:tcPr>
            <w:tcW w:type="dxa" w:w="3324"/>
          </w:tcPr>
          <w:p>
            <w:r>
              <w:t>Direct extraction</w:t>
            </w:r>
          </w:p>
        </w:tc>
      </w:tr>
      <w:tr>
        <w:tc>
          <w:tcPr>
            <w:tcW w:type="dxa" w:w="3324"/>
          </w:tcPr>
          <w:p>
            <w:r>
              <w:t>Total Borrowings</w:t>
            </w:r>
          </w:p>
        </w:tc>
        <w:tc>
          <w:tcPr>
            <w:tcW w:type="dxa" w:w="3324"/>
          </w:tcPr>
          <w:p>
            <w:r>
              <w:t>₹7,470 Cr</w:t>
            </w:r>
          </w:p>
        </w:tc>
        <w:tc>
          <w:tcPr>
            <w:tcW w:type="dxa" w:w="3324"/>
          </w:tcPr>
          <w:p>
            <w:r>
              <w:t>Direct extraction</w:t>
            </w:r>
          </w:p>
        </w:tc>
      </w:tr>
      <w:tr>
        <w:tc>
          <w:tcPr>
            <w:tcW w:type="dxa" w:w="3324"/>
          </w:tcPr>
          <w:p>
            <w:r>
              <w:t>Capital Adequacy (CRAR)</w:t>
            </w:r>
          </w:p>
        </w:tc>
        <w:tc>
          <w:tcPr>
            <w:tcW w:type="dxa" w:w="3324"/>
          </w:tcPr>
          <w:p>
            <w:r>
              <w:t>N/A</w:t>
            </w:r>
          </w:p>
        </w:tc>
        <w:tc>
          <w:tcPr>
            <w:tcW w:type="dxa" w:w="3324"/>
          </w:tcPr>
          <w:p>
            <w:r>
              <w:t>Direct extraction</w:t>
            </w:r>
          </w:p>
        </w:tc>
      </w:tr>
      <w:tr>
        <w:tc>
          <w:tcPr>
            <w:tcW w:type="dxa" w:w="3324"/>
          </w:tcPr>
          <w:p>
            <w:r>
              <w:t>Debt / Equity</w:t>
            </w:r>
          </w:p>
        </w:tc>
        <w:tc>
          <w:tcPr>
            <w:tcW w:type="dxa" w:w="3324"/>
          </w:tcPr>
          <w:p>
            <w:r>
              <w:t>3.48x</w:t>
            </w:r>
          </w:p>
        </w:tc>
        <w:tc>
          <w:tcPr>
            <w:tcW w:type="dxa" w:w="3324"/>
          </w:tcPr>
          <w:p>
            <w:r>
              <w:t>Direct extraction</w:t>
            </w:r>
          </w:p>
        </w:tc>
      </w:tr>
      <w:tr>
        <w:tc>
          <w:tcPr>
            <w:tcW w:type="dxa" w:w="3324"/>
          </w:tcPr>
          <w:p>
            <w:r>
              <w:t>Gross NPA</w:t>
            </w:r>
          </w:p>
        </w:tc>
        <w:tc>
          <w:tcPr>
            <w:tcW w:type="dxa" w:w="3324"/>
          </w:tcPr>
          <w:p>
            <w:r>
              <w:t>N/A</w:t>
            </w:r>
          </w:p>
        </w:tc>
        <w:tc>
          <w:tcPr>
            <w:tcW w:type="dxa" w:w="3324"/>
          </w:tcPr>
          <w:p>
            <w:r>
              <w:t>Direct extraction</w:t>
            </w:r>
          </w:p>
        </w:tc>
      </w:tr>
      <w:tr>
        <w:tc>
          <w:tcPr>
            <w:tcW w:type="dxa" w:w="3324"/>
          </w:tcPr>
          <w:p>
            <w:r>
              <w:t>Net NPA</w:t>
            </w:r>
          </w:p>
        </w:tc>
        <w:tc>
          <w:tcPr>
            <w:tcW w:type="dxa" w:w="3324"/>
          </w:tcPr>
          <w:p>
            <w:r>
              <w:t>N/A</w:t>
            </w:r>
          </w:p>
        </w:tc>
        <w:tc>
          <w:tcPr>
            <w:tcW w:type="dxa" w:w="3324"/>
          </w:tcPr>
          <w:p>
            <w:r>
              <w:t>Direct extraction</w:t>
            </w:r>
          </w:p>
        </w:tc>
      </w:tr>
      <w:tr>
        <w:tc>
          <w:tcPr>
            <w:tcW w:type="dxa" w:w="3324"/>
          </w:tcPr>
          <w:p>
            <w:r>
              <w:t>Return on Assets</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The audit report is for the consolidated financial statements of Vivriti Capital Limited for the year ended March 31, 2025. The consolidated revenue, profit after tax, total assets, and total borrowings for the group were not explicitly stated in the provided text. Information regarding a subsidiary's total assets (241.0148 Crores) and total revenues (64.4639 Crores), and an associate's net loss (200.2696 Crores) were mentioned in the 'Other Matters' section, but these are not the consolidated figures and hence not extracted as such. No red flags were identified regarding audit qualification or going concern issues; the auditors provided a true and fair view opinion, and the reliance on other auditors for parts of the consolidated statements is a standard disclosure, not a qualification of the overall opinion.</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85</w:t>
            </w:r>
          </w:p>
        </w:tc>
        <w:tc>
          <w:tcPr>
            <w:tcW w:type="dxa" w:w="2493"/>
          </w:tcPr>
          <w:p>
            <w:r>
              <w:t>25%</w:t>
            </w:r>
          </w:p>
        </w:tc>
        <w:tc>
          <w:tcPr>
            <w:tcW w:type="dxa" w:w="2493"/>
          </w:tcPr>
          <w:p>
            <w:r>
              <w:t>Promoter background indicates 'Low' risk with no criminal cases, wilful defaulter status, or SFIO investigation, further supported by 'Low' MCA risk and no reported director disqualifications or filing defaults.</w:t>
            </w:r>
          </w:p>
        </w:tc>
      </w:tr>
      <w:tr>
        <w:tc>
          <w:tcPr>
            <w:tcW w:type="dxa" w:w="2493"/>
            <w:shd w:val="clear" w:color="auto" w:fill="E8F0FA"/>
          </w:tcPr>
          <w:p>
            <w:r>
              <w:rPr>
                <w:b/>
              </w:rPr>
              <w:t>💰 Capacity</w:t>
            </w:r>
          </w:p>
        </w:tc>
        <w:tc>
          <w:tcPr>
            <w:tcW w:type="dxa" w:w="2493"/>
            <w:shd w:val="clear" w:color="auto" w:fill="E8F0FA"/>
          </w:tcPr>
          <w:p>
            <w:r>
              <w:t>75</w:t>
            </w:r>
          </w:p>
        </w:tc>
        <w:tc>
          <w:tcPr>
            <w:tcW w:type="dxa" w:w="2493"/>
            <w:shd w:val="clear" w:color="auto" w:fill="E8F0FA"/>
          </w:tcPr>
          <w:p>
            <w:r>
              <w:t>30%</w:t>
            </w:r>
          </w:p>
        </w:tc>
        <w:tc>
          <w:tcPr>
            <w:tcW w:type="dxa" w:w="2493"/>
            <w:shd w:val="clear" w:color="auto" w:fill="E8F0FA"/>
          </w:tcPr>
          <w:p>
            <w:r>
              <w:t>Demonstrated strong operational capacity with FY25 profit after tax of 220.04 Crores on revenue of 1363.9 Crores, alongside impressive growth in FY24 with an 82% increase in disbursements and a 34% increase in Assets Under Management (AUM).</w:t>
            </w:r>
          </w:p>
        </w:tc>
      </w:tr>
      <w:tr>
        <w:tc>
          <w:tcPr>
            <w:tcW w:type="dxa" w:w="2493"/>
          </w:tcPr>
          <w:p>
            <w:r>
              <w:rPr>
                <w:b/>
              </w:rPr>
              <w:t>🏛️ Capital</w:t>
            </w:r>
          </w:p>
        </w:tc>
        <w:tc>
          <w:tcPr>
            <w:tcW w:type="dxa" w:w="2493"/>
          </w:tcPr>
          <w:p>
            <w:r>
              <w:t>70</w:t>
            </w:r>
          </w:p>
        </w:tc>
        <w:tc>
          <w:tcPr>
            <w:tcW w:type="dxa" w:w="2493"/>
          </w:tcPr>
          <w:p>
            <w:r>
              <w:t>20%</w:t>
            </w:r>
          </w:p>
        </w:tc>
        <w:tc>
          <w:tcPr>
            <w:tcW w:type="dxa" w:w="2493"/>
          </w:tcPr>
          <w:p>
            <w:r>
              <w:t>Substantial net worth of 2146.91 Crores provides a strong capital base, and the debt-equity ratio of 3.48 is within acceptable leverage discipline for a growth-oriented NBFC.</w:t>
            </w:r>
          </w:p>
        </w:tc>
      </w:tr>
      <w:tr>
        <w:tc>
          <w:tcPr>
            <w:tcW w:type="dxa" w:w="2493"/>
            <w:shd w:val="clear" w:color="auto" w:fill="E8F0FA"/>
          </w:tcPr>
          <w:p>
            <w:r>
              <w:rPr>
                <w:b/>
              </w:rPr>
              <w:t>🔒 Collateral</w:t>
            </w:r>
          </w:p>
        </w:tc>
        <w:tc>
          <w:tcPr>
            <w:tcW w:type="dxa" w:w="2493"/>
            <w:shd w:val="clear" w:color="auto" w:fill="E8F0FA"/>
          </w:tcPr>
          <w:p>
            <w:r>
              <w:t>70</w:t>
            </w:r>
          </w:p>
        </w:tc>
        <w:tc>
          <w:tcPr>
            <w:tcW w:type="dxa" w:w="2493"/>
            <w:shd w:val="clear" w:color="auto" w:fill="E8F0FA"/>
          </w:tcPr>
          <w:p>
            <w:r>
              <w:t>15%</w:t>
            </w:r>
          </w:p>
        </w:tc>
        <w:tc>
          <w:tcPr>
            <w:tcW w:type="dxa" w:w="2493"/>
            <w:shd w:val="clear" w:color="auto" w:fill="E8F0FA"/>
          </w:tcPr>
          <w:p>
            <w:r>
              <w:t>Strong balance sheet supported by total assets of 9081.07 Crores and a 34% increase in AUM in FY24, further reinforced by external credit ratings of CRISIL A+, ICRA A, and CARE A+ which implicitly assess asset quality.</w:t>
            </w:r>
          </w:p>
        </w:tc>
      </w:tr>
      <w:tr>
        <w:tc>
          <w:tcPr>
            <w:tcW w:type="dxa" w:w="2493"/>
          </w:tcPr>
          <w:p>
            <w:r>
              <w:rPr>
                <w:b/>
              </w:rPr>
              <w:t>🌍 Conditions</w:t>
            </w:r>
          </w:p>
        </w:tc>
        <w:tc>
          <w:tcPr>
            <w:tcW w:type="dxa" w:w="2493"/>
          </w:tcPr>
          <w:p>
            <w:r>
              <w:t>75</w:t>
            </w:r>
          </w:p>
        </w:tc>
        <w:tc>
          <w:tcPr>
            <w:tcW w:type="dxa" w:w="2493"/>
          </w:tcPr>
          <w:p>
            <w:r>
              <w:t>10%</w:t>
            </w:r>
          </w:p>
        </w:tc>
        <w:tc>
          <w:tcPr>
            <w:tcW w:type="dxa" w:w="2493"/>
          </w:tcPr>
          <w:p>
            <w:r>
              <w:t>Favorable operating conditions are evidenced by strong external credit ratings (CRISIL A+, ICRA A, CARE A+) and a broad network of over 60 lenders, reflecting confidence in Vivriti Capital's ability to thrive within the Indian NBFC sector.</w:t>
            </w:r>
          </w:p>
        </w:tc>
      </w:tr>
    </w:tbl>
    <w:p/>
    <w:p>
      <w:r>
        <w:rPr>
          <w:b/>
        </w:rPr>
        <w:t xml:space="preserve">Weighted Score: </w:t>
      </w:r>
      <w:r>
        <w:t>75.75/100</w:t>
      </w:r>
      <w:r>
        <w:t xml:space="preserve">   |   </w:t>
      </w:r>
      <w:r>
        <w:rPr>
          <w:b/>
        </w:rPr>
        <w:t xml:space="preserve">Penalty Applied: </w:t>
      </w:r>
      <w:r>
        <w:t>0 points</w:t>
      </w:r>
      <w:r>
        <w:t xml:space="preserve">   |   </w:t>
      </w:r>
      <w:r>
        <w:rPr>
          <w:b/>
        </w:rPr>
        <w:t xml:space="preserve">Final Score: </w:t>
      </w:r>
      <w:r>
        <w:t>75.75/100</w:t>
      </w:r>
    </w:p>
    <w:p/>
    <w:p>
      <w:pPr>
        <w:jc w:val="left"/>
      </w:pPr>
      <w:r>
        <w:rPr>
          <w:b/>
          <w:color w:val="1B3A6B"/>
          <w:sz w:val="24"/>
          <w:u w:val="single"/>
        </w:rPr>
        <w:t>SECONDARY RESEARCH INTELLIGENCE</w:t>
      </w:r>
    </w:p>
    <w:p/>
    <w:p>
      <w:r>
        <w:rPr>
          <w:b/>
        </w:rPr>
        <w:t xml:space="preserve">Company News: </w:t>
      </w:r>
      <w:r>
        <w:t>Vivriti Capital has secured strong credit ratings (CRISIL A+, ICRA A, CARE A+) and maintains a broad network of over 60 lenders. The company demonstrated robust operational performance in FY24, with an impressive 82% increase in disbursements and 34% growth in Assets Under Management (AUM).</w:t>
      </w:r>
    </w:p>
    <w:p/>
    <w:p>
      <w:r>
        <w:rPr>
          <w:b/>
        </w:rPr>
        <w:t xml:space="preserve">Promoter Background: </w:t>
      </w:r>
      <w:r>
        <w:t>Vineet Sukumar is identified as a promoter of Vivriti Capital. No specific adverse information such as wilful default, SFIO investigation, or criminal cases is provided for the named promoter. An e-court judgment regarding 'appellants' with CIBIL rating issues and indebtedness was noted, but this cannot be directly attributed to Vivriti Capital's specific promoter based on the information provided.</w:t>
      </w:r>
    </w:p>
    <w:p/>
    <w:p>
      <w:r>
        <w:rPr>
          <w:b/>
        </w:rPr>
        <w:t xml:space="preserve">Sector Headwinds: </w:t>
      </w:r>
      <w:r>
        <w:t>The NBFC sector in India is generally stable but operates under stringent RBI regulations. While there are inherent regulatory risks such as penal actions for non-compliance with registration, no specific headwinds impacting Vivriti Capital have been identified from the provided intelligence. Vivriti Capital, as a registered NBFC, is presumed to adhere to these guidelines.</w:t>
      </w:r>
    </w:p>
    <w:p/>
    <w:p>
      <w:r>
        <w:rPr>
          <w:b/>
        </w:rPr>
        <w:t xml:space="preserve">Litigation: </w:t>
      </w:r>
      <w:r>
        <w:t>No specific legal disputes or insolvency proceedings (CIRP) are reported against Vivriti Capital. General NCLT information regarding a CIRP for 'Indison Agro. Foods Limited' and a general legal principle concerning DRT/IBC were noted but are not directly related to Vivriti Capital's litigation status.</w:t>
      </w:r>
    </w:p>
    <w:p/>
    <w:p>
      <w:r>
        <w:rPr>
          <w:b/>
        </w:rPr>
        <w:t xml:space="preserve">Regulatory: </w:t>
      </w:r>
      <w:r>
        <w:t>No specific SEBI actions, RBI issues, or regulatory penalties are reported for Vivriti Capital. The intelligence includes general RBI guidelines on NBFC registration requirements and potential penal actions for non-compliance, which are standard for the sector and do not indicate any non-compliance by Vivriti Capital.</w:t>
      </w:r>
    </w:p>
    <w:p/>
    <w:p>
      <w:r>
        <w:rPr>
          <w:b/>
        </w:rPr>
        <w:t xml:space="preserve">MCA Signals: </w:t>
      </w:r>
      <w:r>
        <w:t>There are no specific MCA filing defaults, director disqualifications, or pending charge satisfactions reported for Vivriti Capital. The intelligence only contains general advisories about the importance of ROC filings, not specific issues concerning the company.</w:t>
      </w:r>
    </w:p>
    <w:p/>
    <w:p>
      <w:r>
        <w:rPr>
          <w:b/>
        </w:rPr>
        <w:t xml:space="preserve">Overall Research Rating: </w:t>
      </w:r>
      <w:r>
        <w:t>A — Strong Proceed</w:t>
      </w:r>
    </w:p>
    <w:p>
      <w:r>
        <w:rPr>
          <w:b/>
        </w:rPr>
        <w:t xml:space="preserve">Top Risks Identified: </w:t>
      </w:r>
      <w:r>
        <w:t>Lack of detailed financial metrics (PAT, EBITDA, D/E, Current Ratio) prevents a comprehensive financial assessment.; General NBFC sector regulatory risks and potential changes in RBI policies.</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w:t>
            </w:r>
          </w:p>
        </w:tc>
      </w:tr>
      <w:tr>
        <w:tc>
          <w:tcPr>
            <w:tcW w:type="dxa" w:w="4986"/>
            <w:shd w:val="clear" w:color="auto" w:fill="E8F0FA"/>
          </w:tcPr>
          <w:p>
            <w:r>
              <w:rPr>
                <w:b/>
              </w:rPr>
              <w:t>Credit Score</w:t>
            </w:r>
          </w:p>
        </w:tc>
        <w:tc>
          <w:tcPr>
            <w:tcW w:type="dxa" w:w="4986"/>
          </w:tcPr>
          <w:p>
            <w:r>
              <w:t>77.3/100</w:t>
            </w:r>
          </w:p>
        </w:tc>
      </w:tr>
      <w:tr>
        <w:tc>
          <w:tcPr>
            <w:tcW w:type="dxa" w:w="4986"/>
            <w:shd w:val="clear" w:color="auto" w:fill="E8F0FA"/>
          </w:tcPr>
          <w:p>
            <w:r>
              <w:rPr>
                <w:b/>
              </w:rPr>
              <w:t>Recommended Amount</w:t>
            </w:r>
          </w:p>
        </w:tc>
        <w:tc>
          <w:tcPr>
            <w:tcW w:type="dxa" w:w="4986"/>
          </w:tcPr>
          <w:p>
            <w:r>
              <w:t>₹20.0 Cr</w:t>
            </w:r>
          </w:p>
        </w:tc>
      </w:tr>
      <w:tr>
        <w:tc>
          <w:tcPr>
            <w:tcW w:type="dxa" w:w="4986"/>
            <w:shd w:val="clear" w:color="auto" w:fill="E8F0FA"/>
          </w:tcPr>
          <w:p>
            <w:r>
              <w:rPr>
                <w:b/>
              </w:rPr>
              <w:t>Interest Rate</w:t>
            </w:r>
          </w:p>
        </w:tc>
        <w:tc>
          <w:tcPr>
            <w:tcW w:type="dxa" w:w="4986"/>
          </w:tcPr>
          <w:p>
            <w:r>
              <w:t>11.0%</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77.3/100 with rating A. Five-Cs weighted score after penalties: 75.75. Entity type assessed as nbfc.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22 Mar 2026 15:21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