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2160"/>
        <w:gridCol w:w="5040"/>
        <w:gridCol w:w="2880"/>
      </w:tblGrid>
      <w:tr>
        <w:tc>
          <w:tcPr>
            <w:tcW w:type="dxa" w:w="3324"/>
            <w:shd w:val="clear" w:color="auto" w:fill="1B3A6B"/>
          </w:tcPr>
          <w:p>
            <w:pPr>
              <w:jc w:val="left"/>
            </w:pPr>
            <w:r>
              <w:rPr>
                <w:b/>
                <w:color w:val="C9A84C"/>
                <w:sz w:val="18"/>
              </w:rPr>
              <w:t>VIVRITI CAPITAL</w:t>
            </w:r>
          </w:p>
        </w:tc>
        <w:tc>
          <w:tcPr>
            <w:tcW w:type="dxa" w:w="3324"/>
            <w:shd w:val="clear" w:color="auto" w:fill="1B3A6B"/>
          </w:tcPr>
          <w:p>
            <w:pPr>
              <w:jc w:val="center"/>
            </w:pPr>
            <w:r>
              <w:rPr>
                <w:b/>
                <w:color w:val="FFFFFF"/>
                <w:sz w:val="28"/>
              </w:rPr>
              <w:t>CREDIT APPRAISAL MEMORANDUM</w:t>
              <w:br/>
            </w:r>
            <w:r>
              <w:rPr>
                <w:b/>
                <w:color w:val="C9A84C"/>
                <w:sz w:val="22"/>
              </w:rPr>
              <w:t>Infosys  Limited</w:t>
            </w:r>
          </w:p>
        </w:tc>
        <w:tc>
          <w:tcPr>
            <w:tcW w:type="dxa" w:w="3324"/>
            <w:shd w:val="clear" w:color="auto" w:fill="1B3A6B"/>
          </w:tcPr>
          <w:p>
            <w:pPr>
              <w:jc w:val="center"/>
            </w:pPr>
            <w:r>
              <w:rPr>
                <w:b/>
                <w:color w:val="1E8449"/>
                <w:sz w:val="26"/>
              </w:rPr>
              <w:t>APPROVE</w:t>
              <w:br/>
            </w:r>
            <w:r>
              <w:rPr>
                <w:b/>
                <w:color w:val="FFFFFF"/>
                <w:sz w:val="22"/>
              </w:rPr>
              <w:t>Rating: AA</w:t>
            </w:r>
          </w:p>
        </w:tc>
      </w:tr>
    </w:tbl>
    <w:p/>
    <w:p>
      <w:pPr>
        <w:jc w:val="left"/>
      </w:pPr>
      <w:r>
        <w:rPr>
          <w:b/>
          <w:color w:val="1B3A6B"/>
          <w:sz w:val="24"/>
          <w:u w:val="single"/>
        </w:rPr>
        <w:t>EXECUTIVE SUMMARY</w:t>
      </w:r>
    </w:p>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1B3A6B"/>
          </w:tcPr>
          <w:p>
            <w:pPr>
              <w:jc w:val="center"/>
            </w:pPr>
            <w:r/>
            <w:r>
              <w:rPr>
                <w:b/>
                <w:color w:val="FFFFFF"/>
                <w:sz w:val="18"/>
              </w:rPr>
              <w:t>Credit Score</w:t>
            </w:r>
          </w:p>
        </w:tc>
        <w:tc>
          <w:tcPr>
            <w:tcW w:type="dxa" w:w="1994"/>
            <w:shd w:val="clear" w:color="auto" w:fill="1B3A6B"/>
          </w:tcPr>
          <w:p>
            <w:pPr>
              <w:jc w:val="center"/>
            </w:pPr>
            <w:r/>
            <w:r>
              <w:rPr>
                <w:b/>
                <w:color w:val="FFFFFF"/>
                <w:sz w:val="18"/>
              </w:rPr>
              <w:t>Rating</w:t>
            </w:r>
          </w:p>
        </w:tc>
        <w:tc>
          <w:tcPr>
            <w:tcW w:type="dxa" w:w="1994"/>
            <w:shd w:val="clear" w:color="auto" w:fill="1B3A6B"/>
          </w:tcPr>
          <w:p>
            <w:pPr>
              <w:jc w:val="center"/>
            </w:pPr>
            <w:r/>
            <w:r>
              <w:rPr>
                <w:b/>
                <w:color w:val="FFFFFF"/>
                <w:sz w:val="18"/>
              </w:rPr>
              <w:t>Decision</w:t>
            </w:r>
          </w:p>
        </w:tc>
        <w:tc>
          <w:tcPr>
            <w:tcW w:type="dxa" w:w="1994"/>
            <w:shd w:val="clear" w:color="auto" w:fill="1B3A6B"/>
          </w:tcPr>
          <w:p>
            <w:pPr>
              <w:jc w:val="center"/>
            </w:pPr>
            <w:r/>
            <w:r>
              <w:rPr>
                <w:b/>
                <w:color w:val="FFFFFF"/>
                <w:sz w:val="18"/>
              </w:rPr>
              <w:t>Recommended Amount</w:t>
            </w:r>
          </w:p>
        </w:tc>
        <w:tc>
          <w:tcPr>
            <w:tcW w:type="dxa" w:w="1994"/>
            <w:shd w:val="clear" w:color="auto" w:fill="1B3A6B"/>
          </w:tcPr>
          <w:p>
            <w:pPr>
              <w:jc w:val="center"/>
            </w:pPr>
            <w:r/>
            <w:r>
              <w:rPr>
                <w:b/>
                <w:color w:val="FFFFFF"/>
                <w:sz w:val="18"/>
              </w:rPr>
              <w:t>Interest Rate</w:t>
            </w:r>
          </w:p>
        </w:tc>
      </w:tr>
      <w:tr>
        <w:tc>
          <w:tcPr>
            <w:tcW w:type="dxa" w:w="1994"/>
            <w:shd w:val="clear" w:color="auto" w:fill="E8F0FA"/>
          </w:tcPr>
          <w:p>
            <w:pPr>
              <w:jc w:val="center"/>
            </w:pPr>
            <w:r>
              <w:rPr>
                <w:b/>
              </w:rPr>
              <w:t>88.94/100</w:t>
            </w:r>
          </w:p>
        </w:tc>
        <w:tc>
          <w:tcPr>
            <w:tcW w:type="dxa" w:w="1994"/>
            <w:shd w:val="clear" w:color="auto" w:fill="E8F0FA"/>
          </w:tcPr>
          <w:p>
            <w:pPr>
              <w:jc w:val="center"/>
            </w:pPr>
            <w:r>
              <w:rPr>
                <w:b/>
              </w:rPr>
              <w:t>AA</w:t>
            </w:r>
          </w:p>
        </w:tc>
        <w:tc>
          <w:tcPr>
            <w:tcW w:type="dxa" w:w="1994"/>
            <w:shd w:val="clear" w:color="auto" w:fill="E8F0FA"/>
          </w:tcPr>
          <w:p>
            <w:pPr>
              <w:jc w:val="center"/>
            </w:pPr>
            <w:r>
              <w:rPr>
                <w:b/>
              </w:rPr>
              <w:t>APPROVE</w:t>
            </w:r>
          </w:p>
        </w:tc>
        <w:tc>
          <w:tcPr>
            <w:tcW w:type="dxa" w:w="1994"/>
            <w:shd w:val="clear" w:color="auto" w:fill="E8F0FA"/>
          </w:tcPr>
          <w:p>
            <w:pPr>
              <w:jc w:val="center"/>
            </w:pPr>
            <w:r>
              <w:rPr>
                <w:b/>
              </w:rPr>
              <w:t>₹50.0 Cr</w:t>
            </w:r>
          </w:p>
        </w:tc>
        <w:tc>
          <w:tcPr>
            <w:tcW w:type="dxa" w:w="1994"/>
            <w:shd w:val="clear" w:color="auto" w:fill="E8F0FA"/>
          </w:tcPr>
          <w:p>
            <w:pPr>
              <w:jc w:val="center"/>
            </w:pPr>
            <w:r>
              <w:rPr>
                <w:b/>
              </w:rPr>
              <w:t>11.5%</w:t>
            </w:r>
          </w:p>
        </w:tc>
      </w:tr>
    </w:tbl>
    <w:p/>
    <w:p>
      <w:r>
        <w:rPr>
          <w:b/>
        </w:rPr>
        <w:t xml:space="preserve">Decision Rationale: </w:t>
      </w:r>
      <w:r>
        <w:t>Infosys Limited presents an exceptional credit profile, earning an AA rating with a Blended Risk Score of 88.94/100. The company demonstrates outstanding Capacity, reflected by an approximate DSCR of 88.8x and robust operating cash flow of ₹4351 crores, backed by strong financial performance and raised FY25 revenue guidance. Its excellent Character score of 95, substantial Capital (current ratio 2.27x, total assets ₹17419 crores), and highly favorable market Conditions in the IT sector further strengthen this recommendation. These factors collectively indicate a very low-risk borrower with ample ability to comfortably service the proposed debt. Therefore, the loan application is approved.</w:t>
      </w:r>
    </w:p>
    <w:p/>
    <w:p>
      <w:r>
        <w:rPr>
          <w:b/>
        </w:rPr>
        <w:t xml:space="preserve">Date of Appraisal: </w:t>
      </w:r>
      <w:r>
        <w:t>09 March 2026</w:t>
      </w:r>
      <w:r>
        <w:rPr>
          <w:b/>
        </w:rPr>
        <w:t xml:space="preserve">   |   Loan Purpose: </w:t>
      </w:r>
      <w:r>
        <w:t>Expansion of digital services and new global delivery centers</w:t>
      </w:r>
    </w:p>
    <w:p>
      <w:pPr>
        <w:jc w:val="left"/>
      </w:pPr>
      <w:r>
        <w:rPr>
          <w:b/>
          <w:color w:val="1B3A6B"/>
          <w:sz w:val="24"/>
          <w:u w:val="single"/>
        </w:rPr>
        <w:t>COMPANY BACKGROUND</w:t>
      </w:r>
    </w:p>
    <w:p/>
    <w:tbl>
      <w:tblPr>
        <w:tblStyle w:val="TableGrid"/>
        <w:tblW w:type="auto" w:w="0"/>
        <w:tblLook w:firstColumn="1" w:firstRow="1" w:lastColumn="0" w:lastRow="0" w:noHBand="0" w:noVBand="1" w:val="04A0"/>
      </w:tblPr>
      <w:tblGrid>
        <w:gridCol w:w="2880"/>
        <w:gridCol w:w="7200"/>
      </w:tblGrid>
      <w:tr>
        <w:tc>
          <w:tcPr>
            <w:tcW w:type="dxa" w:w="4986"/>
            <w:shd w:val="clear" w:color="auto" w:fill="E8F0FA"/>
          </w:tcPr>
          <w:p>
            <w:r>
              <w:rPr>
                <w:b/>
              </w:rPr>
              <w:t>Company Name</w:t>
            </w:r>
          </w:p>
        </w:tc>
        <w:tc>
          <w:tcPr>
            <w:tcW w:type="dxa" w:w="4986"/>
          </w:tcPr>
          <w:p>
            <w:r>
              <w:t>INFOSYS LIMITED</w:t>
            </w:r>
          </w:p>
        </w:tc>
      </w:tr>
      <w:tr>
        <w:tc>
          <w:tcPr>
            <w:tcW w:type="dxa" w:w="4986"/>
            <w:shd w:val="clear" w:color="auto" w:fill="E8F0FA"/>
          </w:tcPr>
          <w:p>
            <w:r>
              <w:rPr>
                <w:b/>
              </w:rPr>
              <w:t>CIN</w:t>
            </w:r>
          </w:p>
        </w:tc>
        <w:tc>
          <w:tcPr>
            <w:tcW w:type="dxa" w:w="4986"/>
          </w:tcPr>
          <w:p>
            <w:r>
              <w:t>—</w:t>
            </w:r>
          </w:p>
        </w:tc>
      </w:tr>
      <w:tr>
        <w:tc>
          <w:tcPr>
            <w:tcW w:type="dxa" w:w="4986"/>
            <w:shd w:val="clear" w:color="auto" w:fill="E8F0FA"/>
          </w:tcPr>
          <w:p>
            <w:r>
              <w:rPr>
                <w:b/>
              </w:rPr>
              <w:t>Entity Type</w:t>
            </w:r>
          </w:p>
        </w:tc>
        <w:tc>
          <w:tcPr>
            <w:tcW w:type="dxa" w:w="4986"/>
          </w:tcPr>
          <w:p>
            <w:r>
              <w:t>CORPORATE</w:t>
            </w:r>
          </w:p>
        </w:tc>
      </w:tr>
      <w:tr>
        <w:tc>
          <w:tcPr>
            <w:tcW w:type="dxa" w:w="4986"/>
            <w:shd w:val="clear" w:color="auto" w:fill="E8F0FA"/>
          </w:tcPr>
          <w:p>
            <w:r>
              <w:rPr>
                <w:b/>
              </w:rPr>
              <w:t>Directors</w:t>
            </w:r>
          </w:p>
        </w:tc>
        <w:tc>
          <w:tcPr>
            <w:tcW w:type="dxa" w:w="4986"/>
          </w:tcPr>
          <w:p>
            <w:r>
              <w:t>Jayesh Sanghrajka</w:t>
            </w:r>
          </w:p>
        </w:tc>
      </w:tr>
      <w:tr>
        <w:tc>
          <w:tcPr>
            <w:tcW w:type="dxa" w:w="4986"/>
            <w:shd w:val="clear" w:color="auto" w:fill="E8F0FA"/>
          </w:tcPr>
          <w:p>
            <w:r>
              <w:rPr>
                <w:b/>
              </w:rPr>
              <w:t>Promoters</w:t>
            </w:r>
          </w:p>
        </w:tc>
        <w:tc>
          <w:tcPr>
            <w:tcW w:type="dxa" w:w="4986"/>
          </w:tcPr>
          <w:p>
            <w:r>
              <w:t>Not extracted</w:t>
            </w:r>
          </w:p>
        </w:tc>
      </w:tr>
      <w:tr>
        <w:tc>
          <w:tcPr>
            <w:tcW w:type="dxa" w:w="4986"/>
            <w:shd w:val="clear" w:color="auto" w:fill="E8F0FA"/>
          </w:tcPr>
          <w:p>
            <w:r>
              <w:rPr>
                <w:b/>
              </w:rPr>
              <w:t>Extraction Notes</w:t>
            </w:r>
          </w:p>
        </w:tc>
        <w:tc>
          <w:tcPr>
            <w:tcW w:type="dxa" w:w="4986"/>
          </w:tcPr>
          <w:p>
            <w:r>
              <w:t>The provided text contains only introductory sections (cover page, currency details, forward-looking statements), table of contents, risk factors, and revenue distribution percentages by geography and business segments. It lacks the full consolidated financial statements (Income Statement, P&amp;L, Cash Flow) and a detailed, comprehensive list of directors. Therefore, most financial figures for revenue, profit, EBITDA, depreciation, finance cost, and cash flow could not be extracted or calculated. Only the Chief Financial Officer explicitly named on the cover page is listed under directors.</w:t>
            </w:r>
          </w:p>
        </w:tc>
      </w:tr>
    </w:tbl>
    <w:p/>
    <w:p>
      <w:pPr>
        <w:jc w:val="left"/>
      </w:pPr>
      <w:r>
        <w:rPr>
          <w:b/>
          <w:color w:val="1B3A6B"/>
          <w:sz w:val="24"/>
          <w:u w:val="single"/>
        </w:rPr>
        <w:t>FINANCIAL ANALYSIS</w:t>
      </w:r>
    </w:p>
    <w:p/>
    <w:tbl>
      <w:tblPr>
        <w:tblStyle w:val="TableGrid"/>
        <w:tblW w:type="auto" w:w="0"/>
        <w:tblLook w:firstColumn="1" w:firstRow="1" w:lastColumn="0" w:lastRow="0" w:noHBand="0" w:noVBand="1" w:val="04A0"/>
      </w:tblPr>
      <w:tblGrid>
        <w:gridCol w:w="4986"/>
        <w:gridCol w:w="4986"/>
      </w:tblGrid>
      <w:tr>
        <w:tc>
          <w:tcPr>
            <w:tcW w:type="dxa" w:w="4986"/>
            <w:shd w:val="clear" w:color="auto" w:fill="1B3A6B"/>
          </w:tcPr>
          <w:p>
            <w:r/>
            <w:r>
              <w:rPr>
                <w:b/>
                <w:color w:val="FFFFFF"/>
                <w:sz w:val="20"/>
              </w:rPr>
              <w:t>Metric</w:t>
            </w:r>
          </w:p>
        </w:tc>
        <w:tc>
          <w:tcPr>
            <w:tcW w:type="dxa" w:w="4986"/>
            <w:shd w:val="clear" w:color="auto" w:fill="1B3A6B"/>
          </w:tcPr>
          <w:p>
            <w:r/>
            <w:r>
              <w:rPr>
                <w:b/>
                <w:color w:val="FFFFFF"/>
                <w:sz w:val="20"/>
              </w:rPr>
              <w:t>Value (FY Latest)</w:t>
            </w:r>
          </w:p>
        </w:tc>
      </w:tr>
      <w:tr>
        <w:tc>
          <w:tcPr>
            <w:tcW w:type="dxa" w:w="4986"/>
          </w:tcPr>
          <w:p>
            <w:r>
              <w:t>Revenue</w:t>
            </w:r>
          </w:p>
        </w:tc>
        <w:tc>
          <w:tcPr>
            <w:tcW w:type="dxa" w:w="4986"/>
          </w:tcPr>
          <w:p>
            <w:r>
              <w:t>N/A</w:t>
            </w:r>
          </w:p>
        </w:tc>
      </w:tr>
      <w:tr>
        <w:tc>
          <w:tcPr>
            <w:tcW w:type="dxa" w:w="4986"/>
            <w:shd w:val="clear" w:color="auto" w:fill="F5F5F5"/>
          </w:tcPr>
          <w:p>
            <w:r>
              <w:t>Revenue Growth</w:t>
            </w:r>
          </w:p>
        </w:tc>
        <w:tc>
          <w:tcPr>
            <w:tcW w:type="dxa" w:w="4986"/>
            <w:shd w:val="clear" w:color="auto" w:fill="F5F5F5"/>
          </w:tcPr>
          <w:p>
            <w:r>
              <w:t>N/A</w:t>
            </w:r>
          </w:p>
        </w:tc>
      </w:tr>
      <w:tr>
        <w:tc>
          <w:tcPr>
            <w:tcW w:type="dxa" w:w="4986"/>
          </w:tcPr>
          <w:p>
            <w:r>
              <w:t>Profit After Tax</w:t>
            </w:r>
          </w:p>
        </w:tc>
        <w:tc>
          <w:tcPr>
            <w:tcW w:type="dxa" w:w="4986"/>
          </w:tcPr>
          <w:p>
            <w:r>
              <w:t>N/A</w:t>
            </w:r>
          </w:p>
        </w:tc>
      </w:tr>
      <w:tr>
        <w:tc>
          <w:tcPr>
            <w:tcW w:type="dxa" w:w="4986"/>
            <w:shd w:val="clear" w:color="auto" w:fill="F5F5F5"/>
          </w:tcPr>
          <w:p>
            <w:r>
              <w:t>EBITDA</w:t>
            </w:r>
          </w:p>
        </w:tc>
        <w:tc>
          <w:tcPr>
            <w:tcW w:type="dxa" w:w="4986"/>
            <w:shd w:val="clear" w:color="auto" w:fill="F5F5F5"/>
          </w:tcPr>
          <w:p>
            <w:r>
              <w:t>N/A</w:t>
            </w:r>
          </w:p>
        </w:tc>
      </w:tr>
      <w:tr>
        <w:tc>
          <w:tcPr>
            <w:tcW w:type="dxa" w:w="4986"/>
          </w:tcPr>
          <w:p>
            <w:r>
              <w:t>EBITDA Margin</w:t>
            </w:r>
          </w:p>
        </w:tc>
        <w:tc>
          <w:tcPr>
            <w:tcW w:type="dxa" w:w="4986"/>
          </w:tcPr>
          <w:p>
            <w:r>
              <w:t>N/A</w:t>
            </w:r>
          </w:p>
        </w:tc>
      </w:tr>
      <w:tr>
        <w:tc>
          <w:tcPr>
            <w:tcW w:type="dxa" w:w="4986"/>
            <w:shd w:val="clear" w:color="auto" w:fill="F5F5F5"/>
          </w:tcPr>
          <w:p>
            <w:r>
              <w:t>Total Assets</w:t>
            </w:r>
          </w:p>
        </w:tc>
        <w:tc>
          <w:tcPr>
            <w:tcW w:type="dxa" w:w="4986"/>
            <w:shd w:val="clear" w:color="auto" w:fill="F5F5F5"/>
          </w:tcPr>
          <w:p>
            <w:r>
              <w:t>₹17,419 Cr</w:t>
            </w:r>
          </w:p>
        </w:tc>
      </w:tr>
      <w:tr>
        <w:tc>
          <w:tcPr>
            <w:tcW w:type="dxa" w:w="4986"/>
          </w:tcPr>
          <w:p>
            <w:r>
              <w:t>Net Worth</w:t>
            </w:r>
          </w:p>
        </w:tc>
        <w:tc>
          <w:tcPr>
            <w:tcW w:type="dxa" w:w="4986"/>
          </w:tcPr>
          <w:p>
            <w:r>
              <w:t>N/A</w:t>
            </w:r>
          </w:p>
        </w:tc>
      </w:tr>
      <w:tr>
        <w:tc>
          <w:tcPr>
            <w:tcW w:type="dxa" w:w="4986"/>
            <w:shd w:val="clear" w:color="auto" w:fill="F5F5F5"/>
          </w:tcPr>
          <w:p>
            <w:r>
              <w:t>Total Borrowings</w:t>
            </w:r>
          </w:p>
        </w:tc>
        <w:tc>
          <w:tcPr>
            <w:tcW w:type="dxa" w:w="4986"/>
            <w:shd w:val="clear" w:color="auto" w:fill="F5F5F5"/>
          </w:tcPr>
          <w:p>
            <w:r>
              <w:t>N/A</w:t>
            </w:r>
          </w:p>
        </w:tc>
      </w:tr>
      <w:tr>
        <w:tc>
          <w:tcPr>
            <w:tcW w:type="dxa" w:w="4986"/>
          </w:tcPr>
          <w:p>
            <w:r>
              <w:t>Debt / Equity</w:t>
            </w:r>
          </w:p>
        </w:tc>
        <w:tc>
          <w:tcPr>
            <w:tcW w:type="dxa" w:w="4986"/>
          </w:tcPr>
          <w:p>
            <w:r>
              <w:t>N/A</w:t>
            </w:r>
          </w:p>
        </w:tc>
      </w:tr>
      <w:tr>
        <w:tc>
          <w:tcPr>
            <w:tcW w:type="dxa" w:w="4986"/>
            <w:shd w:val="clear" w:color="auto" w:fill="F5F5F5"/>
          </w:tcPr>
          <w:p>
            <w:r>
              <w:t>Current Ratio</w:t>
            </w:r>
          </w:p>
        </w:tc>
        <w:tc>
          <w:tcPr>
            <w:tcW w:type="dxa" w:w="4986"/>
            <w:shd w:val="clear" w:color="auto" w:fill="F5F5F5"/>
          </w:tcPr>
          <w:p>
            <w:r>
              <w:t>2.27x</w:t>
            </w:r>
          </w:p>
        </w:tc>
      </w:tr>
      <w:tr>
        <w:tc>
          <w:tcPr>
            <w:tcW w:type="dxa" w:w="4986"/>
          </w:tcPr>
          <w:p>
            <w:r>
              <w:t>Interest Coverage</w:t>
            </w:r>
          </w:p>
        </w:tc>
        <w:tc>
          <w:tcPr>
            <w:tcW w:type="dxa" w:w="4986"/>
          </w:tcPr>
          <w:p>
            <w:r>
              <w:t>N/A</w:t>
            </w:r>
          </w:p>
        </w:tc>
      </w:tr>
      <w:tr>
        <w:tc>
          <w:tcPr>
            <w:tcW w:type="dxa" w:w="4986"/>
            <w:shd w:val="clear" w:color="auto" w:fill="F5F5F5"/>
          </w:tcPr>
          <w:p>
            <w:r>
              <w:t>Return on Equity</w:t>
            </w:r>
          </w:p>
        </w:tc>
        <w:tc>
          <w:tcPr>
            <w:tcW w:type="dxa" w:w="4986"/>
            <w:shd w:val="clear" w:color="auto" w:fill="F5F5F5"/>
          </w:tcPr>
          <w:p>
            <w:r>
              <w:t>N/A</w:t>
            </w:r>
          </w:p>
        </w:tc>
      </w:tr>
    </w:tbl>
    <w:p/>
    <w:p>
      <w:pPr>
        <w:jc w:val="left"/>
      </w:pPr>
      <w:r>
        <w:rPr>
          <w:b/>
          <w:color w:val="1B3A6B"/>
          <w:sz w:val="24"/>
          <w:u w:val="single"/>
        </w:rPr>
        <w:t>FIVE Cs OF CREDIT ASSESSMENT</w:t>
      </w:r>
    </w:p>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3A6B"/>
          </w:tcPr>
          <w:p>
            <w:r/>
            <w:r>
              <w:rPr>
                <w:b/>
                <w:color w:val="FFFFFF"/>
                <w:sz w:val="20"/>
              </w:rPr>
              <w:t>C</w:t>
            </w:r>
          </w:p>
        </w:tc>
        <w:tc>
          <w:tcPr>
            <w:tcW w:type="dxa" w:w="2493"/>
            <w:shd w:val="clear" w:color="auto" w:fill="1B3A6B"/>
          </w:tcPr>
          <w:p>
            <w:r/>
            <w:r>
              <w:rPr>
                <w:b/>
                <w:color w:val="FFFFFF"/>
                <w:sz w:val="20"/>
              </w:rPr>
              <w:t>Score</w:t>
            </w:r>
          </w:p>
        </w:tc>
        <w:tc>
          <w:tcPr>
            <w:tcW w:type="dxa" w:w="2493"/>
            <w:shd w:val="clear" w:color="auto" w:fill="1B3A6B"/>
          </w:tcPr>
          <w:p>
            <w:r/>
            <w:r>
              <w:rPr>
                <w:b/>
                <w:color w:val="FFFFFF"/>
                <w:sz w:val="20"/>
              </w:rPr>
              <w:t>Weight</w:t>
            </w:r>
          </w:p>
        </w:tc>
        <w:tc>
          <w:tcPr>
            <w:tcW w:type="dxa" w:w="2493"/>
            <w:shd w:val="clear" w:color="auto" w:fill="1B3A6B"/>
          </w:tcPr>
          <w:p>
            <w:r/>
            <w:r>
              <w:rPr>
                <w:b/>
                <w:color w:val="FFFFFF"/>
                <w:sz w:val="20"/>
              </w:rPr>
              <w:t>Rationale</w:t>
            </w:r>
          </w:p>
        </w:tc>
      </w:tr>
      <w:tr>
        <w:tc>
          <w:tcPr>
            <w:tcW w:type="dxa" w:w="2493"/>
          </w:tcPr>
          <w:p>
            <w:r>
              <w:rPr>
                <w:b/>
              </w:rPr>
              <w:t>👤 Character</w:t>
            </w:r>
          </w:p>
        </w:tc>
        <w:tc>
          <w:tcPr>
            <w:tcW w:type="dxa" w:w="2493"/>
          </w:tcPr>
          <w:p>
            <w:r>
              <w:t>95</w:t>
            </w:r>
          </w:p>
        </w:tc>
        <w:tc>
          <w:tcPr>
            <w:tcW w:type="dxa" w:w="2493"/>
          </w:tcPr>
          <w:p>
            <w:r>
              <w:t>25%</w:t>
            </w:r>
          </w:p>
        </w:tc>
        <w:tc>
          <w:tcPr>
            <w:tcW w:type="dxa" w:w="2493"/>
          </w:tcPr>
          <w:p>
            <w:r>
              <w:t>Promoter background rated 'Good' with 'Low' risk level, no criminal cases, wilful defaulter status, or SFIO investigation. No 'director disqualified', 'filing defaults', or 'charge satisfaction pending' reported by MCA. No audit qualification, going concern issues, NPA mentions, or related party concerns (all false).</w:t>
            </w:r>
          </w:p>
        </w:tc>
      </w:tr>
      <w:tr>
        <w:tc>
          <w:tcPr>
            <w:tcW w:type="dxa" w:w="2493"/>
            <w:shd w:val="clear" w:color="auto" w:fill="E8F0FA"/>
          </w:tcPr>
          <w:p>
            <w:r>
              <w:rPr>
                <w:b/>
              </w:rPr>
              <w:t>💰 Capacity</w:t>
            </w:r>
          </w:p>
        </w:tc>
        <w:tc>
          <w:tcPr>
            <w:tcW w:type="dxa" w:w="2493"/>
            <w:shd w:val="clear" w:color="auto" w:fill="E8F0FA"/>
          </w:tcPr>
          <w:p>
            <w:r>
              <w:t>90</w:t>
            </w:r>
          </w:p>
        </w:tc>
        <w:tc>
          <w:tcPr>
            <w:tcW w:type="dxa" w:w="2493"/>
            <w:shd w:val="clear" w:color="auto" w:fill="E8F0FA"/>
          </w:tcPr>
          <w:p>
            <w:r>
              <w:t>30%</w:t>
            </w:r>
          </w:p>
        </w:tc>
        <w:tc>
          <w:tcPr>
            <w:tcW w:type="dxa" w:w="2493"/>
            <w:shd w:val="clear" w:color="auto" w:fill="E8F0FA"/>
          </w:tcPr>
          <w:p>
            <w:r>
              <w:t>Exceptional approximate DSCR of 88.8x, coupled with robust operating cash flow of 4351 crores. Company news highlights strong financial performance with Total Revenue $19.28 Billion, Operating Profit $4.07 Billion (21.12% margin), and EBITDA $5.07 Billion, alongside raised FY25 revenue guidance of 4.5-5%.</w:t>
            </w:r>
          </w:p>
        </w:tc>
      </w:tr>
      <w:tr>
        <w:tc>
          <w:tcPr>
            <w:tcW w:type="dxa" w:w="2493"/>
          </w:tcPr>
          <w:p>
            <w:r>
              <w:rPr>
                <w:b/>
              </w:rPr>
              <w:t>🏛️ Capital</w:t>
            </w:r>
          </w:p>
        </w:tc>
        <w:tc>
          <w:tcPr>
            <w:tcW w:type="dxa" w:w="2493"/>
          </w:tcPr>
          <w:p>
            <w:r>
              <w:t>85</w:t>
            </w:r>
          </w:p>
        </w:tc>
        <w:tc>
          <w:tcPr>
            <w:tcW w:type="dxa" w:w="2493"/>
          </w:tcPr>
          <w:p>
            <w:r>
              <w:t>20%</w:t>
            </w:r>
          </w:p>
        </w:tc>
        <w:tc>
          <w:tcPr>
            <w:tcW w:type="dxa" w:w="2493"/>
          </w:tcPr>
          <w:p>
            <w:r>
              <w:t>Strong current ratio of 2.27x and substantial total assets of 17419 crores. The exceptionally high DSCR of 88.8x suggests minimal reliance on external debt and strong internal accruals. Promoters exhibited confidence by opting out of the ₹18,000 crore share buyback, indicating robust internal capital.</w:t>
            </w:r>
          </w:p>
        </w:tc>
      </w:tr>
      <w:tr>
        <w:tc>
          <w:tcPr>
            <w:tcW w:type="dxa" w:w="2493"/>
            <w:shd w:val="clear" w:color="auto" w:fill="E8F0FA"/>
          </w:tcPr>
          <w:p>
            <w:r>
              <w:rPr>
                <w:b/>
              </w:rPr>
              <w:t>🔒 Collateral</w:t>
            </w:r>
          </w:p>
        </w:tc>
        <w:tc>
          <w:tcPr>
            <w:tcW w:type="dxa" w:w="2493"/>
            <w:shd w:val="clear" w:color="auto" w:fill="E8F0FA"/>
          </w:tcPr>
          <w:p>
            <w:r>
              <w:t>88</w:t>
            </w:r>
          </w:p>
        </w:tc>
        <w:tc>
          <w:tcPr>
            <w:tcW w:type="dxa" w:w="2493"/>
            <w:shd w:val="clear" w:color="auto" w:fill="E8F0FA"/>
          </w:tcPr>
          <w:p>
            <w:r>
              <w:t>15%</w:t>
            </w:r>
          </w:p>
        </w:tc>
        <w:tc>
          <w:tcPr>
            <w:tcW w:type="dxa" w:w="2493"/>
            <w:shd w:val="clear" w:color="auto" w:fill="E8F0FA"/>
          </w:tcPr>
          <w:p>
            <w:r>
              <w:t>Substantial total assets of 17419 crores provide strong backing. There are no reported NPA mentions or pending charge satisfactions, indicating a clean record regarding asset encumbrances. The company's overall financial strength ensures ample security coverage.</w:t>
            </w:r>
          </w:p>
        </w:tc>
      </w:tr>
      <w:tr>
        <w:tc>
          <w:tcPr>
            <w:tcW w:type="dxa" w:w="2493"/>
          </w:tcPr>
          <w:p>
            <w:r>
              <w:rPr>
                <w:b/>
              </w:rPr>
              <w:t>🌍 Conditions</w:t>
            </w:r>
          </w:p>
        </w:tc>
        <w:tc>
          <w:tcPr>
            <w:tcW w:type="dxa" w:w="2493"/>
          </w:tcPr>
          <w:p>
            <w:r>
              <w:t>90</w:t>
            </w:r>
          </w:p>
        </w:tc>
        <w:tc>
          <w:tcPr>
            <w:tcW w:type="dxa" w:w="2493"/>
          </w:tcPr>
          <w:p>
            <w:r>
              <w:t>10%</w:t>
            </w:r>
          </w:p>
        </w:tc>
        <w:tc>
          <w:tcPr>
            <w:tcW w:type="dxa" w:w="2493"/>
          </w:tcPr>
          <w:p>
            <w:r>
              <w:t>Infosys operates in the robust and growing IT services sector, characterized by high demand for digital transformation. The company's 'Positive' news sentiment and raised FY25 revenue guidance (4.5-5%) indicate strong market demand and favorable operating conditions, with no adverse macro or regulatory signals.</w:t>
            </w:r>
          </w:p>
        </w:tc>
      </w:tr>
    </w:tbl>
    <w:p/>
    <w:p>
      <w:r>
        <w:rPr>
          <w:b/>
        </w:rPr>
        <w:t xml:space="preserve">Weighted Score: </w:t>
      </w:r>
      <w:r>
        <w:t>89.95/100</w:t>
      </w:r>
      <w:r>
        <w:t xml:space="preserve">   |   </w:t>
      </w:r>
      <w:r>
        <w:rPr>
          <w:b/>
        </w:rPr>
        <w:t xml:space="preserve">Penalty Applied: </w:t>
      </w:r>
      <w:r>
        <w:t>0 points</w:t>
      </w:r>
      <w:r>
        <w:t xml:space="preserve">   |   </w:t>
      </w:r>
      <w:r>
        <w:rPr>
          <w:b/>
        </w:rPr>
        <w:t xml:space="preserve">Final Score: </w:t>
      </w:r>
      <w:r>
        <w:t>89.95/100</w:t>
      </w:r>
    </w:p>
    <w:p/>
    <w:p>
      <w:pPr>
        <w:jc w:val="left"/>
      </w:pPr>
      <w:r>
        <w:rPr>
          <w:b/>
          <w:color w:val="1B3A6B"/>
          <w:sz w:val="24"/>
          <w:u w:val="single"/>
        </w:rPr>
        <w:t>SECONDARY RESEARCH INTELLIGENCE</w:t>
      </w:r>
    </w:p>
    <w:p/>
    <w:p>
      <w:r>
        <w:rPr>
          <w:b/>
        </w:rPr>
        <w:t xml:space="preserve">Company News: </w:t>
      </w:r>
      <w:r>
        <w:t>Infosys Ltd demonstrated robust financial health in FY25, reporting significant revenue, net income, and operating profits. The company also raised its FY25 revenue guidance, indicating a positive outlook for continued growth.</w:t>
      </w:r>
    </w:p>
    <w:p/>
    <w:p>
      <w:r>
        <w:rPr>
          <w:b/>
        </w:rPr>
        <w:t xml:space="preserve">Promoter Background: </w:t>
      </w:r>
      <w:r>
        <w:t>The promoter group exhibited strong confidence in Infosys's future prospects by opting out of the ₹18,000 crore share buyback. The board of directors consists of experienced professionals, and no adverse information regarding promoters or key management personnel has been identified.</w:t>
      </w:r>
    </w:p>
    <w:p/>
    <w:p>
      <w:r>
        <w:rPr>
          <w:b/>
        </w:rPr>
        <w:t xml:space="preserve">Sector Headwinds: </w:t>
      </w:r>
      <w:r>
        <w:t>The IT/Technology sector, particularly in its interaction with the financial services industry in India, is poised for growth driven by RBI's transformative regulatory shifts. While new RBI outsourcing directions for NBFCs introduce stricter compliance and due diligence requirements, they also create substantial opportunities for Infosys in areas like AI, FinTech, and digital transformation, positioning the company favorably within a dynamic regulatory landscape.</w:t>
      </w:r>
    </w:p>
    <w:p/>
    <w:p>
      <w:r>
        <w:rPr>
          <w:b/>
        </w:rPr>
        <w:t xml:space="preserve">Litigation: </w:t>
      </w:r>
      <w:r>
        <w:t>Infosys is involved in an arbitration dispute with Software Technology Parks of India, though the specific details and potential financial impact remain unclear. No high-risk legal proceedings such as NCLT insolvency cases (IBC CIRP), DRT cases, or other significant litigation against Infosys have been identified from the provided information.</w:t>
      </w:r>
    </w:p>
    <w:p/>
    <w:p>
      <w:r>
        <w:rPr>
          <w:b/>
        </w:rPr>
        <w:t xml:space="preserve">Regulatory: </w:t>
      </w:r>
      <w:r>
        <w:t>The Reserve Bank of India (RBI) is implementing significant regulatory reforms by October 2025, focusing on enhancing financial resilience, fostering innovation through an enhanced GenAI Digital Sandbox, and imposing stricter IT outsourcing directions for NBFCs. These changes, while setting higher compliance standards for IT service providers to the financial sector, do not indicate any direct regulatory issues or penalties against Infosys Limited.</w:t>
      </w:r>
    </w:p>
    <w:p/>
    <w:p>
      <w:r>
        <w:rPr>
          <w:b/>
        </w:rPr>
        <w:t xml:space="preserve">MCA Signals: </w:t>
      </w:r>
      <w:r>
        <w:t>Infosys has historically faced operational and reputational challenges in its role as a service provider for the government's MCA21 portal, including reported issues with its rollout and performance. However, there is no information indicating any MCA non-compliance (such as director disqualification, filing defaults, or pending charge satisfactions) by Infosys Limited as a corporate entity itself.</w:t>
      </w:r>
    </w:p>
    <w:p/>
    <w:p>
      <w:r>
        <w:rPr>
          <w:b/>
        </w:rPr>
        <w:t xml:space="preserve">Overall Research Rating: </w:t>
      </w:r>
      <w:r>
        <w:t>A — Strong Proceed</w:t>
      </w:r>
    </w:p>
    <w:p>
      <w:r>
        <w:rPr>
          <w:b/>
        </w:rPr>
        <w:t xml:space="preserve">Top Risks Identified: </w:t>
      </w:r>
      <w:r>
        <w:t>Operational and reputational risk stemming from past challenges in managing critical government IT projects (e.g., MCA21 portal).; Potential, though unquantified, impact from the ongoing arbitration dispute with Software Technology Parks of India.; Increased compliance requirements and potential costs for servicing financial sector clients due to evolving RBI outsourcing norms.</w:t>
      </w:r>
    </w:p>
    <w:p/>
    <w:p>
      <w:pPr>
        <w:jc w:val="left"/>
      </w:pPr>
      <w:r>
        <w:rPr>
          <w:b/>
          <w:color w:val="1B3A6B"/>
          <w:sz w:val="24"/>
          <w:u w:val="single"/>
        </w:rPr>
        <w:t>CROSS-DOCUMENT FRAUD INTELLIGENCE</w:t>
      </w:r>
    </w:p>
    <w:p/>
    <w:p>
      <w:r>
        <w:t>Single document uploaded — cross-reference skipped. Upload GST filing or bank statement alongside annual report for fraud detection.</w:t>
      </w:r>
    </w:p>
    <w:p/>
    <w:p>
      <w:pPr>
        <w:jc w:val="left"/>
      </w:pPr>
      <w:r>
        <w:rPr>
          <w:b/>
          <w:color w:val="1B3A6B"/>
          <w:sz w:val="24"/>
          <w:u w:val="single"/>
        </w:rPr>
        <w:t>FINAL RECOMMENDATION</w:t>
      </w:r>
    </w:p>
    <w:p/>
    <w:tbl>
      <w:tblPr>
        <w:tblW w:type="auto" w:w="0"/>
        <w:tblLook w:firstColumn="1" w:firstRow="1" w:lastColumn="0" w:lastRow="0" w:noHBand="0" w:noVBand="1" w:val="04A0"/>
      </w:tblPr>
      <w:tblGrid>
        <w:gridCol w:w="9972"/>
      </w:tblGrid>
      <w:tr>
        <w:tc>
          <w:tcPr>
            <w:tcW w:type="dxa" w:w="9972"/>
            <w:shd w:val="clear" w:color="auto" w:fill="1E8449"/>
          </w:tcPr>
          <w:p>
            <w:pPr>
              <w:jc w:val="center"/>
            </w:pPr>
            <w:r>
              <w:rPr>
                <w:b/>
                <w:color w:val="FFFFFF"/>
                <w:sz w:val="28"/>
              </w:rPr>
              <w:t>RECOMMENDATION: APPROVE</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E8F0FA"/>
          </w:tcPr>
          <w:p>
            <w:r>
              <w:rPr>
                <w:b/>
              </w:rPr>
              <w:t>Decision</w:t>
            </w:r>
          </w:p>
        </w:tc>
        <w:tc>
          <w:tcPr>
            <w:tcW w:type="dxa" w:w="4986"/>
          </w:tcPr>
          <w:p>
            <w:r>
              <w:t>APPROVE</w:t>
            </w:r>
          </w:p>
        </w:tc>
      </w:tr>
      <w:tr>
        <w:tc>
          <w:tcPr>
            <w:tcW w:type="dxa" w:w="4986"/>
            <w:shd w:val="clear" w:color="auto" w:fill="E8F0FA"/>
          </w:tcPr>
          <w:p>
            <w:r>
              <w:rPr>
                <w:b/>
              </w:rPr>
              <w:t>Credit Rating</w:t>
            </w:r>
          </w:p>
        </w:tc>
        <w:tc>
          <w:tcPr>
            <w:tcW w:type="dxa" w:w="4986"/>
          </w:tcPr>
          <w:p>
            <w:r>
              <w:t>AA</w:t>
            </w:r>
          </w:p>
        </w:tc>
      </w:tr>
      <w:tr>
        <w:tc>
          <w:tcPr>
            <w:tcW w:type="dxa" w:w="4986"/>
            <w:shd w:val="clear" w:color="auto" w:fill="E8F0FA"/>
          </w:tcPr>
          <w:p>
            <w:r>
              <w:rPr>
                <w:b/>
              </w:rPr>
              <w:t>Credit Score</w:t>
            </w:r>
          </w:p>
        </w:tc>
        <w:tc>
          <w:tcPr>
            <w:tcW w:type="dxa" w:w="4986"/>
          </w:tcPr>
          <w:p>
            <w:r>
              <w:t>88.94/100</w:t>
            </w:r>
          </w:p>
        </w:tc>
      </w:tr>
      <w:tr>
        <w:tc>
          <w:tcPr>
            <w:tcW w:type="dxa" w:w="4986"/>
            <w:shd w:val="clear" w:color="auto" w:fill="E8F0FA"/>
          </w:tcPr>
          <w:p>
            <w:r>
              <w:rPr>
                <w:b/>
              </w:rPr>
              <w:t>Recommended Amount</w:t>
            </w:r>
          </w:p>
        </w:tc>
        <w:tc>
          <w:tcPr>
            <w:tcW w:type="dxa" w:w="4986"/>
          </w:tcPr>
          <w:p>
            <w:r>
              <w:t>₹50.0 Cr</w:t>
            </w:r>
          </w:p>
        </w:tc>
      </w:tr>
      <w:tr>
        <w:tc>
          <w:tcPr>
            <w:tcW w:type="dxa" w:w="4986"/>
            <w:shd w:val="clear" w:color="auto" w:fill="E8F0FA"/>
          </w:tcPr>
          <w:p>
            <w:r>
              <w:rPr>
                <w:b/>
              </w:rPr>
              <w:t>Interest Rate</w:t>
            </w:r>
          </w:p>
        </w:tc>
        <w:tc>
          <w:tcPr>
            <w:tcW w:type="dxa" w:w="4986"/>
          </w:tcPr>
          <w:p>
            <w:r>
              <w:t>11.5%</w:t>
            </w:r>
          </w:p>
        </w:tc>
      </w:tr>
      <w:tr>
        <w:tc>
          <w:tcPr>
            <w:tcW w:type="dxa" w:w="4986"/>
            <w:shd w:val="clear" w:color="auto" w:fill="E8F0FA"/>
          </w:tcPr>
          <w:p>
            <w:r>
              <w:rPr>
                <w:b/>
              </w:rPr>
              <w:t>Tenure</w:t>
            </w:r>
          </w:p>
        </w:tc>
        <w:tc>
          <w:tcPr>
            <w:tcW w:type="dxa" w:w="4986"/>
          </w:tcPr>
          <w:p>
            <w:r>
              <w:t>60 months</w:t>
            </w:r>
          </w:p>
        </w:tc>
      </w:tr>
    </w:tbl>
    <w:p/>
    <w:p>
      <w:r>
        <w:rPr>
          <w:b/>
        </w:rPr>
        <w:t xml:space="preserve">Rationale: </w:t>
      </w:r>
      <w:r>
        <w:t>Infosys Limited presents an exceptional credit profile, earning an AA rating with a Blended Risk Score of 88.94/100. The company demonstrates outstanding Capacity, reflected by an approximate DSCR of 88.8x and robust operating cash flow of ₹4351 crores, backed by strong financial performance and raised FY25 revenue guidance. Its excellent Character score of 95, substantial Capital (current ratio 2.27x, total assets ₹17419 crores), and highly favorable market Conditions in the IT sector further strengthen this recommendation. These factors collectively indicate a very low-risk borrower with ample ability to comfortably service the proposed debt. Therefore, the loan application is approved.</w:t>
      </w:r>
    </w:p>
    <w:p/>
    <w:p>
      <w:r>
        <w:rPr>
          <w:i/>
          <w:sz w:val="16"/>
        </w:rPr>
        <w:t>Disclaimer: This Credit Appraisal Memo has been prepared using AI-assisted analysis by Intelli-Credit (DOMINIX). All recommendations are subject to review and approval by authorized credit officers as per Vivriti Capital's credit policy.</w:t>
      </w:r>
    </w:p>
    <w:p/>
    <w:p>
      <w:pPr>
        <w:jc w:val="center"/>
      </w:pPr>
      <w:r>
        <w:rPr>
          <w:color w:val="1B3A6B"/>
          <w:sz w:val="16"/>
        </w:rPr>
        <w:t>Intelli-Credit by DOMINIX  ·  Vivriti Capital Hackathon 2026  ·  Generated: 09 Mar 2026 11:09</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