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8C"/>
          <w:sz w:val="32"/>
        </w:rPr>
        <w:t>VIVRITI CAPITAL LIMITED</w:t>
      </w:r>
    </w:p>
    <w:p>
      <w:pPr>
        <w:jc w:val="center"/>
      </w:pPr>
      <w:r>
        <w:rPr>
          <w:b/>
          <w:sz w:val="26"/>
        </w:rPr>
        <w:t>Credit Appraisal Memorandum (CAM)</w:t>
      </w:r>
    </w:p>
    <w:p>
      <w:pPr>
        <w:pBdr>
          <w:bottom w:val="single" w:sz="6" w:space="1" w:color="1F3864"/>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E"/>
          </w:tcPr>
          <w:p>
            <w:r>
              <w:rPr>
                <w:b/>
              </w:rPr>
              <w:t>Company Name</w:t>
            </w:r>
          </w:p>
        </w:tc>
        <w:tc>
          <w:tcPr>
            <w:tcW w:type="dxa" w:w="2351"/>
          </w:tcPr>
          <w:p>
            <w:r>
              <w:t>Tata Motors Limited</w:t>
            </w:r>
          </w:p>
        </w:tc>
        <w:tc>
          <w:tcPr>
            <w:tcW w:type="dxa" w:w="2351"/>
            <w:shd w:val="clear" w:color="auto" w:fill="E8F0FE"/>
          </w:tcPr>
          <w:p>
            <w:r>
              <w:rPr>
                <w:b/>
              </w:rPr>
              <w:t>Date</w:t>
            </w:r>
          </w:p>
        </w:tc>
        <w:tc>
          <w:tcPr>
            <w:tcW w:type="dxa" w:w="2351"/>
          </w:tcPr>
          <w:p>
            <w:r>
              <w:t>07-Mar-2026</w:t>
            </w:r>
          </w:p>
        </w:tc>
      </w:tr>
      <w:tr>
        <w:tc>
          <w:tcPr>
            <w:tcW w:type="dxa" w:w="2351"/>
            <w:shd w:val="clear" w:color="auto" w:fill="E8F0FE"/>
          </w:tcPr>
          <w:p>
            <w:r>
              <w:rPr>
                <w:b/>
              </w:rPr>
              <w:t>Loan Amount</w:t>
            </w:r>
          </w:p>
        </w:tc>
        <w:tc>
          <w:tcPr>
            <w:tcW w:type="dxa" w:w="2351"/>
          </w:tcPr>
          <w:p>
            <w:r>
              <w:t>₹500 Crores</w:t>
            </w:r>
          </w:p>
        </w:tc>
        <w:tc>
          <w:tcPr>
            <w:tcW w:type="dxa" w:w="2351"/>
            <w:shd w:val="clear" w:color="auto" w:fill="E8F0FE"/>
          </w:tcPr>
          <w:p>
            <w:r>
              <w:rPr>
                <w:b/>
              </w:rPr>
              <w:t>Purpose</w:t>
            </w:r>
          </w:p>
        </w:tc>
        <w:tc>
          <w:tcPr>
            <w:tcW w:type="dxa" w:w="2351"/>
          </w:tcPr>
          <w:p>
            <w:r>
              <w:t>Working Capital Expansion</w:t>
            </w:r>
          </w:p>
        </w:tc>
      </w:tr>
    </w:tbl>
    <w:p/>
    <w:p>
      <w:pPr>
        <w:spacing w:before="240" w:after="120"/>
      </w:pPr>
      <w:r>
        <w:rPr>
          <w:b/>
          <w:color w:val="1F3864"/>
          <w:sz w:val="24"/>
        </w:rPr>
        <w:t>1. EXECUTIVE SUMMARY</w:t>
      </w:r>
    </w:p>
    <w:p>
      <w:r>
        <w:t>Tata Motors Limited (TML) is a prominent Indian automotive manufacturer with a diversified portfolio spanning Commercial Vehicles (CV), Passenger Vehicles (PV), Electric Vehicles (EV), and the luxury brand Jaguar Land Rover (JLR) in the UK. The company has requested a working capital facility of ₹500 Crores to support its expansion initiatives. Based on the credit appraisal, a 'Conditional Approval' is recommended for the requested facility, subject to the fulfillment of specific conditions precedent. While TML exhibits strong promoter credentials, a robust capital structure, and a stable sector outlook, the potential material financial impact from the recent cyberattack on JLR and the ongoing corporate demerger introduce notable company-specific risks that necessitate enhanced vigilance and additional information.</w:t>
      </w:r>
    </w:p>
    <w:p>
      <w:pPr>
        <w:jc w:val="center"/>
        <w:shd w:val="clear" w:color="auto" w:fill="FF0000"/>
      </w:pPr>
      <w:r>
        <w:rPr>
          <w:b/>
          <w:color w:val="FFFFFF"/>
          <w:sz w:val="24"/>
        </w:rPr>
        <w:t xml:space="preserve">  RECOMMENDATION: REJECT  </w:t>
      </w:r>
    </w:p>
    <w:p/>
    <w:p>
      <w:pPr>
        <w:spacing w:before="240" w:after="120"/>
      </w:pPr>
      <w:r>
        <w:rPr>
          <w:b/>
          <w:color w:val="1F3864"/>
          <w:sz w:val="24"/>
        </w:rPr>
        <w:t>2. COMPANY BACKGROUND</w:t>
      </w:r>
    </w:p>
    <w:p>
      <w:r>
        <w:t>Tata Motors Limited is a global automotive enterprise engaged in the design, development, manufacturing, and sale of a wide range of automotive products. Its diverse operations include Commercial Vehicles, Passenger Vehicles (including Electric Vehicles), and the premium automotive business through its subsidiary, Jaguar Land Rover (JLR), catering to both domestic and international markets. The company holds a significant position in the Indian automotive landscape. The Board of Directors includes eminent personalities such as Mr. N Chandrasekaran (Chairman), Mr. Om Prakash Bhatt, Ms. Hanne Sorensen, Ms. Vedika Bhandarkar, Mr. Kosaraju V Chowdary, and Mr. Al-Noor Ramji. The promoter group, led by Tata Sons Private Limited, demonstrates a strong reputation, with no adverse information regarding criminal cases or wilful default found during the assessment, signifying a low promoter risk and sound corporate governance. Tata Motors is currently undergoing a significant corporate restructuring, evidenced by the filing of a Composite Scheme of Arrangement (demerger) with the National Company Law Tribunal (NCLT). This strategic move aims to streamline operations and unlock value for stakeholders by separating its commercial vehicle and passenger vehicle businesses.</w:t>
      </w:r>
    </w:p>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Details</w:t>
            </w:r>
          </w:p>
        </w:tc>
      </w:tr>
      <w:tr>
        <w:tc>
          <w:tcPr>
            <w:tcW w:type="dxa" w:w="4703"/>
            <w:shd w:val="clear" w:color="auto" w:fill="E8F0FE"/>
          </w:tcPr>
          <w:p>
            <w:r>
              <w:rPr>
                <w:b/>
              </w:rPr>
              <w:t>Company Name</w:t>
            </w:r>
          </w:p>
        </w:tc>
        <w:tc>
          <w:tcPr>
            <w:tcW w:type="dxa" w:w="4703"/>
          </w:tcPr>
          <w:p>
            <w:r>
              <w:t>Tata Motors</w:t>
            </w:r>
          </w:p>
        </w:tc>
      </w:tr>
      <w:tr>
        <w:tc>
          <w:tcPr>
            <w:tcW w:type="dxa" w:w="4703"/>
            <w:shd w:val="clear" w:color="auto" w:fill="E8F0FE"/>
          </w:tcPr>
          <w:p>
            <w:r>
              <w:rPr>
                <w:b/>
              </w:rPr>
              <w:t>CIN</w:t>
            </w:r>
          </w:p>
        </w:tc>
        <w:tc>
          <w:tcPr>
            <w:tcW w:type="dxa" w:w="4703"/>
          </w:tcPr>
          <w:p>
            <w:r>
              <w:t>N/A</w:t>
            </w:r>
          </w:p>
        </w:tc>
      </w:tr>
      <w:tr>
        <w:tc>
          <w:tcPr>
            <w:tcW w:type="dxa" w:w="4703"/>
            <w:shd w:val="clear" w:color="auto" w:fill="E8F0FE"/>
          </w:tcPr>
          <w:p>
            <w:r>
              <w:rPr>
                <w:b/>
              </w:rPr>
              <w:t>Registered Address</w:t>
            </w:r>
          </w:p>
        </w:tc>
        <w:tc>
          <w:tcPr>
            <w:tcW w:type="dxa" w:w="4703"/>
          </w:tcPr>
          <w:p>
            <w:r>
              <w:t>N/A</w:t>
            </w:r>
          </w:p>
        </w:tc>
      </w:tr>
      <w:tr>
        <w:tc>
          <w:tcPr>
            <w:tcW w:type="dxa" w:w="4703"/>
            <w:shd w:val="clear" w:color="auto" w:fill="E8F0FE"/>
          </w:tcPr>
          <w:p>
            <w:r>
              <w:rPr>
                <w:b/>
              </w:rPr>
              <w:t>Nature of Business</w:t>
            </w:r>
          </w:p>
        </w:tc>
        <w:tc>
          <w:tcPr>
            <w:tcW w:type="dxa" w:w="4703"/>
          </w:tcPr>
          <w:p>
            <w:r>
              <w:t>Automotive manufacturing (Commercial Vehicles, Passenger Vehicles, Electric Vehicles, Jaguar Land Rover)</w:t>
            </w:r>
          </w:p>
        </w:tc>
      </w:tr>
      <w:tr>
        <w:tc>
          <w:tcPr>
            <w:tcW w:type="dxa" w:w="4703"/>
            <w:shd w:val="clear" w:color="auto" w:fill="E8F0FE"/>
          </w:tcPr>
          <w:p>
            <w:r>
              <w:rPr>
                <w:b/>
              </w:rPr>
              <w:t>Year of Incorporation</w:t>
            </w:r>
          </w:p>
        </w:tc>
        <w:tc>
          <w:tcPr>
            <w:tcW w:type="dxa" w:w="4703"/>
          </w:tcPr>
          <w:p>
            <w:r>
              <w:t>N/A</w:t>
            </w:r>
          </w:p>
        </w:tc>
      </w:tr>
      <w:tr>
        <w:tc>
          <w:tcPr>
            <w:tcW w:type="dxa" w:w="4703"/>
            <w:shd w:val="clear" w:color="auto" w:fill="E8F0FE"/>
          </w:tcPr>
          <w:p>
            <w:r>
              <w:rPr>
                <w:b/>
              </w:rPr>
              <w:t>Directors/Promoters</w:t>
            </w:r>
          </w:p>
        </w:tc>
        <w:tc>
          <w:tcPr>
            <w:tcW w:type="dxa" w:w="4703"/>
          </w:tcPr>
          <w:p>
            <w:r>
              <w:t>Mr. N Chandrasekaran, Mr. Om Prakash Bhatt, Ms. Hanne Sorensen, Ms. Vedika Bhandarkar, Mr. Kosaraju V Chowdary, Mr. Al-Noor Ramji</w:t>
            </w:r>
          </w:p>
        </w:tc>
      </w:tr>
    </w:tbl>
    <w:p/>
    <w:p>
      <w:pPr>
        <w:spacing w:before="240" w:after="120"/>
      </w:pPr>
      <w:r>
        <w:rPr>
          <w:b/>
          <w:color w:val="1F3864"/>
          <w:sz w:val="24"/>
        </w:rPr>
        <w:t>3. FINANCIAL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r>
              <w:rPr>
                <w:b/>
                <w:color w:val="FFFFFF"/>
              </w:rPr>
              <w:t>Financial Metric</w:t>
            </w:r>
          </w:p>
        </w:tc>
        <w:tc>
          <w:tcPr>
            <w:tcW w:type="dxa" w:w="3135"/>
            <w:shd w:val="clear" w:color="auto" w:fill="1F3864"/>
          </w:tcPr>
          <w:p>
            <w:r>
              <w:rPr>
                <w:b/>
                <w:color w:val="FFFFFF"/>
              </w:rPr>
              <w:t>Current Year (₹ Cr)</w:t>
            </w:r>
          </w:p>
        </w:tc>
        <w:tc>
          <w:tcPr>
            <w:tcW w:type="dxa" w:w="3135"/>
            <w:shd w:val="clear" w:color="auto" w:fill="1F3864"/>
          </w:tcPr>
          <w:p>
            <w:r>
              <w:rPr>
                <w:b/>
                <w:color w:val="FFFFFF"/>
              </w:rPr>
              <w:t>Assessment</w:t>
            </w:r>
          </w:p>
        </w:tc>
      </w:tr>
      <w:tr>
        <w:tc>
          <w:tcPr>
            <w:tcW w:type="dxa" w:w="3135"/>
            <w:shd w:val="clear" w:color="auto" w:fill="E8F0FE"/>
          </w:tcPr>
          <w:p>
            <w:r>
              <w:rPr>
                <w:b/>
              </w:rPr>
              <w:t>Total Revenue/Turnover</w:t>
            </w:r>
          </w:p>
        </w:tc>
        <w:tc>
          <w:tcPr>
            <w:tcW w:type="dxa" w:w="3135"/>
          </w:tcPr>
          <w:p>
            <w:pPr>
              <w:jc w:val="center"/>
            </w:pPr>
            <w:r>
              <w:t>439695</w:t>
            </w:r>
          </w:p>
        </w:tc>
        <w:tc>
          <w:tcPr>
            <w:tcW w:type="dxa" w:w="3135"/>
          </w:tcPr>
          <w:p>
            <w:r>
              <w:t>Large</w:t>
            </w:r>
          </w:p>
        </w:tc>
      </w:tr>
      <w:tr>
        <w:tc>
          <w:tcPr>
            <w:tcW w:type="dxa" w:w="3135"/>
            <w:shd w:val="clear" w:color="auto" w:fill="E8F0FE"/>
          </w:tcPr>
          <w:p>
            <w:r>
              <w:rPr>
                <w:b/>
              </w:rPr>
              <w:t>EBITDA</w:t>
            </w:r>
          </w:p>
        </w:tc>
        <w:tc>
          <w:tcPr>
            <w:tcW w:type="dxa" w:w="3135"/>
          </w:tcPr>
          <w:p>
            <w:pPr>
              <w:jc w:val="center"/>
            </w:pPr>
            <w:r>
              <w:t>N/A</w:t>
            </w:r>
          </w:p>
        </w:tc>
        <w:tc>
          <w:tcPr>
            <w:tcW w:type="dxa" w:w="3135"/>
          </w:tcPr>
          <w:p>
            <w:r>
              <w:t>N/A</w:t>
            </w:r>
          </w:p>
        </w:tc>
      </w:tr>
      <w:tr>
        <w:tc>
          <w:tcPr>
            <w:tcW w:type="dxa" w:w="3135"/>
            <w:shd w:val="clear" w:color="auto" w:fill="E8F0FE"/>
          </w:tcPr>
          <w:p>
            <w:r>
              <w:rPr>
                <w:b/>
              </w:rPr>
              <w:t>PAT (Profit After Tax)</w:t>
            </w:r>
          </w:p>
        </w:tc>
        <w:tc>
          <w:tcPr>
            <w:tcW w:type="dxa" w:w="3135"/>
          </w:tcPr>
          <w:p>
            <w:pPr>
              <w:jc w:val="center"/>
            </w:pPr>
            <w:r>
              <w:t>28149</w:t>
            </w:r>
          </w:p>
        </w:tc>
        <w:tc>
          <w:tcPr>
            <w:tcW w:type="dxa" w:w="3135"/>
          </w:tcPr>
          <w:p>
            <w:r>
              <w:t>Profitable</w:t>
            </w:r>
          </w:p>
        </w:tc>
      </w:tr>
      <w:tr>
        <w:tc>
          <w:tcPr>
            <w:tcW w:type="dxa" w:w="3135"/>
            <w:shd w:val="clear" w:color="auto" w:fill="E8F0FE"/>
          </w:tcPr>
          <w:p>
            <w:r>
              <w:rPr>
                <w:b/>
              </w:rPr>
              <w:t>Total Assets</w:t>
            </w:r>
          </w:p>
        </w:tc>
        <w:tc>
          <w:tcPr>
            <w:tcW w:type="dxa" w:w="3135"/>
          </w:tcPr>
          <w:p>
            <w:pPr>
              <w:jc w:val="center"/>
            </w:pPr>
            <w:r>
              <w:t>N/A</w:t>
            </w:r>
          </w:p>
        </w:tc>
        <w:tc>
          <w:tcPr>
            <w:tcW w:type="dxa" w:w="3135"/>
          </w:tcPr>
          <w:p>
            <w:r>
              <w:t>—</w:t>
            </w:r>
          </w:p>
        </w:tc>
      </w:tr>
      <w:tr>
        <w:tc>
          <w:tcPr>
            <w:tcW w:type="dxa" w:w="3135"/>
            <w:shd w:val="clear" w:color="auto" w:fill="E8F0FE"/>
          </w:tcPr>
          <w:p>
            <w:r>
              <w:rPr>
                <w:b/>
              </w:rPr>
              <w:t>Net Worth / Equity</w:t>
            </w:r>
          </w:p>
        </w:tc>
        <w:tc>
          <w:tcPr>
            <w:tcW w:type="dxa" w:w="3135"/>
          </w:tcPr>
          <w:p>
            <w:pPr>
              <w:jc w:val="center"/>
            </w:pPr>
            <w:r>
              <w:t>N/A</w:t>
            </w:r>
          </w:p>
        </w:tc>
        <w:tc>
          <w:tcPr>
            <w:tcW w:type="dxa" w:w="3135"/>
          </w:tcPr>
          <w:p>
            <w:r>
              <w:t>N/A</w:t>
            </w:r>
          </w:p>
        </w:tc>
      </w:tr>
      <w:tr>
        <w:tc>
          <w:tcPr>
            <w:tcW w:type="dxa" w:w="3135"/>
            <w:shd w:val="clear" w:color="auto" w:fill="E8F0FE"/>
          </w:tcPr>
          <w:p>
            <w:r>
              <w:rPr>
                <w:b/>
              </w:rPr>
              <w:t>Total Debt / Borrowings</w:t>
            </w:r>
          </w:p>
        </w:tc>
        <w:tc>
          <w:tcPr>
            <w:tcW w:type="dxa" w:w="3135"/>
          </w:tcPr>
          <w:p>
            <w:pPr>
              <w:jc w:val="center"/>
            </w:pPr>
            <w:r>
              <w:t>N/A</w:t>
            </w:r>
          </w:p>
        </w:tc>
        <w:tc>
          <w:tcPr>
            <w:tcW w:type="dxa" w:w="3135"/>
          </w:tcPr>
          <w:p>
            <w:r>
              <w:t>—</w:t>
            </w:r>
          </w:p>
        </w:tc>
      </w:tr>
      <w:tr>
        <w:tc>
          <w:tcPr>
            <w:tcW w:type="dxa" w:w="3135"/>
            <w:shd w:val="clear" w:color="auto" w:fill="E8F0FE"/>
          </w:tcPr>
          <w:p>
            <w:r>
              <w:rPr>
                <w:b/>
              </w:rPr>
              <w:t>Current Ratio</w:t>
            </w:r>
          </w:p>
        </w:tc>
        <w:tc>
          <w:tcPr>
            <w:tcW w:type="dxa" w:w="3135"/>
          </w:tcPr>
          <w:p>
            <w:pPr>
              <w:jc w:val="center"/>
            </w:pPr>
            <w:r>
              <w:t>N/A</w:t>
            </w:r>
          </w:p>
        </w:tc>
        <w:tc>
          <w:tcPr>
            <w:tcW w:type="dxa" w:w="3135"/>
          </w:tcPr>
          <w:p>
            <w:r>
              <w:t>N/A</w:t>
            </w:r>
          </w:p>
        </w:tc>
      </w:tr>
      <w:tr>
        <w:tc>
          <w:tcPr>
            <w:tcW w:type="dxa" w:w="3135"/>
            <w:shd w:val="clear" w:color="auto" w:fill="E8F0FE"/>
          </w:tcPr>
          <w:p>
            <w:r>
              <w:rPr>
                <w:b/>
              </w:rPr>
              <w:t>Debt to Equity</w:t>
            </w:r>
          </w:p>
        </w:tc>
        <w:tc>
          <w:tcPr>
            <w:tcW w:type="dxa" w:w="3135"/>
          </w:tcPr>
          <w:p>
            <w:pPr>
              <w:jc w:val="center"/>
            </w:pPr>
            <w:r>
              <w:t>0.6</w:t>
            </w:r>
          </w:p>
        </w:tc>
        <w:tc>
          <w:tcPr>
            <w:tcW w:type="dxa" w:w="3135"/>
          </w:tcPr>
          <w:p>
            <w:r>
              <w:t>Conservative</w:t>
            </w:r>
          </w:p>
        </w:tc>
      </w:tr>
    </w:tbl>
    <w:p/>
    <w:p>
      <w:pPr>
        <w:spacing w:before="240" w:after="120"/>
      </w:pPr>
      <w:r>
        <w:rPr>
          <w:b/>
          <w:color w:val="1F3864"/>
          <w:sz w:val="24"/>
        </w:rPr>
        <w:t>4. FIVE Cs CREDIT 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Credit Factor</w:t>
            </w:r>
          </w:p>
        </w:tc>
        <w:tc>
          <w:tcPr>
            <w:tcW w:type="dxa" w:w="2351"/>
            <w:shd w:val="clear" w:color="auto" w:fill="1F3864"/>
          </w:tcPr>
          <w:p>
            <w:r>
              <w:rPr>
                <w:b/>
                <w:color w:val="FFFFFF"/>
              </w:rPr>
              <w:t>Score (0-100)</w:t>
            </w:r>
          </w:p>
        </w:tc>
        <w:tc>
          <w:tcPr>
            <w:tcW w:type="dxa" w:w="2351"/>
            <w:shd w:val="clear" w:color="auto" w:fill="1F3864"/>
          </w:tcPr>
          <w:p>
            <w:r>
              <w:rPr>
                <w:b/>
                <w:color w:val="FFFFFF"/>
              </w:rPr>
              <w:t>Weight</w:t>
            </w:r>
          </w:p>
        </w:tc>
        <w:tc>
          <w:tcPr>
            <w:tcW w:type="dxa" w:w="2351"/>
            <w:shd w:val="clear" w:color="auto" w:fill="1F3864"/>
          </w:tcPr>
          <w:p>
            <w:r>
              <w:rPr>
                <w:b/>
                <w:color w:val="FFFFFF"/>
              </w:rPr>
              <w:t>Rationale</w:t>
            </w:r>
          </w:p>
        </w:tc>
      </w:tr>
      <w:tr>
        <w:tc>
          <w:tcPr>
            <w:tcW w:type="dxa" w:w="2351"/>
            <w:shd w:val="clear" w:color="auto" w:fill="E8F0FE"/>
          </w:tcPr>
          <w:p>
            <w:r>
              <w:rPr>
                <w:b/>
              </w:rPr>
              <w:t>Character</w:t>
            </w:r>
          </w:p>
        </w:tc>
        <w:tc>
          <w:tcPr>
            <w:tcW w:type="dxa" w:w="2351"/>
            <w:shd w:val="clear" w:color="auto" w:fill="C6EFCE"/>
          </w:tcPr>
          <w:p>
            <w:pPr>
              <w:jc w:val="center"/>
            </w:pPr>
            <w:r>
              <w:t>95</w:t>
            </w:r>
          </w:p>
        </w:tc>
        <w:tc>
          <w:tcPr>
            <w:tcW w:type="dxa" w:w="2351"/>
          </w:tcPr>
          <w:p>
            <w:pPr>
              <w:jc w:val="center"/>
            </w:pPr>
            <w:r>
              <w:t>25%</w:t>
            </w:r>
          </w:p>
        </w:tc>
        <w:tc>
          <w:tcPr>
            <w:tcW w:type="dxa" w:w="2351"/>
          </w:tcPr>
          <w:p>
            <w:r>
              <w:t>The promoter background is strong, with a good reputation, no criminal cases, no wilful defaulter status, and a low-risk assessment. No adverse default mentions, red flags, or GST discrepancies were found, indicating sound governance and ethical standing.</w:t>
            </w:r>
          </w:p>
        </w:tc>
      </w:tr>
      <w:tr>
        <w:tc>
          <w:tcPr>
            <w:tcW w:type="dxa" w:w="2351"/>
            <w:shd w:val="clear" w:color="auto" w:fill="E8F0FE"/>
          </w:tcPr>
          <w:p>
            <w:r>
              <w:rPr>
                <w:b/>
              </w:rPr>
              <w:t>Capacity</w:t>
            </w:r>
          </w:p>
        </w:tc>
        <w:tc>
          <w:tcPr>
            <w:tcW w:type="dxa" w:w="2351"/>
            <w:shd w:val="clear" w:color="auto" w:fill="FFC7CE"/>
          </w:tcPr>
          <w:p>
            <w:pPr>
              <w:jc w:val="center"/>
            </w:pPr>
            <w:r>
              <w:t>45</w:t>
            </w:r>
          </w:p>
        </w:tc>
        <w:tc>
          <w:tcPr>
            <w:tcW w:type="dxa" w:w="2351"/>
          </w:tcPr>
          <w:p>
            <w:pPr>
              <w:jc w:val="center"/>
            </w:pPr>
            <w:r>
              <w:t>30%</w:t>
            </w:r>
          </w:p>
        </w:tc>
        <w:tc>
          <w:tcPr>
            <w:tcW w:type="dxa" w:w="2351"/>
          </w:tcPr>
          <w:p>
            <w:r>
              <w:t>While revenue shows marginal growth and PAT is positive, key cash flow adequacy metrics such as DSCR and EBITDA margin are not provided, which limits a comprehensive assessment. A significant concern is the potential £2 billion financial hit to JLR due to a cyberattack, which could substantially impact future operational capacity and profitability.</w:t>
            </w:r>
          </w:p>
        </w:tc>
      </w:tr>
      <w:tr>
        <w:tc>
          <w:tcPr>
            <w:tcW w:type="dxa" w:w="2351"/>
            <w:shd w:val="clear" w:color="auto" w:fill="E8F0FE"/>
          </w:tcPr>
          <w:p>
            <w:r>
              <w:rPr>
                <w:b/>
              </w:rPr>
              <w:t>Capital</w:t>
            </w:r>
          </w:p>
        </w:tc>
        <w:tc>
          <w:tcPr>
            <w:tcW w:type="dxa" w:w="2351"/>
            <w:shd w:val="clear" w:color="auto" w:fill="C6EFCE"/>
          </w:tcPr>
          <w:p>
            <w:pPr>
              <w:jc w:val="center"/>
            </w:pPr>
            <w:r>
              <w:t>90</w:t>
            </w:r>
          </w:p>
        </w:tc>
        <w:tc>
          <w:tcPr>
            <w:tcW w:type="dxa" w:w="2351"/>
          </w:tcPr>
          <w:p>
            <w:pPr>
              <w:jc w:val="center"/>
            </w:pPr>
            <w:r>
              <w:t>20%</w:t>
            </w:r>
          </w:p>
        </w:tc>
        <w:tc>
          <w:tcPr>
            <w:tcW w:type="dxa" w:w="2351"/>
          </w:tcPr>
          <w:p>
            <w:r>
              <w:t>The company demonstrates a robust capital structure, primarily evidenced by a healthy debt-to-equity ratio of 0.6, which signifies low leverage and strong financial stability.</w:t>
            </w:r>
          </w:p>
        </w:tc>
      </w:tr>
      <w:tr>
        <w:tc>
          <w:tcPr>
            <w:tcW w:type="dxa" w:w="2351"/>
            <w:shd w:val="clear" w:color="auto" w:fill="E8F0FE"/>
          </w:tcPr>
          <w:p>
            <w:r>
              <w:rPr>
                <w:b/>
              </w:rPr>
              <w:t>Collateral</w:t>
            </w:r>
          </w:p>
        </w:tc>
        <w:tc>
          <w:tcPr>
            <w:tcW w:type="dxa" w:w="2351"/>
            <w:shd w:val="clear" w:color="auto" w:fill="FFEB9C"/>
          </w:tcPr>
          <w:p>
            <w:pPr>
              <w:jc w:val="center"/>
            </w:pPr>
            <w:r>
              <w:t>50</w:t>
            </w:r>
          </w:p>
        </w:tc>
        <w:tc>
          <w:tcPr>
            <w:tcW w:type="dxa" w:w="2351"/>
          </w:tcPr>
          <w:p>
            <w:pPr>
              <w:jc w:val="center"/>
            </w:pPr>
            <w:r>
              <w:t>15%</w:t>
            </w:r>
          </w:p>
        </w:tc>
        <w:tc>
          <w:tcPr>
            <w:tcW w:type="dxa" w:w="2351"/>
          </w:tcPr>
          <w:p>
            <w:r>
              <w:t>Specific details regarding asset quality, security coverage, and encumbrances are not available. While Tata Motors, as a large automotive manufacturer, possesses substantial fixed assets, the absence of explicit information necessitates a conservative assessment.</w:t>
            </w:r>
          </w:p>
        </w:tc>
      </w:tr>
      <w:tr>
        <w:tc>
          <w:tcPr>
            <w:tcW w:type="dxa" w:w="2351"/>
            <w:shd w:val="clear" w:color="auto" w:fill="E8F0FE"/>
          </w:tcPr>
          <w:p>
            <w:r>
              <w:rPr>
                <w:b/>
              </w:rPr>
              <w:t>Conditions</w:t>
            </w:r>
          </w:p>
        </w:tc>
        <w:tc>
          <w:tcPr>
            <w:tcW w:type="dxa" w:w="2351"/>
            <w:shd w:val="clear" w:color="auto" w:fill="FFEB9C"/>
          </w:tcPr>
          <w:p>
            <w:pPr>
              <w:jc w:val="center"/>
            </w:pPr>
            <w:r>
              <w:t>65</w:t>
            </w:r>
          </w:p>
        </w:tc>
        <w:tc>
          <w:tcPr>
            <w:tcW w:type="dxa" w:w="2351"/>
          </w:tcPr>
          <w:p>
            <w:pPr>
              <w:jc w:val="center"/>
            </w:pPr>
            <w:r>
              <w:t>10%</w:t>
            </w:r>
          </w:p>
        </w:tc>
        <w:tc>
          <w:tcPr>
            <w:tcW w:type="dxa" w:w="2351"/>
          </w:tcPr>
          <w:p>
            <w:r>
              <w:t>The broader Indian manufacturing sector is stable with expectations of a demand-led rebound, and overall lending risk for the sector is low. However, company-specific conditions, notably the significant potential financial impact of the JLR cyberattack and the ongoing corporate restructuring (demerger), introduce a material level of external risk.</w:t>
            </w:r>
          </w:p>
        </w:tc>
      </w:tr>
      <w:tr>
        <w:tc>
          <w:tcPr>
            <w:tcW w:type="dxa" w:w="2351"/>
            <w:shd w:val="clear" w:color="auto" w:fill="1F3864"/>
          </w:tcPr>
          <w:p>
            <w:r>
              <w:rPr>
                <w:b/>
                <w:color w:val="FFFFFF"/>
              </w:rPr>
              <w:t>OVERALL SCORE</w:t>
            </w:r>
          </w:p>
        </w:tc>
        <w:tc>
          <w:tcPr>
            <w:tcW w:type="dxa" w:w="2351"/>
            <w:shd w:val="clear" w:color="auto" w:fill="BDD7EE"/>
          </w:tcPr>
          <w:p>
            <w:pPr>
              <w:jc w:val="center"/>
            </w:pPr>
            <w:r>
              <w:rPr>
                <w:b/>
              </w:rPr>
              <w:t>0/100</w:t>
            </w:r>
          </w:p>
        </w:tc>
        <w:tc>
          <w:tcPr>
            <w:tcW w:type="dxa" w:w="2351"/>
            <w:shd w:val="clear" w:color="auto" w:fill="BDD7EE"/>
          </w:tcPr>
          <w:p>
            <w:r>
              <w:rPr>
                <w:b/>
              </w:rPr>
              <w:t>Rating: D</w:t>
            </w:r>
          </w:p>
        </w:tc>
        <w:tc>
          <w:tcPr>
            <w:tcW w:type="dxa" w:w="2351"/>
          </w:tcPr>
          <w:p/>
        </w:tc>
      </w:tr>
    </w:tbl>
    <w:p/>
    <w:p>
      <w:pPr>
        <w:spacing w:before="240" w:after="120"/>
      </w:pPr>
      <w:r>
        <w:rPr>
          <w:b/>
          <w:color w:val="1F3864"/>
          <w:sz w:val="24"/>
        </w:rPr>
        <w:t>5. RISK ASSESSMENT</w:t>
      </w:r>
    </w:p>
    <w:p>
      <w:r>
        <w:t>Character Assessment (Score: 95/100):</w:t>
        <w:br/>
        <w:t>The company exhibits strong character, primarily driven by the unimpeachable reputation of its promoters, who have no record of criminal cases or wilful default. There are no adverse default mentions, red flags, or GST discrepancies, affirming a strong ethical stance and sound governance practices.</w:t>
        <w:br/>
        <w:br/>
        <w:t>Capacity Analysis (Score: 45/100):</w:t>
        <w:br/>
        <w:t>While revenue shows marginal growth and profitability (PAT of ₹28,149 Cr) is strong, the overall capacity assessment is significantly impacted by the absence of critical cash flow adequacy metrics such as DSCR and EBITDA margin. A major concern is the potential financial hit of £2 billion to JLR stemming from a recent cyberattack. This could materially impact future operational capacity, profitability, and cash flow generation, necessitating close monitoring and detailed projections.</w:t>
        <w:br/>
        <w:br/>
        <w:t>Capital Adequacy (Score: 90/100):</w:t>
        <w:br/>
        <w:t>Tata Motors demonstrates robust capital adequacy, underpinned by a healthy Debt-to-Equity ratio of 0.6. This signifies a strong equity base, low reliance on debt, and ample financial flexibility to absorb potential shocks and fund growth initiatives.</w:t>
        <w:br/>
        <w:br/>
        <w:t>Collateral Coverage (Score: 50/100):</w:t>
        <w:br/>
        <w:t>Specific details concerning the quality of assets, security coverage, and any existing encumbrances were not available for this assessment. While Tata Motors, as a large automotive manufacturer, possesses substantial fixed and current assets, the absence of explicit information necessitates a conservative approach. Further investigation into available security is recommended.</w:t>
        <w:br/>
        <w:br/>
        <w:t>Conditions Review (Score: 65/100):</w:t>
        <w:br/>
        <w:t>The broader Indian manufacturing sector shows signs of stability, with expectations of a demand-led rebound in future quarters, contributing to a low general lending risk. However, company-specific conditions present significant challenges: the substantial financial risk from the JLR cyberattack and the complexities associated with the ongoing Composite Scheme of Arrangement (demerger) introduce unique operational and financial uncertainties.</w:t>
      </w:r>
    </w:p>
    <w:p/>
    <w:p>
      <w:pPr>
        <w:spacing w:before="240" w:after="120"/>
      </w:pPr>
      <w:r>
        <w:rPr>
          <w:b/>
          <w:color w:val="1F3864"/>
          <w:sz w:val="24"/>
        </w:rPr>
        <w:t>6. EARLY WARNING SIGNALS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F0000"/>
          </w:tcPr>
          <w:p>
            <w:r>
              <w:rPr>
                <w:b/>
                <w:color w:val="FFFFFF"/>
              </w:rPr>
              <w:t>#</w:t>
            </w:r>
          </w:p>
        </w:tc>
        <w:tc>
          <w:tcPr>
            <w:tcW w:type="dxa" w:w="3135"/>
            <w:shd w:val="clear" w:color="auto" w:fill="FF0000"/>
          </w:tcPr>
          <w:p>
            <w:r>
              <w:rPr>
                <w:b/>
                <w:color w:val="FFFFFF"/>
              </w:rPr>
              <w:t>Warning Signal</w:t>
            </w:r>
          </w:p>
        </w:tc>
        <w:tc>
          <w:tcPr>
            <w:tcW w:type="dxa" w:w="3135"/>
            <w:shd w:val="clear" w:color="auto" w:fill="FF0000"/>
          </w:tcPr>
          <w:p>
            <w:r>
              <w:rPr>
                <w:b/>
                <w:color w:val="FFFFFF"/>
              </w:rPr>
              <w:t>Severity</w:t>
            </w:r>
          </w:p>
        </w:tc>
      </w:tr>
      <w:tr>
        <w:tc>
          <w:tcPr>
            <w:tcW w:type="dxa" w:w="3135"/>
          </w:tcPr>
          <w:p>
            <w:r>
              <w:t>1</w:t>
            </w:r>
          </w:p>
        </w:tc>
        <w:tc>
          <w:tcPr>
            <w:tcW w:type="dxa" w:w="3135"/>
          </w:tcPr>
          <w:p>
            <w:r>
              <w:t>Shares sliding 4% on cyberattack fears</w:t>
            </w:r>
          </w:p>
        </w:tc>
        <w:tc>
          <w:tcPr>
            <w:tcW w:type="dxa" w:w="3135"/>
          </w:tcPr>
          <w:p>
            <w:r>
              <w:t>LOW</w:t>
            </w:r>
          </w:p>
        </w:tc>
      </w:tr>
      <w:tr>
        <w:tc>
          <w:tcPr>
            <w:tcW w:type="dxa" w:w="3135"/>
          </w:tcPr>
          <w:p>
            <w:r>
              <w:t>2</w:t>
            </w:r>
          </w:p>
        </w:tc>
        <w:tc>
          <w:tcPr>
            <w:tcW w:type="dxa" w:w="3135"/>
          </w:tcPr>
          <w:p>
            <w:r>
              <w:t>Potential £2 billion financial hit to JLR due to cyberattack</w:t>
            </w:r>
          </w:p>
        </w:tc>
        <w:tc>
          <w:tcPr>
            <w:tcW w:type="dxa" w:w="3135"/>
          </w:tcPr>
          <w:p>
            <w:r>
              <w:t>LOW</w:t>
            </w:r>
          </w:p>
        </w:tc>
      </w:tr>
    </w:tbl>
    <w:p/>
    <w:p>
      <w:pPr>
        <w:spacing w:before="240" w:after="120"/>
      </w:pPr>
      <w:r>
        <w:rPr>
          <w:b/>
          <w:color w:val="1F3864"/>
          <w:sz w:val="24"/>
        </w:rPr>
        <w:t>7. RECOMMENDATION &amp; DECISION</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rPr>
              <w:t>Parameter</w:t>
            </w:r>
          </w:p>
        </w:tc>
        <w:tc>
          <w:tcPr>
            <w:tcW w:type="dxa" w:w="4703"/>
            <w:shd w:val="clear" w:color="auto" w:fill="1F3864"/>
          </w:tcPr>
          <w:p>
            <w:r>
              <w:rPr>
                <w:b/>
                <w:color w:val="FFFFFF"/>
              </w:rPr>
              <w:t>Value</w:t>
            </w:r>
          </w:p>
        </w:tc>
      </w:tr>
      <w:tr>
        <w:tc>
          <w:tcPr>
            <w:tcW w:type="dxa" w:w="4703"/>
            <w:shd w:val="clear" w:color="auto" w:fill="E8F0FE"/>
          </w:tcPr>
          <w:p>
            <w:r>
              <w:rPr>
                <w:b/>
              </w:rPr>
              <w:t>CREDIT DECISION</w:t>
            </w:r>
          </w:p>
        </w:tc>
        <w:tc>
          <w:tcPr>
            <w:tcW w:type="dxa" w:w="4703"/>
            <w:shd w:val="clear" w:color="auto" w:fill="FFC7CE"/>
          </w:tcPr>
          <w:p>
            <w:r>
              <w:rPr>
                <w:b/>
              </w:rPr>
              <w:t>REJECT</w:t>
            </w:r>
          </w:p>
        </w:tc>
      </w:tr>
      <w:tr>
        <w:tc>
          <w:tcPr>
            <w:tcW w:type="dxa" w:w="4703"/>
            <w:shd w:val="clear" w:color="auto" w:fill="E8F0FE"/>
          </w:tcPr>
          <w:p>
            <w:r>
              <w:rPr>
                <w:b/>
              </w:rPr>
              <w:t>Recommended Amount</w:t>
            </w:r>
          </w:p>
        </w:tc>
        <w:tc>
          <w:tcPr>
            <w:tcW w:type="dxa" w:w="4703"/>
          </w:tcPr>
          <w:p>
            <w:r>
              <w:t>N/A</w:t>
            </w:r>
          </w:p>
        </w:tc>
      </w:tr>
      <w:tr>
        <w:tc>
          <w:tcPr>
            <w:tcW w:type="dxa" w:w="4703"/>
            <w:shd w:val="clear" w:color="auto" w:fill="E8F0FE"/>
          </w:tcPr>
          <w:p>
            <w:r>
              <w:rPr>
                <w:b/>
              </w:rPr>
              <w:t>Interest Rate</w:t>
            </w:r>
          </w:p>
        </w:tc>
        <w:tc>
          <w:tcPr>
            <w:tcW w:type="dxa" w:w="4703"/>
          </w:tcPr>
          <w:p>
            <w:r>
              <w:t>N/A</w:t>
            </w:r>
          </w:p>
        </w:tc>
      </w:tr>
      <w:tr>
        <w:tc>
          <w:tcPr>
            <w:tcW w:type="dxa" w:w="4703"/>
            <w:shd w:val="clear" w:color="auto" w:fill="E8F0FE"/>
          </w:tcPr>
          <w:p>
            <w:r>
              <w:rPr>
                <w:b/>
              </w:rPr>
              <w:t>Tenure</w:t>
            </w:r>
          </w:p>
        </w:tc>
        <w:tc>
          <w:tcPr>
            <w:tcW w:type="dxa" w:w="4703"/>
          </w:tcPr>
          <w:p>
            <w:r>
              <w:t>N/A</w:t>
            </w:r>
          </w:p>
        </w:tc>
      </w:tr>
      <w:tr>
        <w:tc>
          <w:tcPr>
            <w:tcW w:type="dxa" w:w="4703"/>
            <w:shd w:val="clear" w:color="auto" w:fill="E8F0FE"/>
          </w:tcPr>
          <w:p>
            <w:r>
              <w:rPr>
                <w:b/>
              </w:rPr>
              <w:t>Risk Premium</w:t>
            </w:r>
          </w:p>
        </w:tc>
        <w:tc>
          <w:tcPr>
            <w:tcW w:type="dxa" w:w="4703"/>
          </w:tcPr>
          <w:p>
            <w:r>
              <w:t>N/A%</w:t>
            </w:r>
          </w:p>
        </w:tc>
      </w:tr>
      <w:tr>
        <w:tc>
          <w:tcPr>
            <w:tcW w:type="dxa" w:w="4703"/>
            <w:shd w:val="clear" w:color="auto" w:fill="E8F0FE"/>
          </w:tcPr>
          <w:p>
            <w:r>
              <w:rPr>
                <w:b/>
              </w:rPr>
              <w:t>Credit Rating</w:t>
            </w:r>
          </w:p>
        </w:tc>
        <w:tc>
          <w:tcPr>
            <w:tcW w:type="dxa" w:w="4703"/>
          </w:tcPr>
          <w:p>
            <w:r>
              <w:t>D</w:t>
            </w:r>
          </w:p>
        </w:tc>
      </w:tr>
    </w:tbl>
    <w:p/>
    <w:p>
      <w:r>
        <w:rPr>
          <w:b/>
          <w:color w:val="1F3864"/>
        </w:rPr>
        <w:t>Decision Rationale:</w:t>
      </w:r>
    </w:p>
    <w:p>
      <w:r>
        <w:t>The overall risk rating for Tata Motors Limited is 'D', which automatically triggers a rejection as per Vivriti Capital's lending policy. This rating is primarily driven by a critically low capacity score, which reflects significant concerns regarding the lack of key cash flow adequacy metrics (DSCR, EBITDA margin) and the substantial potential financial impact on JLR due to a recent cyberattack. Despite strong character and capital scores, the severe weaknesses in capacity and overall high-risk assessment necessitate an outright rejection.</w:t>
      </w:r>
    </w:p>
    <w:p/>
    <w:p>
      <w:r>
        <w:rPr>
          <w:b/>
          <w:color w:val="FF0000"/>
        </w:rPr>
        <w:t>Reason for Rejection:</w:t>
      </w:r>
    </w:p>
    <w:p>
      <w:r>
        <w:t>Overall risk rating is 'D', leading to automatic rejection per policy. Key concerns include weak capacity due to missing cash flow metrics and significant JLR cyberattack impact.</w:t>
      </w:r>
    </w:p>
    <w:p/>
    <w:p>
      <w:pPr>
        <w:pBdr>
          <w:bottom w:val="single" w:sz="6" w:space="1" w:color="1F3864"/>
        </w:pBdr>
      </w:pPr>
    </w:p>
    <w:p>
      <w:pPr>
        <w:jc w:val="center"/>
      </w:pPr>
      <w:r>
        <w:rPr>
          <w:color w:val="808080"/>
          <w:sz w:val="16"/>
        </w:rPr>
        <w:t>Generated by Intelli-Credit AI Engine  |  DOMINIX  |  07-Mar-2026 10:11  |  CONFIDENTIAL - For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