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C0392B"/>
                <w:sz w:val="26"/>
              </w:rPr>
              <w:t>N/A</w:t>
              <w:br/>
            </w:r>
            <w:r>
              <w:rPr>
                <w:b/>
                <w:color w:val="FFFFFF"/>
                <w:sz w:val="22"/>
              </w:rPr>
              <w:t>Rating: N/A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0/100</w:t>
            </w:r>
          </w:p>
        </w:tc>
        <w:tc>
          <w:tcPr>
            <w:tcW w:type="dxa" w:w="1994"/>
            <w:shd w:val="clear" w:color="auto" w:fill="E8F0FA"/>
          </w:tcPr>
          <w:p>
            <w:pPr>
              <w:jc w:val="center"/>
            </w:pPr>
            <w:r>
              <w:rPr>
                <w:b/>
              </w:rPr>
              <w:t>N/A</w:t>
            </w:r>
          </w:p>
        </w:tc>
        <w:tc>
          <w:tcPr>
            <w:tcW w:type="dxa" w:w="1994"/>
            <w:shd w:val="clear" w:color="auto" w:fill="E8F0FA"/>
          </w:tcPr>
          <w:p>
            <w:pPr>
              <w:jc w:val="center"/>
            </w:pPr>
            <w:r>
              <w:rPr>
                <w:b/>
              </w:rPr>
              <w:t>N/A</w:t>
            </w:r>
          </w:p>
        </w:tc>
        <w:tc>
          <w:tcPr>
            <w:tcW w:type="dxa" w:w="1994"/>
            <w:shd w:val="clear" w:color="auto" w:fill="E8F0FA"/>
          </w:tcPr>
          <w:p>
            <w:pPr>
              <w:jc w:val="center"/>
            </w:pPr>
            <w:r>
              <w:rPr>
                <w:b/>
              </w:rPr>
              <w:t>₹₹500 Crores Cr</w:t>
            </w:r>
          </w:p>
        </w:tc>
        <w:tc>
          <w:tcPr>
            <w:tcW w:type="dxa" w:w="1994"/>
            <w:shd w:val="clear" w:color="auto" w:fill="E8F0FA"/>
          </w:tcPr>
          <w:p>
            <w:pPr>
              <w:jc w:val="center"/>
            </w:pPr>
            <w:r>
              <w:rPr>
                <w:b/>
              </w:rPr>
              <w:t>N/A</w:t>
            </w:r>
          </w:p>
        </w:tc>
      </w:tr>
    </w:tbl>
    <w:p/>
    <w:p>
      <w:r>
        <w:rPr>
          <w:b/>
        </w:rPr>
        <w:t xml:space="preserve">Decision Rationale: </w:t>
      </w:r>
      <w:r>
        <w:t>See Five Cs analysis below.</w:t>
      </w:r>
    </w:p>
    <w:p/>
    <w:p>
      <w:r>
        <w:rPr>
          <w:b/>
        </w:rPr>
        <w:t xml:space="preserve">Date of Appraisal: </w:t>
      </w:r>
      <w:r>
        <w:t>08 March 2026</w:t>
      </w:r>
      <w:r>
        <w:rPr>
          <w:b/>
        </w:rPr>
        <w:t xml:space="preserve">   |   Loan Purpose: </w:t>
      </w:r>
      <w:r>
        <w:t>Working Capital Expansion</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Directors</w:t>
            </w:r>
          </w:p>
        </w:tc>
        <w:tc>
          <w:tcPr>
            <w:tcW w:type="dxa" w:w="4986"/>
          </w:tcPr>
          <w:p>
            <w:r>
              <w:t>N Chandrasekaran, Girish Wagh</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The provided text only explicitly named one director, N Chandrasekaran. The full Board of Directors list, typically found in a dedicated section (e.g., page 14 as per contents), was not included in the provided document snippet. Figures for Depreciation, Finance Cost, Operating Cash Flow, Capex, and Free Cash Flow were not found in the provided text. Profit before tax is explicitly stated as 'PBT (before exceptional items)'.</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₹439,695 Cr</w:t>
            </w:r>
          </w:p>
        </w:tc>
      </w:tr>
      <w:tr>
        <w:tc>
          <w:tcPr>
            <w:tcW w:type="dxa" w:w="4986"/>
            <w:shd w:val="clear" w:color="auto" w:fill="F5F5F5"/>
          </w:tcPr>
          <w:p>
            <w:r>
              <w:t>Revenue Growth</w:t>
            </w:r>
          </w:p>
        </w:tc>
        <w:tc>
          <w:tcPr>
            <w:tcW w:type="dxa" w:w="4986"/>
            <w:shd w:val="clear" w:color="auto" w:fill="F5F5F5"/>
          </w:tcPr>
          <w:p>
            <w:r>
              <w:t>1.3%</w:t>
            </w:r>
          </w:p>
        </w:tc>
      </w:tr>
      <w:tr>
        <w:tc>
          <w:tcPr>
            <w:tcW w:type="dxa" w:w="4986"/>
          </w:tcPr>
          <w:p>
            <w:r>
              <w:t>Profit After Tax</w:t>
            </w:r>
          </w:p>
        </w:tc>
        <w:tc>
          <w:tcPr>
            <w:tcW w:type="dxa" w:w="4986"/>
          </w:tcPr>
          <w:p>
            <w:r>
              <w:t>₹28,149 Cr</w:t>
            </w:r>
          </w:p>
        </w:tc>
      </w:tr>
      <w:tr>
        <w:tc>
          <w:tcPr>
            <w:tcW w:type="dxa" w:w="4986"/>
            <w:shd w:val="clear" w:color="auto" w:fill="F5F5F5"/>
          </w:tcPr>
          <w:p>
            <w:r>
              <w:t>EBITDA</w:t>
            </w:r>
          </w:p>
        </w:tc>
        <w:tc>
          <w:tcPr>
            <w:tcW w:type="dxa" w:w="4986"/>
            <w:shd w:val="clear" w:color="auto" w:fill="F5F5F5"/>
          </w:tcPr>
          <w:p>
            <w:r>
              <w:t>₹57,649 Cr</w:t>
            </w:r>
          </w:p>
        </w:tc>
      </w:tr>
      <w:tr>
        <w:tc>
          <w:tcPr>
            <w:tcW w:type="dxa" w:w="4986"/>
          </w:tcPr>
          <w:p>
            <w:r>
              <w:t>EBITDA Margin</w:t>
            </w:r>
          </w:p>
        </w:tc>
        <w:tc>
          <w:tcPr>
            <w:tcW w:type="dxa" w:w="4986"/>
          </w:tcPr>
          <w:p>
            <w:r>
              <w:t>13.1%</w:t>
            </w:r>
          </w:p>
        </w:tc>
      </w:tr>
      <w:tr>
        <w:tc>
          <w:tcPr>
            <w:tcW w:type="dxa" w:w="4986"/>
            <w:shd w:val="clear" w:color="auto" w:fill="F5F5F5"/>
          </w:tcPr>
          <w:p>
            <w:r>
              <w:t>Total Assets</w:t>
            </w:r>
          </w:p>
        </w:tc>
        <w:tc>
          <w:tcPr>
            <w:tcW w:type="dxa" w:w="4986"/>
            <w:shd w:val="clear" w:color="auto" w:fill="F5F5F5"/>
          </w:tcPr>
          <w:p>
            <w:r>
              <w:t>N/A</w:t>
            </w:r>
          </w:p>
        </w:tc>
      </w:tr>
      <w:tr>
        <w:tc>
          <w:tcPr>
            <w:tcW w:type="dxa" w:w="4986"/>
          </w:tcPr>
          <w:p>
            <w:r>
              <w:t>Net Worth</w:t>
            </w:r>
          </w:p>
        </w:tc>
        <w:tc>
          <w:tcPr>
            <w:tcW w:type="dxa" w:w="4986"/>
          </w:tcPr>
          <w:p>
            <w:r>
              <w:t>₹116,144 Cr</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0.60x</w:t>
            </w:r>
          </w:p>
        </w:tc>
      </w:tr>
      <w:tr>
        <w:tc>
          <w:tcPr>
            <w:tcW w:type="dxa" w:w="4986"/>
            <w:shd w:val="clear" w:color="auto" w:fill="F5F5F5"/>
          </w:tcPr>
          <w:p>
            <w:r>
              <w:t>Current Ratio</w:t>
            </w:r>
          </w:p>
        </w:tc>
        <w:tc>
          <w:tcPr>
            <w:tcW w:type="dxa" w:w="4986"/>
            <w:shd w:val="clear" w:color="auto" w:fill="F5F5F5"/>
          </w:tcPr>
          <w:p>
            <w:r>
              <w:t>N/A</w:t>
            </w:r>
          </w:p>
        </w:tc>
      </w:tr>
      <w:tr>
        <w:tc>
          <w:tcPr>
            <w:tcW w:type="dxa" w:w="4986"/>
          </w:tcPr>
          <w:p>
            <w:r>
              <w:t>Interest Coverage</w:t>
            </w:r>
          </w:p>
        </w:tc>
        <w:tc>
          <w:tcPr>
            <w:tcW w:type="dxa" w:w="4986"/>
          </w:tcPr>
          <w:p>
            <w:r>
              <w:t>11.53x</w:t>
            </w:r>
          </w:p>
        </w:tc>
      </w:tr>
      <w:tr>
        <w:tc>
          <w:tcPr>
            <w:tcW w:type="dxa" w:w="4986"/>
            <w:shd w:val="clear" w:color="auto" w:fill="F5F5F5"/>
          </w:tcPr>
          <w:p>
            <w:r>
              <w:t>Return on Equity</w:t>
            </w:r>
          </w:p>
        </w:tc>
        <w:tc>
          <w:tcPr>
            <w:tcW w:type="dxa" w:w="4986"/>
            <w:shd w:val="clear" w:color="auto" w:fill="F5F5F5"/>
          </w:tcPr>
          <w:p>
            <w:r>
              <w:t>28.0%</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N/A</w:t>
            </w:r>
          </w:p>
        </w:tc>
        <w:tc>
          <w:tcPr>
            <w:tcW w:type="dxa" w:w="2493"/>
          </w:tcPr>
          <w:p>
            <w:r>
              <w:t>25%</w:t>
            </w:r>
          </w:p>
        </w:tc>
        <w:tc>
          <w:tcPr>
            <w:tcW w:type="dxa" w:w="2493"/>
          </w:tcPr>
          <w:p>
            <w:r>
              <w:t>N/A</w:t>
            </w:r>
          </w:p>
        </w:tc>
      </w:tr>
      <w:tr>
        <w:tc>
          <w:tcPr>
            <w:tcW w:type="dxa" w:w="2493"/>
            <w:shd w:val="clear" w:color="auto" w:fill="E8F0FA"/>
          </w:tcPr>
          <w:p>
            <w:r>
              <w:rPr>
                <w:b/>
              </w:rPr>
              <w:t>💰 Capacity</w:t>
            </w:r>
          </w:p>
        </w:tc>
        <w:tc>
          <w:tcPr>
            <w:tcW w:type="dxa" w:w="2493"/>
            <w:shd w:val="clear" w:color="auto" w:fill="E8F0FA"/>
          </w:tcPr>
          <w:p>
            <w:r>
              <w:t>N/A</w:t>
            </w:r>
          </w:p>
        </w:tc>
        <w:tc>
          <w:tcPr>
            <w:tcW w:type="dxa" w:w="2493"/>
            <w:shd w:val="clear" w:color="auto" w:fill="E8F0FA"/>
          </w:tcPr>
          <w:p>
            <w:r>
              <w:t>30%</w:t>
            </w:r>
          </w:p>
        </w:tc>
        <w:tc>
          <w:tcPr>
            <w:tcW w:type="dxa" w:w="2493"/>
            <w:shd w:val="clear" w:color="auto" w:fill="E8F0FA"/>
          </w:tcPr>
          <w:p>
            <w:r>
              <w:t>N/A</w:t>
            </w:r>
          </w:p>
        </w:tc>
      </w:tr>
      <w:tr>
        <w:tc>
          <w:tcPr>
            <w:tcW w:type="dxa" w:w="2493"/>
          </w:tcPr>
          <w:p>
            <w:r>
              <w:rPr>
                <w:b/>
              </w:rPr>
              <w:t>🏛️ Capital</w:t>
            </w:r>
          </w:p>
        </w:tc>
        <w:tc>
          <w:tcPr>
            <w:tcW w:type="dxa" w:w="2493"/>
          </w:tcPr>
          <w:p>
            <w:r>
              <w:t>N/A</w:t>
            </w:r>
          </w:p>
        </w:tc>
        <w:tc>
          <w:tcPr>
            <w:tcW w:type="dxa" w:w="2493"/>
          </w:tcPr>
          <w:p>
            <w:r>
              <w:t>20%</w:t>
            </w:r>
          </w:p>
        </w:tc>
        <w:tc>
          <w:tcPr>
            <w:tcW w:type="dxa" w:w="2493"/>
          </w:tcPr>
          <w:p>
            <w:r>
              <w:t>N/A</w:t>
            </w:r>
          </w:p>
        </w:tc>
      </w:tr>
      <w:tr>
        <w:tc>
          <w:tcPr>
            <w:tcW w:type="dxa" w:w="2493"/>
            <w:shd w:val="clear" w:color="auto" w:fill="E8F0FA"/>
          </w:tcPr>
          <w:p>
            <w:r>
              <w:rPr>
                <w:b/>
              </w:rPr>
              <w:t>🔒 Collateral</w:t>
            </w:r>
          </w:p>
        </w:tc>
        <w:tc>
          <w:tcPr>
            <w:tcW w:type="dxa" w:w="2493"/>
            <w:shd w:val="clear" w:color="auto" w:fill="E8F0FA"/>
          </w:tcPr>
          <w:p>
            <w:r>
              <w:t>N/A</w:t>
            </w:r>
          </w:p>
        </w:tc>
        <w:tc>
          <w:tcPr>
            <w:tcW w:type="dxa" w:w="2493"/>
            <w:shd w:val="clear" w:color="auto" w:fill="E8F0FA"/>
          </w:tcPr>
          <w:p>
            <w:r>
              <w:t>15%</w:t>
            </w:r>
          </w:p>
        </w:tc>
        <w:tc>
          <w:tcPr>
            <w:tcW w:type="dxa" w:w="2493"/>
            <w:shd w:val="clear" w:color="auto" w:fill="E8F0FA"/>
          </w:tcPr>
          <w:p>
            <w:r>
              <w:t>N/A</w:t>
            </w:r>
          </w:p>
        </w:tc>
      </w:tr>
      <w:tr>
        <w:tc>
          <w:tcPr>
            <w:tcW w:type="dxa" w:w="2493"/>
          </w:tcPr>
          <w:p>
            <w:r>
              <w:rPr>
                <w:b/>
              </w:rPr>
              <w:t>🌍 Conditions</w:t>
            </w:r>
          </w:p>
        </w:tc>
        <w:tc>
          <w:tcPr>
            <w:tcW w:type="dxa" w:w="2493"/>
          </w:tcPr>
          <w:p>
            <w:r>
              <w:t>N/A</w:t>
            </w:r>
          </w:p>
        </w:tc>
        <w:tc>
          <w:tcPr>
            <w:tcW w:type="dxa" w:w="2493"/>
          </w:tcPr>
          <w:p>
            <w:r>
              <w:t>10%</w:t>
            </w:r>
          </w:p>
        </w:tc>
        <w:tc>
          <w:tcPr>
            <w:tcW w:type="dxa" w:w="2493"/>
          </w:tcPr>
          <w:p>
            <w:r>
              <w:t>N/A</w:t>
            </w:r>
          </w:p>
        </w:tc>
      </w:tr>
    </w:tbl>
    <w:p/>
    <w:p>
      <w:r>
        <w:rPr>
          <w:b/>
        </w:rPr>
        <w:t xml:space="preserve">Weighted Score: </w:t>
      </w:r>
      <w:r>
        <w:t>N/A/100</w:t>
      </w:r>
      <w:r>
        <w:t xml:space="preserve">   |   </w:t>
      </w:r>
      <w:r>
        <w:rPr>
          <w:b/>
        </w:rPr>
        <w:t xml:space="preserve">Penalty Applied: </w:t>
      </w:r>
      <w:r>
        <w:t>0 points</w:t>
      </w:r>
      <w:r>
        <w:t xml:space="preserve">   |   </w:t>
      </w:r>
      <w:r>
        <w:rPr>
          <w:b/>
        </w:rPr>
        <w:t xml:space="preserve">Final Score: </w:t>
      </w:r>
      <w:r>
        <w:t>N/A/100</w:t>
      </w:r>
    </w:p>
    <w:p/>
    <w:p>
      <w:pPr>
        <w:jc w:val="left"/>
      </w:pPr>
      <w:r>
        <w:rPr>
          <w:b/>
          <w:color w:val="1B3A6B"/>
          <w:sz w:val="24"/>
          <w:u w:val="single"/>
        </w:rPr>
        <w:t>SECONDARY RESEARCH INTELLIGENCE</w:t>
      </w:r>
    </w:p>
    <w:p/>
    <w:p>
      <w:r>
        <w:rPr>
          <w:b/>
        </w:rPr>
        <w:t xml:space="preserve">Company News: </w:t>
      </w:r>
      <w:r>
        <w:t>Tata Motors is pursuing strategic initiatives, including a significant demerger and price hikes, which are positive for future focus and profitability. However, the company faces immediate headwinds with an expected weakening of passenger vehicle demand in H1 FY25 and a challenging Q1 FY26 financial performance across most segments, particularly consolidated, JLR, and PV.</w:t>
      </w:r>
    </w:p>
    <w:p/>
    <w:p>
      <w:r>
        <w:rPr>
          <w:b/>
        </w:rPr>
        <w:t xml:space="preserve">Promoter Background: </w:t>
      </w:r>
      <w:r>
        <w:t>N. Chandrasekaran is listed as the Chairman (Non-Executive). No adverse information regarding the promoter, board of directors, or company management (such as criminal cases, wilful defaulter status, or SFIO investigations) has been identified from the provided intelligence. The general RBI mention of steps against wilful defaulters does not specifically implicate Tata Motors or its promoters.</w:t>
      </w:r>
    </w:p>
    <w:p/>
    <w:p>
      <w:r>
        <w:rPr>
          <w:b/>
        </w:rPr>
        <w:t xml:space="preserve">Sector Headwinds: </w:t>
      </w:r>
      <w:r>
        <w:t>The automotive manufacturing sector, specifically the passenger vehicle segment, is expected to face a weakening of demand in the first half of FY25. This poses a near-term headwind. However, the company's ability to implement price hikes and its strategic demerger are positive developments that could provide resilience and future growth opportunities. No specific RBI sectoral restrictions or NBFC exposure norms for the automotive sector were provided in the intelligence.</w:t>
      </w:r>
    </w:p>
    <w:p/>
    <w:p>
      <w:r>
        <w:rPr>
          <w:b/>
        </w:rPr>
        <w:t xml:space="preserve">Litigation: </w:t>
      </w:r>
      <w:r>
        <w:t>The National Company Law Tribunal (NCLT) has sanctioned Tata Motors' Composite Scheme of Arrangement, allowing the demerger of its passenger vehicle and commercial vehicle businesses effective October 1, 2025. This is a strategic restructuring event and not an insolvency or distress-driven proceeding. One e-court case 'M/s Tata Motors Limited v T Chinthani Kumar and o' is mentioned, but its nature and potential impact are not detailed, suggesting it is not a material high-risk litigation.</w:t>
      </w:r>
    </w:p>
    <w:p/>
    <w:p>
      <w:r>
        <w:rPr>
          <w:b/>
        </w:rPr>
        <w:t xml:space="preserve">Regulatory: </w:t>
      </w:r>
      <w:r>
        <w:t>No specific SEBI enforcement orders, settlement orders, insider trading allegations, or disclosure failures have been identified. Similarly, there are no mentions of RBI-related issues such as licence problems, regulatory directions, or penalties against Tata Motors. MCA filings appear to be in order without any reported defaults.</w:t>
      </w:r>
    </w:p>
    <w:p/>
    <w:p>
      <w:r>
        <w:rPr>
          <w:b/>
        </w:rPr>
        <w:t xml:space="preserve">MCA Signals: </w:t>
      </w:r>
      <w:r>
        <w:t>Tata Motors Limited (CIN: L28920MH1945PLC004520) is listed as an 'Active' company. The reported Date of Last AGM (20-06-2025) and Date of Balance Sheet (31-03-2025) suggest timely statutory compliance. There is no indication of director disqualification specific to Tata Motors, ROC filing defaults, or pending charge satisfactions. The general MCA source on director disqualification does not apply to this company or its directors based on the provided information.</w:t>
      </w:r>
    </w:p>
    <w:p/>
    <w:p>
      <w:r>
        <w:rPr>
          <w:b/>
        </w:rPr>
        <w:t xml:space="preserve">Overall Research Rating: </w:t>
      </w:r>
      <w:r>
        <w:t>B — Caution</w:t>
      </w:r>
    </w:p>
    <w:p>
      <w:r>
        <w:rPr>
          <w:b/>
        </w:rPr>
        <w:t xml:space="preserve">Top Risks Identified: </w:t>
      </w:r>
      <w:r>
        <w:t>Weakening domestic demand for passenger vehicles in H1 FY25.; Underperformance in Q1 FY26 across consolidated, JLR, and PV segments (revenue, EBITDA, PBT declines).; Execution risks associated with the significant demerger process in October 2025.</w:t>
      </w:r>
    </w:p>
    <w:p/>
    <w:p>
      <w:pPr>
        <w:jc w:val="left"/>
      </w:pPr>
      <w:r>
        <w:rPr>
          <w:b/>
          <w:color w:val="1B3A6B"/>
          <w:sz w:val="24"/>
          <w:u w:val="single"/>
        </w:rPr>
        <w:t>CROSS-DOCUMENT FRAUD INTELLIGENCE</w:t>
      </w:r>
    </w:p>
    <w:p/>
    <w:p>
      <w:r>
        <w:t>Single document uploaded — cross-reference skipped. Upload GST filing or bank statement alongside annual report for fraud detection.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C0392B"/>
          </w:tcPr>
          <w:p>
            <w:pPr>
              <w:jc w:val="center"/>
            </w:pPr>
            <w:r>
              <w:rPr>
                <w:b/>
                <w:color w:val="FFFFFF"/>
                <w:sz w:val="28"/>
              </w:rPr>
              <w:t>RECOMMENDATION: N/A</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N/A</w:t>
            </w:r>
          </w:p>
        </w:tc>
      </w:tr>
      <w:tr>
        <w:tc>
          <w:tcPr>
            <w:tcW w:type="dxa" w:w="4986"/>
            <w:shd w:val="clear" w:color="auto" w:fill="E8F0FA"/>
          </w:tcPr>
          <w:p>
            <w:r>
              <w:rPr>
                <w:b/>
              </w:rPr>
              <w:t>Credit Rating</w:t>
            </w:r>
          </w:p>
        </w:tc>
        <w:tc>
          <w:tcPr>
            <w:tcW w:type="dxa" w:w="4986"/>
          </w:tcPr>
          <w:p>
            <w:r>
              <w:t>N/A</w:t>
            </w:r>
          </w:p>
        </w:tc>
      </w:tr>
      <w:tr>
        <w:tc>
          <w:tcPr>
            <w:tcW w:type="dxa" w:w="4986"/>
            <w:shd w:val="clear" w:color="auto" w:fill="E8F0FA"/>
          </w:tcPr>
          <w:p>
            <w:r>
              <w:rPr>
                <w:b/>
              </w:rPr>
              <w:t>Credit Score</w:t>
            </w:r>
          </w:p>
        </w:tc>
        <w:tc>
          <w:tcPr>
            <w:tcW w:type="dxa" w:w="4986"/>
          </w:tcPr>
          <w:p>
            <w:r>
              <w:t>N/A/100</w:t>
            </w:r>
          </w:p>
        </w:tc>
      </w:tr>
      <w:tr>
        <w:tc>
          <w:tcPr>
            <w:tcW w:type="dxa" w:w="4986"/>
            <w:shd w:val="clear" w:color="auto" w:fill="E8F0FA"/>
          </w:tcPr>
          <w:p>
            <w:r>
              <w:rPr>
                <w:b/>
              </w:rPr>
              <w:t>Recommended Amount</w:t>
            </w:r>
          </w:p>
        </w:tc>
        <w:tc>
          <w:tcPr>
            <w:tcW w:type="dxa" w:w="4986"/>
          </w:tcPr>
          <w:p>
            <w:r>
              <w:t>₹N/A Cr</w:t>
            </w:r>
          </w:p>
        </w:tc>
      </w:tr>
      <w:tr>
        <w:tc>
          <w:tcPr>
            <w:tcW w:type="dxa" w:w="4986"/>
            <w:shd w:val="clear" w:color="auto" w:fill="E8F0FA"/>
          </w:tcPr>
          <w:p>
            <w:r>
              <w:rPr>
                <w:b/>
              </w:rPr>
              <w:t>Interest Rate</w:t>
            </w:r>
          </w:p>
        </w:tc>
        <w:tc>
          <w:tcPr>
            <w:tcW w:type="dxa" w:w="4986"/>
          </w:tcPr>
          <w:p>
            <w:r>
              <w:t>N/A%</w:t>
            </w:r>
          </w:p>
        </w:tc>
      </w:tr>
      <w:tr>
        <w:tc>
          <w:tcPr>
            <w:tcW w:type="dxa" w:w="4986"/>
            <w:shd w:val="clear" w:color="auto" w:fill="E8F0FA"/>
          </w:tcPr>
          <w:p>
            <w:r>
              <w:rPr>
                <w:b/>
              </w:rPr>
              <w:t>Tenure</w:t>
            </w:r>
          </w:p>
        </w:tc>
        <w:tc>
          <w:tcPr>
            <w:tcW w:type="dxa" w:w="4986"/>
          </w:tcPr>
          <w:p>
            <w:r>
              <w:t>N/A months</w:t>
            </w:r>
          </w:p>
        </w:tc>
      </w:tr>
    </w:tbl>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08 Mar 2026 12:22</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