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1E8449"/>
                <w:sz w:val="26"/>
              </w:rPr>
              <w:t>APPROVE</w:t>
              <w:br/>
            </w:r>
            <w:r>
              <w:rPr>
                <w:b/>
                <w:color w:val="FFFFFF"/>
                <w:sz w:val="22"/>
              </w:rPr>
              <w:t>Rating: 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82.75/100</w:t>
            </w:r>
          </w:p>
        </w:tc>
        <w:tc>
          <w:tcPr>
            <w:tcW w:type="dxa" w:w="1994"/>
            <w:shd w:val="clear" w:color="auto" w:fill="E8F0FA"/>
          </w:tcPr>
          <w:p>
            <w:pPr>
              <w:jc w:val="center"/>
            </w:pPr>
            <w:r>
              <w:rPr>
                <w:b/>
              </w:rPr>
              <w:t>AA</w:t>
            </w:r>
          </w:p>
        </w:tc>
        <w:tc>
          <w:tcPr>
            <w:tcW w:type="dxa" w:w="1994"/>
            <w:shd w:val="clear" w:color="auto" w:fill="E8F0FA"/>
          </w:tcPr>
          <w:p>
            <w:pPr>
              <w:jc w:val="center"/>
            </w:pPr>
            <w:r>
              <w:rPr>
                <w:b/>
              </w:rPr>
              <w:t>APPROVE</w:t>
            </w:r>
          </w:p>
        </w:tc>
        <w:tc>
          <w:tcPr>
            <w:tcW w:type="dxa" w:w="1994"/>
            <w:shd w:val="clear" w:color="auto" w:fill="E8F0FA"/>
          </w:tcPr>
          <w:p>
            <w:pPr>
              <w:jc w:val="center"/>
            </w:pPr>
            <w:r>
              <w:rPr>
                <w:b/>
              </w:rPr>
              <w:t>₹2000 Cr</w:t>
            </w:r>
          </w:p>
        </w:tc>
        <w:tc>
          <w:tcPr>
            <w:tcW w:type="dxa" w:w="1994"/>
            <w:shd w:val="clear" w:color="auto" w:fill="E8F0FA"/>
          </w:tcPr>
          <w:p>
            <w:pPr>
              <w:jc w:val="center"/>
            </w:pPr>
            <w:r>
              <w:rPr>
                <w:b/>
              </w:rPr>
              <w:t>11.5%</w:t>
            </w:r>
          </w:p>
        </w:tc>
      </w:tr>
    </w:tbl>
    <w:p/>
    <w:p>
      <w:r>
        <w:rPr>
          <w:b/>
        </w:rPr>
        <w:t xml:space="preserve">Decision Rationale: </w:t>
      </w:r>
      <w:r>
        <w:t>Tata Motors is approved for the requested facility given its robust credit profile, reflected in an impressive Blended Risk Score of 86.33/100 and an AA rating. The company exhibits exceptional 'Character' (90) due to its strong promoter background and sound governance, alongside excellent 'Capacity' (88) for debt servicing, highlighted by an ICR of 11.53x. A healthy 'Capital' structure (78) with a low Debt-to-Equity ratio of 0.6x and a substantial asset base providing 'Collateral' (75) further solidify its financial strength. Despite minor Q1 FY26 revenue decline, the overall financial health and strategic investments justify the approval.</w:t>
      </w:r>
    </w:p>
    <w:p/>
    <w:p>
      <w:r>
        <w:rPr>
          <w:b/>
        </w:rPr>
        <w:t xml:space="preserve">Date of Appraisal: </w:t>
      </w:r>
      <w:r>
        <w:t>08 March 2026</w:t>
      </w:r>
      <w:r>
        <w:rPr>
          <w:b/>
        </w:rPr>
        <w:t xml:space="preserve">   |   Loan Purpose: </w:t>
      </w:r>
      <w:r>
        <w:t>Working Capital Expansion</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Directors</w:t>
            </w:r>
          </w:p>
        </w:tc>
        <w:tc>
          <w:tcPr>
            <w:tcW w:type="dxa" w:w="4986"/>
          </w:tcPr>
          <w:p>
            <w:r>
              <w:t>N Chandrasekaran, Girish Wagh</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The full list of directors, depreciation, and finance costs could not be extracted as the relevant sections (e.g., 'Board of Directors' mentioned on page 14, and detailed financial statements) were beyond the provided text extract (which ends at page 11). All extracted financial figures are consolidated for FY25.</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₹439,695 Cr</w:t>
            </w:r>
          </w:p>
        </w:tc>
      </w:tr>
      <w:tr>
        <w:tc>
          <w:tcPr>
            <w:tcW w:type="dxa" w:w="4986"/>
            <w:shd w:val="clear" w:color="auto" w:fill="F5F5F5"/>
          </w:tcPr>
          <w:p>
            <w:r>
              <w:t>Revenue Growth</w:t>
            </w:r>
          </w:p>
        </w:tc>
        <w:tc>
          <w:tcPr>
            <w:tcW w:type="dxa" w:w="4986"/>
            <w:shd w:val="clear" w:color="auto" w:fill="F5F5F5"/>
          </w:tcPr>
          <w:p>
            <w:r>
              <w:t>1.3%</w:t>
            </w:r>
          </w:p>
        </w:tc>
      </w:tr>
      <w:tr>
        <w:tc>
          <w:tcPr>
            <w:tcW w:type="dxa" w:w="4986"/>
          </w:tcPr>
          <w:p>
            <w:r>
              <w:t>Profit After Tax</w:t>
            </w:r>
          </w:p>
        </w:tc>
        <w:tc>
          <w:tcPr>
            <w:tcW w:type="dxa" w:w="4986"/>
          </w:tcPr>
          <w:p>
            <w:r>
              <w:t>₹28,149 Cr</w:t>
            </w:r>
          </w:p>
        </w:tc>
      </w:tr>
      <w:tr>
        <w:tc>
          <w:tcPr>
            <w:tcW w:type="dxa" w:w="4986"/>
            <w:shd w:val="clear" w:color="auto" w:fill="F5F5F5"/>
          </w:tcPr>
          <w:p>
            <w:r>
              <w:t>EBITDA</w:t>
            </w:r>
          </w:p>
        </w:tc>
        <w:tc>
          <w:tcPr>
            <w:tcW w:type="dxa" w:w="4986"/>
            <w:shd w:val="clear" w:color="auto" w:fill="F5F5F5"/>
          </w:tcPr>
          <w:p>
            <w:r>
              <w:t>₹57,649 Cr</w:t>
            </w:r>
          </w:p>
        </w:tc>
      </w:tr>
      <w:tr>
        <w:tc>
          <w:tcPr>
            <w:tcW w:type="dxa" w:w="4986"/>
          </w:tcPr>
          <w:p>
            <w:r>
              <w:t>EBITDA Margin</w:t>
            </w:r>
          </w:p>
        </w:tc>
        <w:tc>
          <w:tcPr>
            <w:tcW w:type="dxa" w:w="4986"/>
          </w:tcPr>
          <w:p>
            <w:r>
              <w:t>13.1%</w:t>
            </w:r>
          </w:p>
        </w:tc>
      </w:tr>
      <w:tr>
        <w:tc>
          <w:tcPr>
            <w:tcW w:type="dxa" w:w="4986"/>
            <w:shd w:val="clear" w:color="auto" w:fill="F5F5F5"/>
          </w:tcPr>
          <w:p>
            <w:r>
              <w:t>Total Assets</w:t>
            </w:r>
          </w:p>
        </w:tc>
        <w:tc>
          <w:tcPr>
            <w:tcW w:type="dxa" w:w="4986"/>
            <w:shd w:val="clear" w:color="auto" w:fill="F5F5F5"/>
          </w:tcPr>
          <w:p>
            <w:r>
              <w:t>₹378,642 Cr</w:t>
            </w:r>
          </w:p>
        </w:tc>
      </w:tr>
      <w:tr>
        <w:tc>
          <w:tcPr>
            <w:tcW w:type="dxa" w:w="4986"/>
          </w:tcPr>
          <w:p>
            <w:r>
              <w:t>Net Worth</w:t>
            </w:r>
          </w:p>
        </w:tc>
        <w:tc>
          <w:tcPr>
            <w:tcW w:type="dxa" w:w="4986"/>
          </w:tcPr>
          <w:p>
            <w:r>
              <w:t>₹116,144 Cr</w:t>
            </w:r>
          </w:p>
        </w:tc>
      </w:tr>
      <w:tr>
        <w:tc>
          <w:tcPr>
            <w:tcW w:type="dxa" w:w="4986"/>
            <w:shd w:val="clear" w:color="auto" w:fill="F5F5F5"/>
          </w:tcPr>
          <w:p>
            <w:r>
              <w:t>Total Borrowings</w:t>
            </w:r>
          </w:p>
        </w:tc>
        <w:tc>
          <w:tcPr>
            <w:tcW w:type="dxa" w:w="4986"/>
            <w:shd w:val="clear" w:color="auto" w:fill="F5F5F5"/>
          </w:tcPr>
          <w:p>
            <w:r>
              <w:t>₹223,357 Cr</w:t>
            </w:r>
          </w:p>
        </w:tc>
      </w:tr>
      <w:tr>
        <w:tc>
          <w:tcPr>
            <w:tcW w:type="dxa" w:w="4986"/>
          </w:tcPr>
          <w:p>
            <w:r>
              <w:t>Debt / Equity</w:t>
            </w:r>
          </w:p>
        </w:tc>
        <w:tc>
          <w:tcPr>
            <w:tcW w:type="dxa" w:w="4986"/>
          </w:tcPr>
          <w:p>
            <w:r>
              <w:t>0.60x</w:t>
            </w:r>
          </w:p>
        </w:tc>
      </w:tr>
      <w:tr>
        <w:tc>
          <w:tcPr>
            <w:tcW w:type="dxa" w:w="4986"/>
            <w:shd w:val="clear" w:color="auto" w:fill="F5F5F5"/>
          </w:tcPr>
          <w:p>
            <w:r>
              <w:t>Current Ratio</w:t>
            </w:r>
          </w:p>
        </w:tc>
        <w:tc>
          <w:tcPr>
            <w:tcW w:type="dxa" w:w="4986"/>
            <w:shd w:val="clear" w:color="auto" w:fill="F5F5F5"/>
          </w:tcPr>
          <w:p>
            <w:r>
              <w:t>1.00x</w:t>
            </w:r>
          </w:p>
        </w:tc>
      </w:tr>
      <w:tr>
        <w:tc>
          <w:tcPr>
            <w:tcW w:type="dxa" w:w="4986"/>
          </w:tcPr>
          <w:p>
            <w:r>
              <w:t>Interest Coverage</w:t>
            </w:r>
          </w:p>
        </w:tc>
        <w:tc>
          <w:tcPr>
            <w:tcW w:type="dxa" w:w="4986"/>
          </w:tcPr>
          <w:p>
            <w:r>
              <w:t>11.53x</w:t>
            </w:r>
          </w:p>
        </w:tc>
      </w:tr>
      <w:tr>
        <w:tc>
          <w:tcPr>
            <w:tcW w:type="dxa" w:w="4986"/>
            <w:shd w:val="clear" w:color="auto" w:fill="F5F5F5"/>
          </w:tcPr>
          <w:p>
            <w:r>
              <w:t>Return on Equity</w:t>
            </w:r>
          </w:p>
        </w:tc>
        <w:tc>
          <w:tcPr>
            <w:tcW w:type="dxa" w:w="4986"/>
            <w:shd w:val="clear" w:color="auto" w:fill="F5F5F5"/>
          </w:tcPr>
          <w:p>
            <w:r>
              <w:t>28.0%</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90</w:t>
            </w:r>
          </w:p>
        </w:tc>
        <w:tc>
          <w:tcPr>
            <w:tcW w:type="dxa" w:w="2493"/>
          </w:tcPr>
          <w:p>
            <w:r>
              <w:t>25%</w:t>
            </w:r>
          </w:p>
        </w:tc>
        <w:tc>
          <w:tcPr>
            <w:tcW w:type="dxa" w:w="2493"/>
          </w:tcPr>
          <w:p>
            <w:r>
              <w:t>Tata Motors benefits from the impeccable reputation of the Tata Group, identified as having a 'Good' promoter background with 'Low' risk level. There are no mentions of criminal cases, wilful defaulter status, or SFIO investigations. Furthermore, the company shows a clean slate with no red flags such as audit qualifications, going concern issues, NPA mentions, or related party concerns, indicating strong corporate governance.</w:t>
            </w:r>
          </w:p>
        </w:tc>
      </w:tr>
      <w:tr>
        <w:tc>
          <w:tcPr>
            <w:tcW w:type="dxa" w:w="2493"/>
            <w:shd w:val="clear" w:color="auto" w:fill="E8F0FA"/>
          </w:tcPr>
          <w:p>
            <w:r>
              <w:rPr>
                <w:b/>
              </w:rPr>
              <w:t>💰 Capacity</w:t>
            </w:r>
          </w:p>
        </w:tc>
        <w:tc>
          <w:tcPr>
            <w:tcW w:type="dxa" w:w="2493"/>
            <w:shd w:val="clear" w:color="auto" w:fill="E8F0FA"/>
          </w:tcPr>
          <w:p>
            <w:r>
              <w:t>88</w:t>
            </w:r>
          </w:p>
        </w:tc>
        <w:tc>
          <w:tcPr>
            <w:tcW w:type="dxa" w:w="2493"/>
            <w:shd w:val="clear" w:color="auto" w:fill="E8F0FA"/>
          </w:tcPr>
          <w:p>
            <w:r>
              <w:t>30%</w:t>
            </w:r>
          </w:p>
        </w:tc>
        <w:tc>
          <w:tcPr>
            <w:tcW w:type="dxa" w:w="2493"/>
            <w:shd w:val="clear" w:color="auto" w:fill="E8F0FA"/>
          </w:tcPr>
          <w:p>
            <w:r>
              <w:t>The company demonstrates excellent debt servicing capacity, highlighted by a robust Interest Coverage Ratio (ICR) of 11.53x, significantly above the threshold for excellent coverage. A healthy EBITDA margin of 13.11% on substantial revenue of ₹439,695 crores further reinforces its operational profitability. While Q1 FY26 saw a consolidated revenue decline of 2.5% and a 480 bps drop in EBITDA margin, the company has planned significant investments of USD 5.1 billion in FY25 to sustain future growth, and its Commercial Vehicle segment reported positive EBITDA (12.2%) and EBIT (9.7%) in Q1 FY26, showcasing segment-specific resilience.</w:t>
            </w:r>
          </w:p>
        </w:tc>
      </w:tr>
      <w:tr>
        <w:tc>
          <w:tcPr>
            <w:tcW w:type="dxa" w:w="2493"/>
          </w:tcPr>
          <w:p>
            <w:r>
              <w:rPr>
                <w:b/>
              </w:rPr>
              <w:t>🏛️ Capital</w:t>
            </w:r>
          </w:p>
        </w:tc>
        <w:tc>
          <w:tcPr>
            <w:tcW w:type="dxa" w:w="2493"/>
          </w:tcPr>
          <w:p>
            <w:r>
              <w:t>78</w:t>
            </w:r>
          </w:p>
        </w:tc>
        <w:tc>
          <w:tcPr>
            <w:tcW w:type="dxa" w:w="2493"/>
          </w:tcPr>
          <w:p>
            <w:r>
              <w:t>20%</w:t>
            </w:r>
          </w:p>
        </w:tc>
        <w:tc>
          <w:tcPr>
            <w:tcW w:type="dxa" w:w="2493"/>
          </w:tcPr>
          <w:p>
            <w:r>
              <w:t>Tata Motors maintains a sound capital structure, with a low Debt-to-Equity ratio of 0.6x, which falls within the healthy range. The substantial net worth of ₹116,144 crores provides a strong equity base. Additionally, the company exhibits strong profitability metrics with a Return on Equity (ROE) of 28.0% and a Return on Capital Employed (ROCE) of 17.6%, indicating efficient utilization of capital.</w:t>
            </w:r>
          </w:p>
        </w:tc>
      </w:tr>
      <w:tr>
        <w:tc>
          <w:tcPr>
            <w:tcW w:type="dxa" w:w="2493"/>
            <w:shd w:val="clear" w:color="auto" w:fill="E8F0FA"/>
          </w:tcPr>
          <w:p>
            <w:r>
              <w:rPr>
                <w:b/>
              </w:rPr>
              <w:t>🔒 Collateral</w:t>
            </w:r>
          </w:p>
        </w:tc>
        <w:tc>
          <w:tcPr>
            <w:tcW w:type="dxa" w:w="2493"/>
            <w:shd w:val="clear" w:color="auto" w:fill="E8F0FA"/>
          </w:tcPr>
          <w:p>
            <w:r>
              <w:t>75</w:t>
            </w:r>
          </w:p>
        </w:tc>
        <w:tc>
          <w:tcPr>
            <w:tcW w:type="dxa" w:w="2493"/>
            <w:shd w:val="clear" w:color="auto" w:fill="E8F0FA"/>
          </w:tcPr>
          <w:p>
            <w:r>
              <w:t>15%</w:t>
            </w:r>
          </w:p>
        </w:tc>
        <w:tc>
          <w:tcPr>
            <w:tcW w:type="dxa" w:w="2493"/>
            <w:shd w:val="clear" w:color="auto" w:fill="E8F0FA"/>
          </w:tcPr>
          <w:p>
            <w:r>
              <w:t>As a major automotive manufacturer, Tata Motors operates with a significant asset base, reflected in its total assets of ₹378,642 crores. This extensive asset base provides substantial underlying security for its borrowings. The large revenue of ₹439,695 crores further infers a vast operational footprint and associated assets. The current ratio of 1.0x indicates adequate short-term asset coverage.</w:t>
            </w:r>
          </w:p>
        </w:tc>
      </w:tr>
      <w:tr>
        <w:tc>
          <w:tcPr>
            <w:tcW w:type="dxa" w:w="2493"/>
          </w:tcPr>
          <w:p>
            <w:r>
              <w:rPr>
                <w:b/>
              </w:rPr>
              <w:t>🌍 Conditions</w:t>
            </w:r>
          </w:p>
        </w:tc>
        <w:tc>
          <w:tcPr>
            <w:tcW w:type="dxa" w:w="2493"/>
          </w:tcPr>
          <w:p>
            <w:r>
              <w:t>70</w:t>
            </w:r>
          </w:p>
        </w:tc>
        <w:tc>
          <w:tcPr>
            <w:tcW w:type="dxa" w:w="2493"/>
          </w:tcPr>
          <w:p>
            <w:r>
              <w:t>10%</w:t>
            </w:r>
          </w:p>
        </w:tc>
        <w:tc>
          <w:tcPr>
            <w:tcW w:type="dxa" w:w="2493"/>
          </w:tcPr>
          <w:p>
            <w:r>
              <w:t>The automotive sector in India, where a significant portion of Tata Motors' business operates, generally benefits from favourable macro-economic conditions and sustained demand, though global headwinds can impact its JLR segment. The company's strategic planned demerger of its passenger vehicle and commercial vehicle businesses in October 2025 is a value-unlocking initiative and, per the defined rules, is considered a neutral event that does not negatively impact conditions. While Q1 FY26 showed mixed results with some declines in the JLR and passenger vehicle segments, the commercial vehicle segment demonstrated resilience, indicating a diversified business capable of navigating varied market conditions.</w:t>
            </w:r>
          </w:p>
        </w:tc>
      </w:tr>
    </w:tbl>
    <w:p/>
    <w:p>
      <w:r>
        <w:rPr>
          <w:b/>
        </w:rPr>
        <w:t xml:space="preserve">Weighted Score: </w:t>
      </w:r>
      <w:r>
        <w:t>82.75/100</w:t>
      </w:r>
      <w:r>
        <w:t xml:space="preserve">   |   </w:t>
      </w:r>
      <w:r>
        <w:rPr>
          <w:b/>
        </w:rPr>
        <w:t xml:space="preserve">Penalty Applied: </w:t>
      </w:r>
      <w:r>
        <w:t>0.0 points</w:t>
      </w:r>
      <w:r>
        <w:t xml:space="preserve">   |   </w:t>
      </w:r>
      <w:r>
        <w:rPr>
          <w:b/>
        </w:rPr>
        <w:t xml:space="preserve">Final Score: </w:t>
      </w:r>
      <w:r>
        <w:t>82.75/100</w:t>
      </w:r>
    </w:p>
    <w:p/>
    <w:p>
      <w:pPr>
        <w:jc w:val="left"/>
      </w:pPr>
      <w:r>
        <w:rPr>
          <w:b/>
          <w:color w:val="1B3A6B"/>
          <w:sz w:val="24"/>
          <w:u w:val="single"/>
        </w:rPr>
        <w:t>SECONDARY RESEARCH INTELLIGENCE</w:t>
      </w:r>
    </w:p>
    <w:p/>
    <w:p>
      <w:r>
        <w:rPr>
          <w:b/>
        </w:rPr>
        <w:t xml:space="preserve">Company News: </w:t>
      </w:r>
      <w:r>
        <w:t>Tata Motors has announced substantial investments for growth and reported strong commercial vehicle sales. However, Q1 FY26 financial results show a mixed performance, with consolidated, JLR, and passenger vehicle segments experiencing declines in revenue and profitability margins, while the commercial vehicle segment demonstrated resilience and growth. The company is also proceeding with a strategic demerger of its PV and CV businesses.</w:t>
      </w:r>
    </w:p>
    <w:p/>
    <w:p>
      <w:r>
        <w:rPr>
          <w:b/>
        </w:rPr>
        <w:t xml:space="preserve">Promoter Background: </w:t>
      </w:r>
      <w:r>
        <w:t>N. Chandrasekaran is the non-executive Chairman. The promoter group, Tata Group, is well-regarded. No information suggests wilful defaulter status, SFIO investigations, or criminal cases against the promoter or key management personnel in the provided intelligence.</w:t>
      </w:r>
    </w:p>
    <w:p/>
    <w:p>
      <w:r>
        <w:rPr>
          <w:b/>
        </w:rPr>
        <w:t xml:space="preserve">Sector Headwinds: </w:t>
      </w:r>
      <w:r>
        <w:t>The automotive sector is generally stable but subject to cyclical fluctuations and competitive pressures. Tata Motors is actively investing in its future and pursuing strategic restructuring, indicating a forward-looking approach despite some mixed Q1 FY26 financial results across segments. No specific RBI sectoral limits or NBFC exposure norms for the automotive sector were identified in the intelligence.</w:t>
      </w:r>
    </w:p>
    <w:p/>
    <w:p>
      <w:r>
        <w:rPr>
          <w:b/>
        </w:rPr>
        <w:t xml:space="preserve">Litigation: </w:t>
      </w:r>
      <w:r>
        <w:t>The National Company Law Tribunal (NCLT) has sanctioned Tata Motors' Composite Scheme of Arrangement, approving the demerger of its passenger vehicle and commercial vehicle businesses, effective from October 1, 2025. This type of NCLT proceeding is a strategic restructuring and is not considered a high-risk event like insolvency or debt recovery. A generic reference to 'Ms Tata Motors Limited v T Chinthani Kumar and Ors' without further details is noted but does not indicate significant litigation risk.</w:t>
      </w:r>
    </w:p>
    <w:p/>
    <w:p>
      <w:r>
        <w:rPr>
          <w:b/>
        </w:rPr>
        <w:t xml:space="preserve">Regulatory: </w:t>
      </w:r>
      <w:r>
        <w:t>There is no information indicating any SEBI enforcement orders, settlement orders, insider trading, or disclosure failures. Similarly, no RBI bank/NBFC license issues, regulatory directions, or penalties against Tata Motors have been identified in the provided intelligence. General references to RBI actions against wilful defaulters are not specific to Tata Motors or its promoters.</w:t>
      </w:r>
    </w:p>
    <w:p/>
    <w:p>
      <w:r>
        <w:rPr>
          <w:b/>
        </w:rPr>
        <w:t xml:space="preserve">MCA Signals: </w:t>
      </w:r>
      <w:r>
        <w:t>TATA MOTORS PASSENGER VEHICLES LIMITED, a related entity, shows an 'Active' company status with a recent date of last AGM (20-06-2025) and balance sheet (31-03-2025), indicating compliance. There is no specific information indicating director disqualification, ROC filing defaults, or pending charge satisfaction for Tata Motors Limited or its current directors. An overseas listing of Tata Motors Limited mentions 'Converted / Closed', which pertains to an overseas registration and does not reflect the status of the primary Indian entity.</w:t>
      </w:r>
    </w:p>
    <w:p/>
    <w:p>
      <w:r>
        <w:rPr>
          <w:b/>
        </w:rPr>
        <w:t xml:space="preserve">Overall Research Rating: </w:t>
      </w:r>
      <w:r>
        <w:t>B — Proceed</w:t>
      </w:r>
    </w:p>
    <w:p>
      <w:r>
        <w:rPr>
          <w:b/>
        </w:rPr>
        <w:t xml:space="preserve">Top Risks Identified: </w:t>
      </w:r>
      <w:r>
        <w:t>Execution risk associated with the large USD 5.1 billion investment plan.; Potential for market volatility and competitive pressures impacting sales and profitability, particularly in the PV and JLR segments, as indicated by Q1 FY26 performance.; Successful integration and operational separation challenges post-demerger of PV and CV businesses.</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w:t>
            </w:r>
          </w:p>
        </w:tc>
      </w:tr>
      <w:tr>
        <w:tc>
          <w:tcPr>
            <w:tcW w:type="dxa" w:w="4986"/>
            <w:shd w:val="clear" w:color="auto" w:fill="E8F0FA"/>
          </w:tcPr>
          <w:p>
            <w:r>
              <w:rPr>
                <w:b/>
              </w:rPr>
              <w:t>Credit Score</w:t>
            </w:r>
          </w:p>
        </w:tc>
        <w:tc>
          <w:tcPr>
            <w:tcW w:type="dxa" w:w="4986"/>
          </w:tcPr>
          <w:p>
            <w:r>
              <w:t>86.33/100</w:t>
            </w:r>
          </w:p>
        </w:tc>
      </w:tr>
      <w:tr>
        <w:tc>
          <w:tcPr>
            <w:tcW w:type="dxa" w:w="4986"/>
            <w:shd w:val="clear" w:color="auto" w:fill="E8F0FA"/>
          </w:tcPr>
          <w:p>
            <w:r>
              <w:rPr>
                <w:b/>
              </w:rPr>
              <w:t>Recommended Amount</w:t>
            </w:r>
          </w:p>
        </w:tc>
        <w:tc>
          <w:tcPr>
            <w:tcW w:type="dxa" w:w="4986"/>
          </w:tcPr>
          <w:p>
            <w:r>
              <w:t>₹2000 Cr</w:t>
            </w:r>
          </w:p>
        </w:tc>
      </w:tr>
      <w:tr>
        <w:tc>
          <w:tcPr>
            <w:tcW w:type="dxa" w:w="4986"/>
            <w:shd w:val="clear" w:color="auto" w:fill="E8F0FA"/>
          </w:tcPr>
          <w:p>
            <w:r>
              <w:rPr>
                <w:b/>
              </w:rPr>
              <w:t>Interest Rate</w:t>
            </w:r>
          </w:p>
        </w:tc>
        <w:tc>
          <w:tcPr>
            <w:tcW w:type="dxa" w:w="4986"/>
          </w:tcPr>
          <w:p>
            <w:r>
              <w:t>11.5%</w:t>
            </w:r>
          </w:p>
        </w:tc>
      </w:tr>
      <w:tr>
        <w:tc>
          <w:tcPr>
            <w:tcW w:type="dxa" w:w="4986"/>
            <w:shd w:val="clear" w:color="auto" w:fill="E8F0FA"/>
          </w:tcPr>
          <w:p>
            <w:r>
              <w:rPr>
                <w:b/>
              </w:rPr>
              <w:t>Tenure</w:t>
            </w:r>
          </w:p>
        </w:tc>
        <w:tc>
          <w:tcPr>
            <w:tcW w:type="dxa" w:w="4986"/>
          </w:tcPr>
          <w:p>
            <w:r>
              <w:t>36 months</w:t>
            </w:r>
          </w:p>
        </w:tc>
      </w:tr>
    </w:tbl>
    <w:p/>
    <w:p>
      <w:r>
        <w:rPr>
          <w:b/>
        </w:rPr>
        <w:t xml:space="preserve">Rationale: </w:t>
      </w:r>
      <w:r>
        <w:t>Tata Motors is approved for the requested facility given its robust credit profile, reflected in an impressive Blended Risk Score of 86.33/100 and an AA rating. The company exhibits exceptional 'Character' (90) due to its strong promoter background and sound governance, alongside excellent 'Capacity' (88) for debt servicing, highlighted by an ICR of 11.53x. A healthy 'Capital' structure (78) with a low Debt-to-Equity ratio of 0.6x and a substantial asset base providing 'Collateral' (75) further solidify its financial strength. Despite minor Q1 FY26 revenue decline, the overall financial health and strategic investments justify the approval.</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08 Mar 2026 12:42</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