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Tata Motors Limited</w:t>
            </w:r>
          </w:p>
        </w:tc>
        <w:tc>
          <w:tcPr>
            <w:tcW w:type="dxa" w:w="3324"/>
            <w:shd w:val="clear" w:color="auto" w:fill="1B3A6B"/>
          </w:tcPr>
          <w:p>
            <w:pPr>
              <w:jc w:val="center"/>
            </w:pPr>
            <w:r>
              <w:rPr>
                <w:b/>
                <w:color w:val="C0392B"/>
                <w:sz w:val="26"/>
              </w:rPr>
              <w:t>CANNOT_ASSESS</w:t>
              <w:br/>
            </w:r>
            <w:r>
              <w:rPr>
                <w:b/>
                <w:color w:val="FFFFFF"/>
                <w:sz w:val="22"/>
              </w:rPr>
              <w:t>Rating: UNRATED</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0/100</w:t>
            </w:r>
          </w:p>
        </w:tc>
        <w:tc>
          <w:tcPr>
            <w:tcW w:type="dxa" w:w="1994"/>
            <w:shd w:val="clear" w:color="auto" w:fill="E8F0FA"/>
          </w:tcPr>
          <w:p>
            <w:pPr>
              <w:jc w:val="center"/>
            </w:pPr>
            <w:r>
              <w:rPr>
                <w:b/>
              </w:rPr>
              <w:t>UNRATED</w:t>
            </w:r>
          </w:p>
        </w:tc>
        <w:tc>
          <w:tcPr>
            <w:tcW w:type="dxa" w:w="1994"/>
            <w:shd w:val="clear" w:color="auto" w:fill="E8F0FA"/>
          </w:tcPr>
          <w:p>
            <w:pPr>
              <w:jc w:val="center"/>
            </w:pPr>
            <w:r>
              <w:rPr>
                <w:b/>
              </w:rPr>
              <w:t>CANNOT_ASSESS</w:t>
            </w:r>
          </w:p>
        </w:tc>
        <w:tc>
          <w:tcPr>
            <w:tcW w:type="dxa" w:w="1994"/>
            <w:shd w:val="clear" w:color="auto" w:fill="E8F0FA"/>
          </w:tcPr>
          <w:p>
            <w:pPr>
              <w:jc w:val="center"/>
            </w:pPr>
            <w:r>
              <w:rPr>
                <w:b/>
              </w:rPr>
              <w:t>N/A</w:t>
            </w:r>
          </w:p>
        </w:tc>
        <w:tc>
          <w:tcPr>
            <w:tcW w:type="dxa" w:w="1994"/>
            <w:shd w:val="clear" w:color="auto" w:fill="E8F0FA"/>
          </w:tcPr>
          <w:p>
            <w:pPr>
              <w:jc w:val="center"/>
            </w:pPr>
            <w:r>
              <w:rPr>
                <w:b/>
              </w:rPr>
              <w:t>N/A</w:t>
            </w:r>
          </w:p>
        </w:tc>
      </w:tr>
    </w:tbl>
    <w:p/>
    <w:p>
      <w:r>
        <w:rPr>
          <w:b/>
        </w:rPr>
        <w:t xml:space="preserve">Decision Rationale: </w:t>
      </w:r>
      <w:r>
        <w:t>AI scoring failed: 429 RESOURCE_EXHAUSTED. {'error': {'code': 429, 'message': 'You exceeded your current quota, please check your plan and billing details. For more information on this error, head to: https://ai.google.dev/gemini-api/docs/rate-limits. To monitor your current usage, head to: https://ai.dev/rate-limit. \n* Quota exceeded for metric: generativelanguage.googleapis.com/generate_content_free_tier_input_token_count, limit: 0, model: gemini-2.0-flash-lite\n* Quota exceeded for metric: generativelanguage.googleapis.com/generate_content_free_tier_requests, limit: 0, model: gemini-2.0-flash-lite\n* Quota exceeded for metric: generativelanguage.googleapis.com/generate_content_free_tier_requests, limit: 0, model: gemini-2.0-flash-lite\nPlease retry in 49.819847479s.', 'status': 'RESOURCE_EXHAUSTED', 'details': [{'@type': 'type.googleapis.com/google.rpc.Help', 'links': [{'description': 'Learn more about Gemini API quotas', 'url': 'https://ai.google.dev/gemini-api/docs/rate-limits'}]}, {'@type': 'type.googleapis.com/google.rpc.QuotaFailure', 'violations': [{'quotaMetric': 'generativelanguage.googleapis.com/generate_content_free_tier_input_token_count', 'quotaId': 'GenerateContentInputTokensPerModelPerMinute-FreeTier', 'quotaDimensions': {'location': 'global', 'model': 'gemini-2.0-flash-lite'}}, {'quotaMetric': 'generativelanguage.googleapis.com/generate_content_free_tier_requests', 'quotaId': 'GenerateRequestsPerMinutePerProjectPerModel-FreeTier', 'quotaDimensions': {'model': 'gemini-2.0-flash-lite', 'location': 'global'}}, {'quotaMetric': 'generativelanguage.googleapis.com/generate_content_free_tier_requests', 'quotaId': 'GenerateRequestsPerDayPerProjectPerModel-FreeTier', 'quotaDimensions': {'location': 'global', 'model': 'gemini-2.0-flash-lite'}}]}, {'@type': 'type.googleapis.com/google.rpc.RetryInfo', 'retryDelay': '49s'}]}}. Manual review required.</w:t>
      </w:r>
    </w:p>
    <w:p>
      <w:r>
        <w:rPr>
          <w:b/>
        </w:rPr>
        <w:t xml:space="preserve">Key Conditions: </w:t>
      </w:r>
      <w:r>
        <w:t>Manual underwriter review mandatory before any disbursement</w:t>
      </w:r>
    </w:p>
    <w:p/>
    <w:p>
      <w:r>
        <w:rPr>
          <w:b/>
        </w:rPr>
        <w:t xml:space="preserve">Date of Appraisal: </w:t>
      </w:r>
      <w:r>
        <w:t>08 March 2026</w:t>
      </w:r>
      <w:r>
        <w:rPr>
          <w:b/>
        </w:rPr>
        <w:t xml:space="preserve">   |   Loan Purpose: </w:t>
      </w:r>
      <w:r>
        <w:t>Working Capital Expansion</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Directors</w:t>
            </w:r>
          </w:p>
        </w:tc>
        <w:tc>
          <w:tcPr>
            <w:tcW w:type="dxa" w:w="4986"/>
          </w:tcPr>
          <w:p>
            <w:r>
              <w:t>N Chandrasekaran, Girish Wagh</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Financial details for Depreciation and Finance Cost, and the complete list of directors, were not available in the provided text snippet (which ends on page 11, while the Board of Directors is indicated to be on page 14 and detailed financials start on page 294). PBT is reported 'before exceptional items'.</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₹439,695 Cr</w:t>
            </w:r>
          </w:p>
        </w:tc>
      </w:tr>
      <w:tr>
        <w:tc>
          <w:tcPr>
            <w:tcW w:type="dxa" w:w="4986"/>
            <w:shd w:val="clear" w:color="auto" w:fill="F5F5F5"/>
          </w:tcPr>
          <w:p>
            <w:r>
              <w:t>Revenue Growth</w:t>
            </w:r>
          </w:p>
        </w:tc>
        <w:tc>
          <w:tcPr>
            <w:tcW w:type="dxa" w:w="4986"/>
            <w:shd w:val="clear" w:color="auto" w:fill="F5F5F5"/>
          </w:tcPr>
          <w:p>
            <w:r>
              <w:t>1.3%</w:t>
            </w:r>
          </w:p>
        </w:tc>
      </w:tr>
      <w:tr>
        <w:tc>
          <w:tcPr>
            <w:tcW w:type="dxa" w:w="4986"/>
          </w:tcPr>
          <w:p>
            <w:r>
              <w:t>Profit After Tax</w:t>
            </w:r>
          </w:p>
        </w:tc>
        <w:tc>
          <w:tcPr>
            <w:tcW w:type="dxa" w:w="4986"/>
          </w:tcPr>
          <w:p>
            <w:r>
              <w:t>₹28,149 Cr</w:t>
            </w:r>
          </w:p>
        </w:tc>
      </w:tr>
      <w:tr>
        <w:tc>
          <w:tcPr>
            <w:tcW w:type="dxa" w:w="4986"/>
            <w:shd w:val="clear" w:color="auto" w:fill="F5F5F5"/>
          </w:tcPr>
          <w:p>
            <w:r>
              <w:t>EBITDA</w:t>
            </w:r>
          </w:p>
        </w:tc>
        <w:tc>
          <w:tcPr>
            <w:tcW w:type="dxa" w:w="4986"/>
            <w:shd w:val="clear" w:color="auto" w:fill="F5F5F5"/>
          </w:tcPr>
          <w:p>
            <w:r>
              <w:t>₹57,649 Cr</w:t>
            </w:r>
          </w:p>
        </w:tc>
      </w:tr>
      <w:tr>
        <w:tc>
          <w:tcPr>
            <w:tcW w:type="dxa" w:w="4986"/>
          </w:tcPr>
          <w:p>
            <w:r>
              <w:t>EBITDA Margin</w:t>
            </w:r>
          </w:p>
        </w:tc>
        <w:tc>
          <w:tcPr>
            <w:tcW w:type="dxa" w:w="4986"/>
          </w:tcPr>
          <w:p>
            <w:r>
              <w:t>13.1%</w:t>
            </w:r>
          </w:p>
        </w:tc>
      </w:tr>
      <w:tr>
        <w:tc>
          <w:tcPr>
            <w:tcW w:type="dxa" w:w="4986"/>
            <w:shd w:val="clear" w:color="auto" w:fill="F5F5F5"/>
          </w:tcPr>
          <w:p>
            <w:r>
              <w:t>Total Assets</w:t>
            </w:r>
          </w:p>
        </w:tc>
        <w:tc>
          <w:tcPr>
            <w:tcW w:type="dxa" w:w="4986"/>
            <w:shd w:val="clear" w:color="auto" w:fill="F5F5F5"/>
          </w:tcPr>
          <w:p>
            <w:r>
              <w:t>₹378,642 Cr</w:t>
            </w:r>
          </w:p>
        </w:tc>
      </w:tr>
      <w:tr>
        <w:tc>
          <w:tcPr>
            <w:tcW w:type="dxa" w:w="4986"/>
          </w:tcPr>
          <w:p>
            <w:r>
              <w:t>Net Worth</w:t>
            </w:r>
          </w:p>
        </w:tc>
        <w:tc>
          <w:tcPr>
            <w:tcW w:type="dxa" w:w="4986"/>
          </w:tcPr>
          <w:p>
            <w:r>
              <w:t>₹116,144 Cr</w:t>
            </w:r>
          </w:p>
        </w:tc>
      </w:tr>
      <w:tr>
        <w:tc>
          <w:tcPr>
            <w:tcW w:type="dxa" w:w="4986"/>
            <w:shd w:val="clear" w:color="auto" w:fill="F5F5F5"/>
          </w:tcPr>
          <w:p>
            <w:r>
              <w:t>Total Borrowings</w:t>
            </w:r>
          </w:p>
        </w:tc>
        <w:tc>
          <w:tcPr>
            <w:tcW w:type="dxa" w:w="4986"/>
            <w:shd w:val="clear" w:color="auto" w:fill="F5F5F5"/>
          </w:tcPr>
          <w:p>
            <w:r>
              <w:t>₹55,412 Cr</w:t>
            </w:r>
          </w:p>
        </w:tc>
      </w:tr>
      <w:tr>
        <w:tc>
          <w:tcPr>
            <w:tcW w:type="dxa" w:w="4986"/>
          </w:tcPr>
          <w:p>
            <w:r>
              <w:t>Debt / Equity</w:t>
            </w:r>
          </w:p>
        </w:tc>
        <w:tc>
          <w:tcPr>
            <w:tcW w:type="dxa" w:w="4986"/>
          </w:tcPr>
          <w:p>
            <w:r>
              <w:t>0.60x</w:t>
            </w:r>
          </w:p>
        </w:tc>
      </w:tr>
      <w:tr>
        <w:tc>
          <w:tcPr>
            <w:tcW w:type="dxa" w:w="4986"/>
            <w:shd w:val="clear" w:color="auto" w:fill="F5F5F5"/>
          </w:tcPr>
          <w:p>
            <w:r>
              <w:t>Current Ratio</w:t>
            </w:r>
          </w:p>
        </w:tc>
        <w:tc>
          <w:tcPr>
            <w:tcW w:type="dxa" w:w="4986"/>
            <w:shd w:val="clear" w:color="auto" w:fill="F5F5F5"/>
          </w:tcPr>
          <w:p>
            <w:r>
              <w:t>0.48x</w:t>
            </w:r>
          </w:p>
        </w:tc>
      </w:tr>
      <w:tr>
        <w:tc>
          <w:tcPr>
            <w:tcW w:type="dxa" w:w="4986"/>
          </w:tcPr>
          <w:p>
            <w:r>
              <w:t>Interest Coverage</w:t>
            </w:r>
          </w:p>
        </w:tc>
        <w:tc>
          <w:tcPr>
            <w:tcW w:type="dxa" w:w="4986"/>
          </w:tcPr>
          <w:p>
            <w:r>
              <w:t>11.53x</w:t>
            </w:r>
          </w:p>
        </w:tc>
      </w:tr>
      <w:tr>
        <w:tc>
          <w:tcPr>
            <w:tcW w:type="dxa" w:w="4986"/>
            <w:shd w:val="clear" w:color="auto" w:fill="F5F5F5"/>
          </w:tcPr>
          <w:p>
            <w:r>
              <w:t>Return on Equity</w:t>
            </w:r>
          </w:p>
        </w:tc>
        <w:tc>
          <w:tcPr>
            <w:tcW w:type="dxa" w:w="4986"/>
            <w:shd w:val="clear" w:color="auto" w:fill="F5F5F5"/>
          </w:tcPr>
          <w:p>
            <w:r>
              <w:t>28.0%</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0</w:t>
            </w:r>
          </w:p>
        </w:tc>
        <w:tc>
          <w:tcPr>
            <w:tcW w:type="dxa" w:w="2493"/>
          </w:tcPr>
          <w:p>
            <w:r>
              <w:t>25%</w:t>
            </w:r>
          </w:p>
        </w:tc>
        <w:tc>
          <w:tcPr>
            <w:tcW w:type="dxa" w:w="2493"/>
          </w:tcPr>
          <w:p>
            <w:r>
              <w:t>DATA INSUFFICIENT — manual review required.</w:t>
            </w:r>
          </w:p>
        </w:tc>
      </w:tr>
      <w:tr>
        <w:tc>
          <w:tcPr>
            <w:tcW w:type="dxa" w:w="2493"/>
            <w:shd w:val="clear" w:color="auto" w:fill="E8F0FA"/>
          </w:tcPr>
          <w:p>
            <w:r>
              <w:rPr>
                <w:b/>
              </w:rPr>
              <w:t>💰 Capacity</w:t>
            </w:r>
          </w:p>
        </w:tc>
        <w:tc>
          <w:tcPr>
            <w:tcW w:type="dxa" w:w="2493"/>
            <w:shd w:val="clear" w:color="auto" w:fill="E8F0FA"/>
          </w:tcPr>
          <w:p>
            <w:r>
              <w:t>0</w:t>
            </w:r>
          </w:p>
        </w:tc>
        <w:tc>
          <w:tcPr>
            <w:tcW w:type="dxa" w:w="2493"/>
            <w:shd w:val="clear" w:color="auto" w:fill="E8F0FA"/>
          </w:tcPr>
          <w:p>
            <w:r>
              <w:t>30%</w:t>
            </w:r>
          </w:p>
        </w:tc>
        <w:tc>
          <w:tcPr>
            <w:tcW w:type="dxa" w:w="2493"/>
            <w:shd w:val="clear" w:color="auto" w:fill="E8F0FA"/>
          </w:tcPr>
          <w:p>
            <w:r>
              <w:t>DATA INSUFFICIENT — manual review required.</w:t>
            </w:r>
          </w:p>
        </w:tc>
      </w:tr>
      <w:tr>
        <w:tc>
          <w:tcPr>
            <w:tcW w:type="dxa" w:w="2493"/>
          </w:tcPr>
          <w:p>
            <w:r>
              <w:rPr>
                <w:b/>
              </w:rPr>
              <w:t>🏛️ Capital</w:t>
            </w:r>
          </w:p>
        </w:tc>
        <w:tc>
          <w:tcPr>
            <w:tcW w:type="dxa" w:w="2493"/>
          </w:tcPr>
          <w:p>
            <w:r>
              <w:t>0</w:t>
            </w:r>
          </w:p>
        </w:tc>
        <w:tc>
          <w:tcPr>
            <w:tcW w:type="dxa" w:w="2493"/>
          </w:tcPr>
          <w:p>
            <w:r>
              <w:t>20%</w:t>
            </w:r>
          </w:p>
        </w:tc>
        <w:tc>
          <w:tcPr>
            <w:tcW w:type="dxa" w:w="2493"/>
          </w:tcPr>
          <w:p>
            <w:r>
              <w:t>DATA INSUFFICIENT — manual review required.</w:t>
            </w:r>
          </w:p>
        </w:tc>
      </w:tr>
      <w:tr>
        <w:tc>
          <w:tcPr>
            <w:tcW w:type="dxa" w:w="2493"/>
            <w:shd w:val="clear" w:color="auto" w:fill="E8F0FA"/>
          </w:tcPr>
          <w:p>
            <w:r>
              <w:rPr>
                <w:b/>
              </w:rPr>
              <w:t>🔒 Collateral</w:t>
            </w:r>
          </w:p>
        </w:tc>
        <w:tc>
          <w:tcPr>
            <w:tcW w:type="dxa" w:w="2493"/>
            <w:shd w:val="clear" w:color="auto" w:fill="E8F0FA"/>
          </w:tcPr>
          <w:p>
            <w:r>
              <w:t>0</w:t>
            </w:r>
          </w:p>
        </w:tc>
        <w:tc>
          <w:tcPr>
            <w:tcW w:type="dxa" w:w="2493"/>
            <w:shd w:val="clear" w:color="auto" w:fill="E8F0FA"/>
          </w:tcPr>
          <w:p>
            <w:r>
              <w:t>15%</w:t>
            </w:r>
          </w:p>
        </w:tc>
        <w:tc>
          <w:tcPr>
            <w:tcW w:type="dxa" w:w="2493"/>
            <w:shd w:val="clear" w:color="auto" w:fill="E8F0FA"/>
          </w:tcPr>
          <w:p>
            <w:r>
              <w:t>DATA INSUFFICIENT — manual review required.</w:t>
            </w:r>
          </w:p>
        </w:tc>
      </w:tr>
      <w:tr>
        <w:tc>
          <w:tcPr>
            <w:tcW w:type="dxa" w:w="2493"/>
          </w:tcPr>
          <w:p>
            <w:r>
              <w:rPr>
                <w:b/>
              </w:rPr>
              <w:t>🌍 Conditions</w:t>
            </w:r>
          </w:p>
        </w:tc>
        <w:tc>
          <w:tcPr>
            <w:tcW w:type="dxa" w:w="2493"/>
          </w:tcPr>
          <w:p>
            <w:r>
              <w:t>0</w:t>
            </w:r>
          </w:p>
        </w:tc>
        <w:tc>
          <w:tcPr>
            <w:tcW w:type="dxa" w:w="2493"/>
          </w:tcPr>
          <w:p>
            <w:r>
              <w:t>10%</w:t>
            </w:r>
          </w:p>
        </w:tc>
        <w:tc>
          <w:tcPr>
            <w:tcW w:type="dxa" w:w="2493"/>
          </w:tcPr>
          <w:p>
            <w:r>
              <w:t>DATA INSUFFICIENT — manual review required.</w:t>
            </w:r>
          </w:p>
        </w:tc>
      </w:tr>
    </w:tbl>
    <w:p/>
    <w:p>
      <w:r>
        <w:rPr>
          <w:b/>
        </w:rPr>
        <w:t xml:space="preserve">Weighted Score: </w:t>
      </w:r>
      <w:r>
        <w:t>0/100</w:t>
      </w:r>
      <w:r>
        <w:t xml:space="preserve">   |   </w:t>
      </w:r>
      <w:r>
        <w:rPr>
          <w:b/>
        </w:rPr>
        <w:t xml:space="preserve">Penalty Applied: </w:t>
      </w:r>
      <w:r>
        <w:t>0 points</w:t>
      </w:r>
      <w:r>
        <w:t xml:space="preserve">   |   </w:t>
      </w:r>
      <w:r>
        <w:rPr>
          <w:b/>
        </w:rPr>
        <w:t xml:space="preserve">Final Score: </w:t>
      </w:r>
      <w:r>
        <w:t>0/100</w:t>
      </w:r>
    </w:p>
    <w:p/>
    <w:p>
      <w:pPr>
        <w:jc w:val="left"/>
      </w:pPr>
      <w:r>
        <w:rPr>
          <w:b/>
          <w:color w:val="1B3A6B"/>
          <w:sz w:val="24"/>
          <w:u w:val="single"/>
        </w:rPr>
        <w:t>SECONDARY RESEARCH INTELLIGENCE</w:t>
      </w:r>
    </w:p>
    <w:p/>
    <w:p>
      <w:r>
        <w:rPr>
          <w:b/>
        </w:rPr>
        <w:t xml:space="preserve">Company News: </w:t>
      </w:r>
      <w:r>
        <w:t>Tata Motors Limited shows strong positive momentum, particularly in its EV segment with projected doubling of sales. The company is actively launching new products and focusing on strategic growth, reflected in robust Q1 FY26 revenues. No immediate financial risks or defaults are indicated in the news.</w:t>
      </w:r>
    </w:p>
    <w:p/>
    <w:p>
      <w:r>
        <w:rPr>
          <w:b/>
        </w:rPr>
        <w:t xml:space="preserve">Promoter Background: </w:t>
      </w:r>
      <w:r>
        <w:t>The promoter, N. Chandrasekaran (Chairman), is a well-known figure. The provided 'List of Wilful Defaulters' does not include Tata Motors Limited or N. Chandrasekaran. No information suggesting criminal cases or SFIO investigations related to the promoter has been provided.</w:t>
      </w:r>
    </w:p>
    <w:p/>
    <w:p>
      <w:r>
        <w:rPr>
          <w:b/>
        </w:rPr>
        <w:t xml:space="preserve">Sector Headwinds: </w:t>
      </w:r>
      <w:r>
        <w:t>The manufacturing (automotive) sector, specifically for Tata Motors, appears stable with significant tailwinds from the electric vehicle segment. The company's focus on EV expansion and new product launches suggests a robust market position. No specific RBI sectoral restrictions or significant regulatory risks for the automotive sector were highlighted in the intelligence.</w:t>
      </w:r>
    </w:p>
    <w:p/>
    <w:p>
      <w:r>
        <w:rPr>
          <w:b/>
        </w:rPr>
        <w:t xml:space="preserve">Litigation: </w:t>
      </w:r>
      <w:r>
        <w:t>The NCLT proceedings mentioned are related to a 'Composite Scheme of Arrangement' amongst Tata Motors Limited and its subsidiaries (TML Commercial Vehicles Limited, Tata Motors Passenger Vehicles Limited) under Sections 230-232 of the Companies Act, which signifies a demerger/restructuring activity. This type of proceeding is considered neutral in credit risk assessment and does not indicate insolvency or high-risk litigation. No other significant legal disputes, IBC proceedings, DRT cases, or arbitration cases were identified.</w:t>
      </w:r>
    </w:p>
    <w:p/>
    <w:p>
      <w:r>
        <w:rPr>
          <w:b/>
        </w:rPr>
        <w:t xml:space="preserve">Regulatory: </w:t>
      </w:r>
      <w:r>
        <w:t>No specific SEBI actions, settlement orders, insider trading, or disclosure failures have been reported. Similarly, there are no mentions of RBI issues, licensing problems, or penalties. MCA filings appear to be current, indicating no default. Overall regulatory compliance appears to be sound based on the provided data.</w:t>
      </w:r>
    </w:p>
    <w:p/>
    <w:p>
      <w:r>
        <w:rPr>
          <w:b/>
        </w:rPr>
        <w:t xml:space="preserve">MCA Signals: </w:t>
      </w:r>
      <w:r>
        <w:t>MCA filings indicate Tata Motors Limited is an active company with a date of incorporation in 1945. The company's last AGM was on June 20, 2025, and the balance sheet date was March 31, 2025, suggesting timely compliance with regulatory filings. No director disqualifications or specific ROC filing defaults were indicated in the provided intelligence.</w:t>
      </w:r>
    </w:p>
    <w:p/>
    <w:p>
      <w:r>
        <w:rPr>
          <w:b/>
        </w:rPr>
        <w:t xml:space="preserve">Overall Research Rating: </w:t>
      </w:r>
      <w:r>
        <w:t>A — Proceed</w:t>
      </w:r>
    </w:p>
    <w:p>
      <w:r>
        <w:rPr>
          <w:b/>
        </w:rPr>
        <w:t xml:space="preserve">Top Risks Identified: </w:t>
      </w:r>
      <w:r>
        <w:t>Potential execution risks associated with ambitious EV sales targets.; Intense competition within the rapidly evolving automotive and EV markets.</w:t>
      </w:r>
    </w:p>
    <w:p/>
    <w:p>
      <w:pPr>
        <w:jc w:val="left"/>
      </w:pPr>
      <w:r>
        <w:rPr>
          <w:b/>
          <w:color w:val="1B3A6B"/>
          <w:sz w:val="24"/>
          <w:u w:val="single"/>
        </w:rPr>
        <w:t>CROSS-DOCUMENT FRAUD INTELLIGENCE</w:t>
      </w:r>
    </w:p>
    <w:p/>
    <w:p>
      <w:r>
        <w:t>Single document uploaded — cross-reference skipped. Upload GST filing or bank statement alongside annual report for fraud detection.</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C0392B"/>
          </w:tcPr>
          <w:p>
            <w:pPr>
              <w:jc w:val="center"/>
            </w:pPr>
            <w:r>
              <w:rPr>
                <w:b/>
                <w:color w:val="FFFFFF"/>
                <w:sz w:val="28"/>
              </w:rPr>
              <w:t>RECOMMENDATION: CANNOT_ASSESS</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CANNOT_ASSESS</w:t>
            </w:r>
          </w:p>
        </w:tc>
      </w:tr>
      <w:tr>
        <w:tc>
          <w:tcPr>
            <w:tcW w:type="dxa" w:w="4986"/>
            <w:shd w:val="clear" w:color="auto" w:fill="E8F0FA"/>
          </w:tcPr>
          <w:p>
            <w:r>
              <w:rPr>
                <w:b/>
              </w:rPr>
              <w:t>Credit Rating</w:t>
            </w:r>
          </w:p>
        </w:tc>
        <w:tc>
          <w:tcPr>
            <w:tcW w:type="dxa" w:w="4986"/>
          </w:tcPr>
          <w:p>
            <w:r>
              <w:t>UNRATED</w:t>
            </w:r>
          </w:p>
        </w:tc>
      </w:tr>
      <w:tr>
        <w:tc>
          <w:tcPr>
            <w:tcW w:type="dxa" w:w="4986"/>
            <w:shd w:val="clear" w:color="auto" w:fill="E8F0FA"/>
          </w:tcPr>
          <w:p>
            <w:r>
              <w:rPr>
                <w:b/>
              </w:rPr>
              <w:t>Credit Score</w:t>
            </w:r>
          </w:p>
        </w:tc>
        <w:tc>
          <w:tcPr>
            <w:tcW w:type="dxa" w:w="4986"/>
          </w:tcPr>
          <w:p>
            <w:r>
              <w:t>0/100</w:t>
            </w:r>
          </w:p>
        </w:tc>
      </w:tr>
      <w:tr>
        <w:tc>
          <w:tcPr>
            <w:tcW w:type="dxa" w:w="4986"/>
            <w:shd w:val="clear" w:color="auto" w:fill="E8F0FA"/>
          </w:tcPr>
          <w:p>
            <w:r>
              <w:rPr>
                <w:b/>
              </w:rPr>
              <w:t>Recommended Amount</w:t>
            </w:r>
          </w:p>
        </w:tc>
        <w:tc>
          <w:tcPr>
            <w:tcW w:type="dxa" w:w="4986"/>
          </w:tcPr>
          <w:p>
            <w:r>
              <w:t>₹None Cr</w:t>
            </w:r>
          </w:p>
        </w:tc>
      </w:tr>
      <w:tr>
        <w:tc>
          <w:tcPr>
            <w:tcW w:type="dxa" w:w="4986"/>
            <w:shd w:val="clear" w:color="auto" w:fill="E8F0FA"/>
          </w:tcPr>
          <w:p>
            <w:r>
              <w:rPr>
                <w:b/>
              </w:rPr>
              <w:t>Interest Rate</w:t>
            </w:r>
          </w:p>
        </w:tc>
        <w:tc>
          <w:tcPr>
            <w:tcW w:type="dxa" w:w="4986"/>
          </w:tcPr>
          <w:p>
            <w:r>
              <w:t>None%</w:t>
            </w:r>
          </w:p>
        </w:tc>
      </w:tr>
      <w:tr>
        <w:tc>
          <w:tcPr>
            <w:tcW w:type="dxa" w:w="4986"/>
            <w:shd w:val="clear" w:color="auto" w:fill="E8F0FA"/>
          </w:tcPr>
          <w:p>
            <w:r>
              <w:rPr>
                <w:b/>
              </w:rPr>
              <w:t>Tenure</w:t>
            </w:r>
          </w:p>
        </w:tc>
        <w:tc>
          <w:tcPr>
            <w:tcW w:type="dxa" w:w="4986"/>
          </w:tcPr>
          <w:p>
            <w:r>
              <w:t>None months</w:t>
            </w:r>
          </w:p>
        </w:tc>
      </w:tr>
    </w:tbl>
    <w:p/>
    <w:p>
      <w:r>
        <w:rPr>
          <w:b/>
        </w:rPr>
        <w:t xml:space="preserve">Rationale: </w:t>
      </w:r>
      <w:r>
        <w:t>AI scoring failed: 429 RESOURCE_EXHAUSTED. {'error': {'code': 429, 'message': 'You exceeded your current quota, please check your plan and billing details. For more information on this error, head to: https://ai.google.dev/gemini-api/docs/rate-limits. To monitor your current usage, head to: https://ai.dev/rate-limit. \n* Quota exceeded for metric: generativelanguage.googleapis.com/generate_content_free_tier_input_token_count, limit: 0, model: gemini-2.0-flash-lite\n* Quota exceeded for metric: generativelanguage.googleapis.com/generate_content_free_tier_requests, limit: 0, model: gemini-2.0-flash-lite\n* Quota exceeded for metric: generativelanguage.googleapis.com/generate_content_free_tier_requests, limit: 0, model: gemini-2.0-flash-lite\nPlease retry in 49.819847479s.', 'status': 'RESOURCE_EXHAUSTED', 'details': [{'@type': 'type.googleapis.com/google.rpc.Help', 'links': [{'description': 'Learn more about Gemini API quotas', 'url': 'https://ai.google.dev/gemini-api/docs/rate-limits'}]}, {'@type': 'type.googleapis.com/google.rpc.QuotaFailure', 'violations': [{'quotaMetric': 'generativelanguage.googleapis.com/generate_content_free_tier_input_token_count', 'quotaId': 'GenerateContentInputTokensPerModelPerMinute-FreeTier', 'quotaDimensions': {'location': 'global', 'model': 'gemini-2.0-flash-lite'}}, {'quotaMetric': 'generativelanguage.googleapis.com/generate_content_free_tier_requests', 'quotaId': 'GenerateRequestsPerMinutePerProjectPerModel-FreeTier', 'quotaDimensions': {'model': 'gemini-2.0-flash-lite', 'location': 'global'}}, {'quotaMetric': 'generativelanguage.googleapis.com/generate_content_free_tier_requests', 'quotaId': 'GenerateRequestsPerDayPerProjectPerModel-FreeTier', 'quotaDimensions': {'location': 'global', 'model': 'gemini-2.0-flash-lite'}}]}, {'@type': 'type.googleapis.com/google.rpc.RetryInfo', 'retryDelay': '49s'}]}}. Manual review required.</w:t>
      </w:r>
    </w:p>
    <w:p/>
    <w:p>
      <w:r>
        <w:rPr>
          <w:b/>
        </w:rPr>
        <w:t>Conditions Precedent:</w:t>
      </w:r>
    </w:p>
    <w:p>
      <w:pPr>
        <w:pStyle w:val="ListBullet"/>
      </w:pPr>
      <w:r>
        <w:t>Manual underwriter review mandatory before any disbursement</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08 Mar 2026 13:15</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