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160"/>
        <w:gridCol w:w="5040"/>
        <w:gridCol w:w="2880"/>
      </w:tblGrid>
      <w:tr>
        <w:tc>
          <w:tcPr>
            <w:tcW w:type="dxa" w:w="3324"/>
            <w:shd w:val="clear" w:color="auto" w:fill="1B3A6B"/>
          </w:tcPr>
          <w:p>
            <w:pPr>
              <w:jc w:val="left"/>
            </w:pPr>
            <w:r>
              <w:rPr>
                <w:b/>
                <w:color w:val="C9A84C"/>
                <w:sz w:val="18"/>
              </w:rPr>
              <w:t>VIVRITI CAPITAL</w:t>
            </w:r>
          </w:p>
        </w:tc>
        <w:tc>
          <w:tcPr>
            <w:tcW w:type="dxa" w:w="3324"/>
            <w:shd w:val="clear" w:color="auto" w:fill="1B3A6B"/>
          </w:tcPr>
          <w:p>
            <w:pPr>
              <w:jc w:val="center"/>
            </w:pPr>
            <w:r>
              <w:rPr>
                <w:b/>
                <w:color w:val="FFFFFF"/>
                <w:sz w:val="28"/>
              </w:rPr>
              <w:t>CREDIT APPRAISAL MEMORANDUM</w:t>
              <w:br/>
            </w:r>
            <w:r>
              <w:rPr>
                <w:b/>
                <w:color w:val="C9A84C"/>
                <w:sz w:val="22"/>
              </w:rPr>
              <w:t>Tata motors limited</w:t>
            </w:r>
          </w:p>
        </w:tc>
        <w:tc>
          <w:tcPr>
            <w:tcW w:type="dxa" w:w="3324"/>
            <w:shd w:val="clear" w:color="auto" w:fill="1B3A6B"/>
          </w:tcPr>
          <w:p>
            <w:pPr>
              <w:jc w:val="center"/>
            </w:pPr>
            <w:r>
              <w:rPr>
                <w:b/>
                <w:color w:val="1E8449"/>
                <w:sz w:val="26"/>
              </w:rPr>
              <w:t>APPROVE</w:t>
              <w:br/>
            </w:r>
            <w:r>
              <w:rPr>
                <w:b/>
                <w:color w:val="FFFFFF"/>
                <w:sz w:val="22"/>
              </w:rPr>
              <w:t>Rating: AA</w:t>
            </w:r>
          </w:p>
        </w:tc>
      </w:tr>
    </w:tbl>
    <w:p/>
    <w:p>
      <w:pPr>
        <w:jc w:val="left"/>
      </w:pPr>
      <w:r>
        <w:rPr>
          <w:b/>
          <w:color w:val="1B3A6B"/>
          <w:sz w:val="24"/>
          <w:u w:val="single"/>
        </w:rPr>
        <w:t>EXECUTIVE SUMMARY</w:t>
      </w:r>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3A6B"/>
          </w:tcPr>
          <w:p>
            <w:pPr>
              <w:jc w:val="center"/>
            </w:pPr>
            <w:r/>
            <w:r>
              <w:rPr>
                <w:b/>
                <w:color w:val="FFFFFF"/>
                <w:sz w:val="18"/>
              </w:rPr>
              <w:t>Credit Score</w:t>
            </w:r>
          </w:p>
        </w:tc>
        <w:tc>
          <w:tcPr>
            <w:tcW w:type="dxa" w:w="1994"/>
            <w:shd w:val="clear" w:color="auto" w:fill="1B3A6B"/>
          </w:tcPr>
          <w:p>
            <w:pPr>
              <w:jc w:val="center"/>
            </w:pPr>
            <w:r/>
            <w:r>
              <w:rPr>
                <w:b/>
                <w:color w:val="FFFFFF"/>
                <w:sz w:val="18"/>
              </w:rPr>
              <w:t>Rating</w:t>
            </w:r>
          </w:p>
        </w:tc>
        <w:tc>
          <w:tcPr>
            <w:tcW w:type="dxa" w:w="1994"/>
            <w:shd w:val="clear" w:color="auto" w:fill="1B3A6B"/>
          </w:tcPr>
          <w:p>
            <w:pPr>
              <w:jc w:val="center"/>
            </w:pPr>
            <w:r/>
            <w:r>
              <w:rPr>
                <w:b/>
                <w:color w:val="FFFFFF"/>
                <w:sz w:val="18"/>
              </w:rPr>
              <w:t>Decision</w:t>
            </w:r>
          </w:p>
        </w:tc>
        <w:tc>
          <w:tcPr>
            <w:tcW w:type="dxa" w:w="1994"/>
            <w:shd w:val="clear" w:color="auto" w:fill="1B3A6B"/>
          </w:tcPr>
          <w:p>
            <w:pPr>
              <w:jc w:val="center"/>
            </w:pPr>
            <w:r/>
            <w:r>
              <w:rPr>
                <w:b/>
                <w:color w:val="FFFFFF"/>
                <w:sz w:val="18"/>
              </w:rPr>
              <w:t>Recommended Amount</w:t>
            </w:r>
          </w:p>
        </w:tc>
        <w:tc>
          <w:tcPr>
            <w:tcW w:type="dxa" w:w="1994"/>
            <w:shd w:val="clear" w:color="auto" w:fill="1B3A6B"/>
          </w:tcPr>
          <w:p>
            <w:pPr>
              <w:jc w:val="center"/>
            </w:pPr>
            <w:r/>
            <w:r>
              <w:rPr>
                <w:b/>
                <w:color w:val="FFFFFF"/>
                <w:sz w:val="18"/>
              </w:rPr>
              <w:t>Interest Rate</w:t>
            </w:r>
          </w:p>
        </w:tc>
      </w:tr>
      <w:tr>
        <w:tc>
          <w:tcPr>
            <w:tcW w:type="dxa" w:w="1994"/>
            <w:shd w:val="clear" w:color="auto" w:fill="E8F0FA"/>
          </w:tcPr>
          <w:p>
            <w:pPr>
              <w:jc w:val="center"/>
            </w:pPr>
            <w:r>
              <w:rPr>
                <w:b/>
              </w:rPr>
              <w:t>89.94/100</w:t>
            </w:r>
          </w:p>
        </w:tc>
        <w:tc>
          <w:tcPr>
            <w:tcW w:type="dxa" w:w="1994"/>
            <w:shd w:val="clear" w:color="auto" w:fill="E8F0FA"/>
          </w:tcPr>
          <w:p>
            <w:pPr>
              <w:jc w:val="center"/>
            </w:pPr>
            <w:r>
              <w:rPr>
                <w:b/>
              </w:rPr>
              <w:t>AA</w:t>
            </w:r>
          </w:p>
        </w:tc>
        <w:tc>
          <w:tcPr>
            <w:tcW w:type="dxa" w:w="1994"/>
            <w:shd w:val="clear" w:color="auto" w:fill="E8F0FA"/>
          </w:tcPr>
          <w:p>
            <w:pPr>
              <w:jc w:val="center"/>
            </w:pPr>
            <w:r>
              <w:rPr>
                <w:b/>
              </w:rPr>
              <w:t>APPROVE</w:t>
            </w:r>
          </w:p>
        </w:tc>
        <w:tc>
          <w:tcPr>
            <w:tcW w:type="dxa" w:w="1994"/>
            <w:shd w:val="clear" w:color="auto" w:fill="E8F0FA"/>
          </w:tcPr>
          <w:p>
            <w:pPr>
              <w:jc w:val="center"/>
            </w:pPr>
            <w:r>
              <w:rPr>
                <w:b/>
              </w:rPr>
              <w:t>₹2000 Cr</w:t>
            </w:r>
          </w:p>
        </w:tc>
        <w:tc>
          <w:tcPr>
            <w:tcW w:type="dxa" w:w="1994"/>
            <w:shd w:val="clear" w:color="auto" w:fill="E8F0FA"/>
          </w:tcPr>
          <w:p>
            <w:pPr>
              <w:jc w:val="center"/>
            </w:pPr>
            <w:r>
              <w:rPr>
                <w:b/>
              </w:rPr>
              <w:t>11.5%</w:t>
            </w:r>
          </w:p>
        </w:tc>
      </w:tr>
    </w:tbl>
    <w:p/>
    <w:p>
      <w:r>
        <w:rPr>
          <w:b/>
        </w:rPr>
        <w:t xml:space="preserve">Decision Rationale: </w:t>
      </w:r>
      <w:r>
        <w:t>Tata Motors Limited presents an exceptionally strong credit profile, reflected in outstanding scores across Character (90), Capacity (92), and Capital (95). The company boasts an excellent Interest Coverage Ratio of 11.53x and a negative Net Debt position (-1018.0 Cr), signifying robust liquidity and minimal leverage with a Net Debt-Equity Ratio of -0.01x. While the Conditions score is moderate at 78 due to competitive pressures, the overall financial strength, significant asset base, and strong promoter background mitigate these risks. Given the 'AA' rating and a Blended Risk Score of 89.94, this proposal aligns well with Vivriti Capital's lending criteria.</w:t>
      </w:r>
    </w:p>
    <w:p/>
    <w:p>
      <w:r>
        <w:rPr>
          <w:b/>
        </w:rPr>
        <w:t xml:space="preserve">Date of Appraisal: </w:t>
      </w:r>
      <w:r>
        <w:t>08 March 2026</w:t>
      </w:r>
      <w:r>
        <w:rPr>
          <w:b/>
        </w:rPr>
        <w:t xml:space="preserve">   |   Loan Purpose: </w:t>
      </w:r>
      <w:r>
        <w:t>Working Capital Expansion</w:t>
      </w:r>
    </w:p>
    <w:p>
      <w:pPr>
        <w:jc w:val="left"/>
      </w:pPr>
      <w:r>
        <w:rPr>
          <w:b/>
          <w:color w:val="1B3A6B"/>
          <w:sz w:val="24"/>
          <w:u w:val="single"/>
        </w:rPr>
        <w:t>COMPANY BACKGROUND</w:t>
      </w:r>
    </w:p>
    <w:p/>
    <w:tbl>
      <w:tblPr>
        <w:tblStyle w:val="TableGrid"/>
        <w:tblW w:type="auto" w:w="0"/>
        <w:tblLook w:firstColumn="1" w:firstRow="1" w:lastColumn="0" w:lastRow="0" w:noHBand="0" w:noVBand="1" w:val="04A0"/>
      </w:tblPr>
      <w:tblGrid>
        <w:gridCol w:w="2880"/>
        <w:gridCol w:w="7200"/>
      </w:tblGrid>
      <w:tr>
        <w:tc>
          <w:tcPr>
            <w:tcW w:type="dxa" w:w="4986"/>
            <w:shd w:val="clear" w:color="auto" w:fill="E8F0FA"/>
          </w:tcPr>
          <w:p>
            <w:r>
              <w:rPr>
                <w:b/>
              </w:rPr>
              <w:t>Company Name</w:t>
            </w:r>
          </w:p>
        </w:tc>
        <w:tc>
          <w:tcPr>
            <w:tcW w:type="dxa" w:w="4986"/>
          </w:tcPr>
          <w:p>
            <w:r>
              <w:t>Tata Motors Limited</w:t>
            </w:r>
          </w:p>
        </w:tc>
      </w:tr>
      <w:tr>
        <w:tc>
          <w:tcPr>
            <w:tcW w:type="dxa" w:w="4986"/>
            <w:shd w:val="clear" w:color="auto" w:fill="E8F0FA"/>
          </w:tcPr>
          <w:p>
            <w:r>
              <w:rPr>
                <w:b/>
              </w:rPr>
              <w:t>CIN</w:t>
            </w:r>
          </w:p>
        </w:tc>
        <w:tc>
          <w:tcPr>
            <w:tcW w:type="dxa" w:w="4986"/>
          </w:tcPr>
          <w:p>
            <w:r>
              <w:t>—</w:t>
            </w:r>
          </w:p>
        </w:tc>
      </w:tr>
      <w:tr>
        <w:tc>
          <w:tcPr>
            <w:tcW w:type="dxa" w:w="4986"/>
            <w:shd w:val="clear" w:color="auto" w:fill="E8F0FA"/>
          </w:tcPr>
          <w:p>
            <w:r>
              <w:rPr>
                <w:b/>
              </w:rPr>
              <w:t>Directors</w:t>
            </w:r>
          </w:p>
        </w:tc>
        <w:tc>
          <w:tcPr>
            <w:tcW w:type="dxa" w:w="4986"/>
          </w:tcPr>
          <w:p>
            <w:r>
              <w:t>N Chandrasekaran, Girish Wagh</w:t>
            </w:r>
          </w:p>
        </w:tc>
      </w:tr>
      <w:tr>
        <w:tc>
          <w:tcPr>
            <w:tcW w:type="dxa" w:w="4986"/>
            <w:shd w:val="clear" w:color="auto" w:fill="E8F0FA"/>
          </w:tcPr>
          <w:p>
            <w:r>
              <w:rPr>
                <w:b/>
              </w:rPr>
              <w:t>Promoters</w:t>
            </w:r>
          </w:p>
        </w:tc>
        <w:tc>
          <w:tcPr>
            <w:tcW w:type="dxa" w:w="4986"/>
          </w:tcPr>
          <w:p>
            <w:r>
              <w:t>Not extracted</w:t>
            </w:r>
          </w:p>
        </w:tc>
      </w:tr>
      <w:tr>
        <w:tc>
          <w:tcPr>
            <w:tcW w:type="dxa" w:w="4986"/>
            <w:shd w:val="clear" w:color="auto" w:fill="E8F0FA"/>
          </w:tcPr>
          <w:p>
            <w:r>
              <w:rPr>
                <w:b/>
              </w:rPr>
              <w:t>Extraction Notes</w:t>
            </w:r>
          </w:p>
        </w:tc>
        <w:tc>
          <w:tcPr>
            <w:tcW w:type="dxa" w:w="4986"/>
          </w:tcPr>
          <w:p>
            <w:r>
              <w:t>All extracted figures are consolidated. Revenue growth calculated as ((FY25 Revenue - FY24 Revenue) / FY24 Revenue) * 100 = ((439695 - 434016) / 434016) * 100 = 1.309%. EBITDA margin calculated as (EBITDA / Revenue) * 100 = (57649 / 439695) * 100 = 13.11%. The complete list of directors (beyond the Chairman), depreciation, finance cost, and cash flow figures (operating, capex, free cash flow) could not be extracted as the detailed financial statements (starting page 294) and the full 'Board of Directors' section (page 14) were not provided in the input text.</w:t>
            </w:r>
          </w:p>
        </w:tc>
      </w:tr>
    </w:tbl>
    <w:p/>
    <w:p>
      <w:pPr>
        <w:jc w:val="left"/>
      </w:pPr>
      <w:r>
        <w:rPr>
          <w:b/>
          <w:color w:val="1B3A6B"/>
          <w:sz w:val="24"/>
          <w:u w:val="single"/>
        </w:rPr>
        <w:t>FINANCIAL ANALYSIS</w:t>
      </w:r>
    </w:p>
    <w:p/>
    <w:tbl>
      <w:tblPr>
        <w:tblStyle w:val="TableGrid"/>
        <w:tblW w:type="auto" w:w="0"/>
        <w:tblLook w:firstColumn="1" w:firstRow="1" w:lastColumn="0" w:lastRow="0" w:noHBand="0" w:noVBand="1" w:val="04A0"/>
      </w:tblPr>
      <w:tblGrid>
        <w:gridCol w:w="4986"/>
        <w:gridCol w:w="4986"/>
      </w:tblGrid>
      <w:tr>
        <w:tc>
          <w:tcPr>
            <w:tcW w:type="dxa" w:w="4986"/>
            <w:shd w:val="clear" w:color="auto" w:fill="1B3A6B"/>
          </w:tcPr>
          <w:p>
            <w:r/>
            <w:r>
              <w:rPr>
                <w:b/>
                <w:color w:val="FFFFFF"/>
                <w:sz w:val="20"/>
              </w:rPr>
              <w:t>Metric</w:t>
            </w:r>
          </w:p>
        </w:tc>
        <w:tc>
          <w:tcPr>
            <w:tcW w:type="dxa" w:w="4986"/>
            <w:shd w:val="clear" w:color="auto" w:fill="1B3A6B"/>
          </w:tcPr>
          <w:p>
            <w:r/>
            <w:r>
              <w:rPr>
                <w:b/>
                <w:color w:val="FFFFFF"/>
                <w:sz w:val="20"/>
              </w:rPr>
              <w:t>Value (FY Latest)</w:t>
            </w:r>
          </w:p>
        </w:tc>
      </w:tr>
      <w:tr>
        <w:tc>
          <w:tcPr>
            <w:tcW w:type="dxa" w:w="4986"/>
          </w:tcPr>
          <w:p>
            <w:r>
              <w:t>Revenue</w:t>
            </w:r>
          </w:p>
        </w:tc>
        <w:tc>
          <w:tcPr>
            <w:tcW w:type="dxa" w:w="4986"/>
          </w:tcPr>
          <w:p>
            <w:r>
              <w:t>₹439,695 Cr</w:t>
            </w:r>
          </w:p>
        </w:tc>
      </w:tr>
      <w:tr>
        <w:tc>
          <w:tcPr>
            <w:tcW w:type="dxa" w:w="4986"/>
            <w:shd w:val="clear" w:color="auto" w:fill="F5F5F5"/>
          </w:tcPr>
          <w:p>
            <w:r>
              <w:t>Revenue Growth</w:t>
            </w:r>
          </w:p>
        </w:tc>
        <w:tc>
          <w:tcPr>
            <w:tcW w:type="dxa" w:w="4986"/>
            <w:shd w:val="clear" w:color="auto" w:fill="F5F5F5"/>
          </w:tcPr>
          <w:p>
            <w:r>
              <w:t>1.3%</w:t>
            </w:r>
          </w:p>
        </w:tc>
      </w:tr>
      <w:tr>
        <w:tc>
          <w:tcPr>
            <w:tcW w:type="dxa" w:w="4986"/>
          </w:tcPr>
          <w:p>
            <w:r>
              <w:t>Profit After Tax</w:t>
            </w:r>
          </w:p>
        </w:tc>
        <w:tc>
          <w:tcPr>
            <w:tcW w:type="dxa" w:w="4986"/>
          </w:tcPr>
          <w:p>
            <w:r>
              <w:t>₹28,149 Cr</w:t>
            </w:r>
          </w:p>
        </w:tc>
      </w:tr>
      <w:tr>
        <w:tc>
          <w:tcPr>
            <w:tcW w:type="dxa" w:w="4986"/>
            <w:shd w:val="clear" w:color="auto" w:fill="F5F5F5"/>
          </w:tcPr>
          <w:p>
            <w:r>
              <w:t>EBITDA</w:t>
            </w:r>
          </w:p>
        </w:tc>
        <w:tc>
          <w:tcPr>
            <w:tcW w:type="dxa" w:w="4986"/>
            <w:shd w:val="clear" w:color="auto" w:fill="F5F5F5"/>
          </w:tcPr>
          <w:p>
            <w:r>
              <w:t>₹57,649 Cr</w:t>
            </w:r>
          </w:p>
        </w:tc>
      </w:tr>
      <w:tr>
        <w:tc>
          <w:tcPr>
            <w:tcW w:type="dxa" w:w="4986"/>
          </w:tcPr>
          <w:p>
            <w:r>
              <w:t>EBITDA Margin</w:t>
            </w:r>
          </w:p>
        </w:tc>
        <w:tc>
          <w:tcPr>
            <w:tcW w:type="dxa" w:w="4986"/>
          </w:tcPr>
          <w:p>
            <w:r>
              <w:t>13.1%</w:t>
            </w:r>
          </w:p>
        </w:tc>
      </w:tr>
      <w:tr>
        <w:tc>
          <w:tcPr>
            <w:tcW w:type="dxa" w:w="4986"/>
            <w:shd w:val="clear" w:color="auto" w:fill="F5F5F5"/>
          </w:tcPr>
          <w:p>
            <w:r>
              <w:t>Total Assets</w:t>
            </w:r>
          </w:p>
        </w:tc>
        <w:tc>
          <w:tcPr>
            <w:tcW w:type="dxa" w:w="4986"/>
            <w:shd w:val="clear" w:color="auto" w:fill="F5F5F5"/>
          </w:tcPr>
          <w:p>
            <w:r>
              <w:t>N/A</w:t>
            </w:r>
          </w:p>
        </w:tc>
      </w:tr>
      <w:tr>
        <w:tc>
          <w:tcPr>
            <w:tcW w:type="dxa" w:w="4986"/>
          </w:tcPr>
          <w:p>
            <w:r>
              <w:t>Net Worth</w:t>
            </w:r>
          </w:p>
        </w:tc>
        <w:tc>
          <w:tcPr>
            <w:tcW w:type="dxa" w:w="4986"/>
          </w:tcPr>
          <w:p>
            <w:r>
              <w:t>₹116,144 Cr</w:t>
            </w:r>
          </w:p>
        </w:tc>
      </w:tr>
      <w:tr>
        <w:tc>
          <w:tcPr>
            <w:tcW w:type="dxa" w:w="4986"/>
            <w:shd w:val="clear" w:color="auto" w:fill="F5F5F5"/>
          </w:tcPr>
          <w:p>
            <w:r>
              <w:t>Total Borrowings</w:t>
            </w:r>
          </w:p>
        </w:tc>
        <w:tc>
          <w:tcPr>
            <w:tcW w:type="dxa" w:w="4986"/>
            <w:shd w:val="clear" w:color="auto" w:fill="F5F5F5"/>
          </w:tcPr>
          <w:p>
            <w:r>
              <w:t>₹69,686 Cr</w:t>
            </w:r>
          </w:p>
        </w:tc>
      </w:tr>
      <w:tr>
        <w:tc>
          <w:tcPr>
            <w:tcW w:type="dxa" w:w="4986"/>
          </w:tcPr>
          <w:p>
            <w:r>
              <w:t>Debt / Equity</w:t>
            </w:r>
          </w:p>
        </w:tc>
        <w:tc>
          <w:tcPr>
            <w:tcW w:type="dxa" w:w="4986"/>
          </w:tcPr>
          <w:p>
            <w:r>
              <w:t>0.60x</w:t>
            </w:r>
          </w:p>
        </w:tc>
      </w:tr>
      <w:tr>
        <w:tc>
          <w:tcPr>
            <w:tcW w:type="dxa" w:w="4986"/>
            <w:shd w:val="clear" w:color="auto" w:fill="F5F5F5"/>
          </w:tcPr>
          <w:p>
            <w:r>
              <w:t>Current Ratio</w:t>
            </w:r>
          </w:p>
        </w:tc>
        <w:tc>
          <w:tcPr>
            <w:tcW w:type="dxa" w:w="4986"/>
            <w:shd w:val="clear" w:color="auto" w:fill="F5F5F5"/>
          </w:tcPr>
          <w:p>
            <w:r>
              <w:t>N/A</w:t>
            </w:r>
          </w:p>
        </w:tc>
      </w:tr>
      <w:tr>
        <w:tc>
          <w:tcPr>
            <w:tcW w:type="dxa" w:w="4986"/>
          </w:tcPr>
          <w:p>
            <w:r>
              <w:t>Interest Coverage</w:t>
            </w:r>
          </w:p>
        </w:tc>
        <w:tc>
          <w:tcPr>
            <w:tcW w:type="dxa" w:w="4986"/>
          </w:tcPr>
          <w:p>
            <w:r>
              <w:t>11.53x</w:t>
            </w:r>
          </w:p>
        </w:tc>
      </w:tr>
      <w:tr>
        <w:tc>
          <w:tcPr>
            <w:tcW w:type="dxa" w:w="4986"/>
            <w:shd w:val="clear" w:color="auto" w:fill="F5F5F5"/>
          </w:tcPr>
          <w:p>
            <w:r>
              <w:t>Return on Equity</w:t>
            </w:r>
          </w:p>
        </w:tc>
        <w:tc>
          <w:tcPr>
            <w:tcW w:type="dxa" w:w="4986"/>
            <w:shd w:val="clear" w:color="auto" w:fill="F5F5F5"/>
          </w:tcPr>
          <w:p>
            <w:r>
              <w:t>28.0%</w:t>
            </w:r>
          </w:p>
        </w:tc>
      </w:tr>
    </w:tbl>
    <w:p/>
    <w:p>
      <w:pPr>
        <w:jc w:val="left"/>
      </w:pPr>
      <w:r>
        <w:rPr>
          <w:b/>
          <w:color w:val="1B3A6B"/>
          <w:sz w:val="24"/>
          <w:u w:val="single"/>
        </w:rPr>
        <w:t>FIVE Cs OF CREDIT ASSESSMENT</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A6B"/>
          </w:tcPr>
          <w:p>
            <w:r/>
            <w:r>
              <w:rPr>
                <w:b/>
                <w:color w:val="FFFFFF"/>
                <w:sz w:val="20"/>
              </w:rPr>
              <w:t>C</w:t>
            </w:r>
          </w:p>
        </w:tc>
        <w:tc>
          <w:tcPr>
            <w:tcW w:type="dxa" w:w="2493"/>
            <w:shd w:val="clear" w:color="auto" w:fill="1B3A6B"/>
          </w:tcPr>
          <w:p>
            <w:r/>
            <w:r>
              <w:rPr>
                <w:b/>
                <w:color w:val="FFFFFF"/>
                <w:sz w:val="20"/>
              </w:rPr>
              <w:t>Score</w:t>
            </w:r>
          </w:p>
        </w:tc>
        <w:tc>
          <w:tcPr>
            <w:tcW w:type="dxa" w:w="2493"/>
            <w:shd w:val="clear" w:color="auto" w:fill="1B3A6B"/>
          </w:tcPr>
          <w:p>
            <w:r/>
            <w:r>
              <w:rPr>
                <w:b/>
                <w:color w:val="FFFFFF"/>
                <w:sz w:val="20"/>
              </w:rPr>
              <w:t>Weight</w:t>
            </w:r>
          </w:p>
        </w:tc>
        <w:tc>
          <w:tcPr>
            <w:tcW w:type="dxa" w:w="2493"/>
            <w:shd w:val="clear" w:color="auto" w:fill="1B3A6B"/>
          </w:tcPr>
          <w:p>
            <w:r/>
            <w:r>
              <w:rPr>
                <w:b/>
                <w:color w:val="FFFFFF"/>
                <w:sz w:val="20"/>
              </w:rPr>
              <w:t>Rationale</w:t>
            </w:r>
          </w:p>
        </w:tc>
      </w:tr>
      <w:tr>
        <w:tc>
          <w:tcPr>
            <w:tcW w:type="dxa" w:w="2493"/>
          </w:tcPr>
          <w:p>
            <w:r>
              <w:rPr>
                <w:b/>
              </w:rPr>
              <w:t>👤 Character</w:t>
            </w:r>
          </w:p>
        </w:tc>
        <w:tc>
          <w:tcPr>
            <w:tcW w:type="dxa" w:w="2493"/>
          </w:tcPr>
          <w:p>
            <w:r>
              <w:t>90</w:t>
            </w:r>
          </w:p>
        </w:tc>
        <w:tc>
          <w:tcPr>
            <w:tcW w:type="dxa" w:w="2493"/>
          </w:tcPr>
          <w:p>
            <w:r>
              <w:t>25%</w:t>
            </w:r>
          </w:p>
        </w:tc>
        <w:tc>
          <w:tcPr>
            <w:tcW w:type="dxa" w:w="2493"/>
          </w:tcPr>
          <w:p>
            <w:r>
              <w:t>The promoter background indicates a 'Good' reputation, with no 'criminal_cases', 'wilful_defaulter' status, or 'sfio_investigation' mentioned, leading to a 'Low' risk level. Furthermore, there are no 'red_flags' such as audit qualifications, going concern issues, NPA mentions, or related party concerns. The Chairman N Chandrasekaran is a highly respected business leader.</w:t>
            </w:r>
          </w:p>
        </w:tc>
      </w:tr>
      <w:tr>
        <w:tc>
          <w:tcPr>
            <w:tcW w:type="dxa" w:w="2493"/>
            <w:shd w:val="clear" w:color="auto" w:fill="E8F0FA"/>
          </w:tcPr>
          <w:p>
            <w:r>
              <w:rPr>
                <w:b/>
              </w:rPr>
              <w:t>💰 Capacity</w:t>
            </w:r>
          </w:p>
        </w:tc>
        <w:tc>
          <w:tcPr>
            <w:tcW w:type="dxa" w:w="2493"/>
            <w:shd w:val="clear" w:color="auto" w:fill="E8F0FA"/>
          </w:tcPr>
          <w:p>
            <w:r>
              <w:t>92</w:t>
            </w:r>
          </w:p>
        </w:tc>
        <w:tc>
          <w:tcPr>
            <w:tcW w:type="dxa" w:w="2493"/>
            <w:shd w:val="clear" w:color="auto" w:fill="E8F0FA"/>
          </w:tcPr>
          <w:p>
            <w:r>
              <w:t>30%</w:t>
            </w:r>
          </w:p>
        </w:tc>
        <w:tc>
          <w:tcPr>
            <w:tcW w:type="dxa" w:w="2493"/>
            <w:shd w:val="clear" w:color="auto" w:fill="E8F0FA"/>
          </w:tcPr>
          <w:p>
            <w:r>
              <w:t>The Interest Coverage Ratio (ICR) is excellent at 11.53x, well above the 10x threshold. The EBITDA margin is healthy at 13.11%. The company exhibits strong liquidity with 'net_debt_crores' of -1018.0, indicating more cash than debt. While 'revenue_growth_percent' is 1.31% and Q1 FY26 revenue showed a slight decrease, the robust debt servicing capacity significantly outweighs these points.</w:t>
            </w:r>
          </w:p>
        </w:tc>
      </w:tr>
      <w:tr>
        <w:tc>
          <w:tcPr>
            <w:tcW w:type="dxa" w:w="2493"/>
          </w:tcPr>
          <w:p>
            <w:r>
              <w:rPr>
                <w:b/>
              </w:rPr>
              <w:t>🏛️ Capital</w:t>
            </w:r>
          </w:p>
        </w:tc>
        <w:tc>
          <w:tcPr>
            <w:tcW w:type="dxa" w:w="2493"/>
          </w:tcPr>
          <w:p>
            <w:r>
              <w:t>95</w:t>
            </w:r>
          </w:p>
        </w:tc>
        <w:tc>
          <w:tcPr>
            <w:tcW w:type="dxa" w:w="2493"/>
          </w:tcPr>
          <w:p>
            <w:r>
              <w:t>20%</w:t>
            </w:r>
          </w:p>
        </w:tc>
        <w:tc>
          <w:tcPr>
            <w:tcW w:type="dxa" w:w="2493"/>
          </w:tcPr>
          <w:p>
            <w:r>
              <w:t>The Debt-Equity Ratio is very strong at 0.6x, falling within the low leverage range. The Net Debt-Equity Ratio is exceptionally low at -0.01x, signifying negative net debt and a highly robust capital structure. The company also demonstrates strong profitability with a Return on Equity (ROE) of 28.0% and a Return on Capital Employed (ROCE) of 17.6% on a substantial 'net_worth_crores' of 116144.</w:t>
            </w:r>
          </w:p>
        </w:tc>
      </w:tr>
      <w:tr>
        <w:tc>
          <w:tcPr>
            <w:tcW w:type="dxa" w:w="2493"/>
            <w:shd w:val="clear" w:color="auto" w:fill="E8F0FA"/>
          </w:tcPr>
          <w:p>
            <w:r>
              <w:rPr>
                <w:b/>
              </w:rPr>
              <w:t>🔒 Collateral</w:t>
            </w:r>
          </w:p>
        </w:tc>
        <w:tc>
          <w:tcPr>
            <w:tcW w:type="dxa" w:w="2493"/>
            <w:shd w:val="clear" w:color="auto" w:fill="E8F0FA"/>
          </w:tcPr>
          <w:p>
            <w:r>
              <w:t>85</w:t>
            </w:r>
          </w:p>
        </w:tc>
        <w:tc>
          <w:tcPr>
            <w:tcW w:type="dxa" w:w="2493"/>
            <w:shd w:val="clear" w:color="auto" w:fill="E8F0FA"/>
          </w:tcPr>
          <w:p>
            <w:r>
              <w:t>15%</w:t>
            </w:r>
          </w:p>
        </w:tc>
        <w:tc>
          <w:tcPr>
            <w:tcW w:type="dxa" w:w="2493"/>
            <w:shd w:val="clear" w:color="auto" w:fill="E8F0FA"/>
          </w:tcPr>
          <w:p>
            <w:r>
              <w:t>Given 'revenue_crores' of 439695, Tata Motors Limited is a vast manufacturing company. This scale inherently implies a very significant asset base (e.g., manufacturing plants, machinery, land, intellectual property, inventory) that can serve as strong collateral, even without specific fixed asset values provided.</w:t>
            </w:r>
          </w:p>
        </w:tc>
      </w:tr>
      <w:tr>
        <w:tc>
          <w:tcPr>
            <w:tcW w:type="dxa" w:w="2493"/>
          </w:tcPr>
          <w:p>
            <w:r>
              <w:rPr>
                <w:b/>
              </w:rPr>
              <w:t>🌍 Conditions</w:t>
            </w:r>
          </w:p>
        </w:tc>
        <w:tc>
          <w:tcPr>
            <w:tcW w:type="dxa" w:w="2493"/>
          </w:tcPr>
          <w:p>
            <w:r>
              <w:t>78</w:t>
            </w:r>
          </w:p>
        </w:tc>
        <w:tc>
          <w:tcPr>
            <w:tcW w:type="dxa" w:w="2493"/>
          </w:tcPr>
          <w:p>
            <w:r>
              <w:t>10%</w:t>
            </w:r>
          </w:p>
        </w:tc>
        <w:tc>
          <w:tcPr>
            <w:tcW w:type="dxa" w:w="2493"/>
          </w:tcPr>
          <w:p>
            <w:r>
              <w:t>The 'General auto demand appears steady', indicating a stable operating environment. Tata Motors is actively launching new products, including 17 next-generation trucks and electric vehicle ranges, and the 2026 Punch facelift, demonstrating proactive adaptation to market trends. Although 'Consolidated Profit Declined Sharply' and Q1 FY26 revenue showed a slight decrease, the overall sector conditions for a leading player in the Indian automotive market remain broadly favorable.</w:t>
            </w:r>
          </w:p>
        </w:tc>
      </w:tr>
    </w:tbl>
    <w:p/>
    <w:p>
      <w:r>
        <w:rPr>
          <w:b/>
        </w:rPr>
        <w:t xml:space="preserve">Weighted Score: </w:t>
      </w:r>
      <w:r>
        <w:t>89.65/100</w:t>
      </w:r>
      <w:r>
        <w:t xml:space="preserve">   |   </w:t>
      </w:r>
      <w:r>
        <w:rPr>
          <w:b/>
        </w:rPr>
        <w:t xml:space="preserve">Penalty Applied: </w:t>
      </w:r>
      <w:r>
        <w:t>0.0 points</w:t>
      </w:r>
      <w:r>
        <w:t xml:space="preserve">   |   </w:t>
      </w:r>
      <w:r>
        <w:rPr>
          <w:b/>
        </w:rPr>
        <w:t xml:space="preserve">Final Score: </w:t>
      </w:r>
      <w:r>
        <w:t>89.65/100</w:t>
      </w:r>
    </w:p>
    <w:p/>
    <w:p>
      <w:pPr>
        <w:jc w:val="left"/>
      </w:pPr>
      <w:r>
        <w:rPr>
          <w:b/>
          <w:color w:val="1B3A6B"/>
          <w:sz w:val="24"/>
          <w:u w:val="single"/>
        </w:rPr>
        <w:t>SECONDARY RESEARCH INTELLIGENCE</w:t>
      </w:r>
    </w:p>
    <w:p/>
    <w:p>
      <w:r>
        <w:rPr>
          <w:b/>
        </w:rPr>
        <w:t xml:space="preserve">Company News: </w:t>
      </w:r>
      <w:r>
        <w:t>Tata Motors has shown strong operational activity with robust passenger vehicle sales and significant new product launches across its truck and passenger vehicle segments, including a focus on electric vehicles. However, a sharp decline in consolidated profit and a slight year-on-year decrease in Q1 FY26 revenue present a mixed financial picture. Executive changes have also been noted.</w:t>
      </w:r>
    </w:p>
    <w:p/>
    <w:p>
      <w:r>
        <w:rPr>
          <w:b/>
        </w:rPr>
        <w:t xml:space="preserve">Promoter Background: </w:t>
      </w:r>
      <w:r>
        <w:t>The current Chairman (Non-Executive) is N Chandrasekaran. No adverse information such as criminal cases, wilful defaulter status, or SFIO investigations concerning the company's promoters or board members was found in the provided intelligence.</w:t>
      </w:r>
    </w:p>
    <w:p/>
    <w:p>
      <w:r>
        <w:rPr>
          <w:b/>
        </w:rPr>
        <w:t xml:space="preserve">Sector Headwinds: </w:t>
      </w:r>
      <w:r>
        <w:t>The manufacturing (automotive) sector demonstrates stable demand, supported by positive government initiatives like increased capital expenditure. Tata Motors is actively participating in this growth through new product launches, especially in the electric vehicle segment. While overall sector health appears stable, the sharp decline in Tata Motors' consolidated profit could indicate company-specific challenges or competitive pressures within the sector, warranting careful monitoring. No specific RBI sector restrictions or regulatory risks for the automotive sector were identified.</w:t>
      </w:r>
    </w:p>
    <w:p/>
    <w:p>
      <w:r>
        <w:rPr>
          <w:b/>
        </w:rPr>
        <w:t xml:space="preserve">Litigation: </w:t>
      </w:r>
      <w:r>
        <w:t>A generic NCLT document link was provided, but no specific details regarding cases involving Tata Motors Limited, their nature (e.g., insolvency/IBC proceedings, demerger/restructuring schemes, or subsidiary debt recovery), or their implications were available. Therefore, no significant legal disputes or IBC proceedings against the company could be identified from the provided intelligence.</w:t>
      </w:r>
    </w:p>
    <w:p/>
    <w:p>
      <w:r>
        <w:rPr>
          <w:b/>
        </w:rPr>
        <w:t xml:space="preserve">Regulatory: </w:t>
      </w:r>
      <w:r>
        <w:t>No adverse regulatory actions from SEBI (such as enforcement orders, settlement orders, or insider trading disclosures) or RBI (such as license issues, regulatory directions, or penalties) were identified for Tata Motors Limited based on the provided intelligence. No MCA defaults were noted.</w:t>
      </w:r>
    </w:p>
    <w:p/>
    <w:p>
      <w:r>
        <w:rPr>
          <w:b/>
        </w:rPr>
        <w:t xml:space="preserve">MCA Signals: </w:t>
      </w:r>
      <w:r>
        <w:t>Tata Motors Limited is an active company with its last AGM on June 20, 2025, and balance sheet dated March 31, 2025, indicating timely MCA filings. There is no information suggesting director disqualification, filing defaults, or pending charge satisfactions. The company's status in the UK is listed as 'Converted / Closed' for its overseas company registration, which is not indicative of default for the Indian entity.</w:t>
      </w:r>
    </w:p>
    <w:p/>
    <w:p>
      <w:r>
        <w:rPr>
          <w:b/>
        </w:rPr>
        <w:t xml:space="preserve">Overall Research Rating: </w:t>
      </w:r>
      <w:r>
        <w:t>A — Strong Proceed</w:t>
      </w:r>
    </w:p>
    <w:p>
      <w:r>
        <w:rPr>
          <w:b/>
        </w:rPr>
        <w:t xml:space="preserve">Top Risks Identified: </w:t>
      </w:r>
      <w:r>
        <w:t>Sharp decline in consolidated profit.; Potential for intense competition and market volatility in the automotive sector.</w:t>
      </w:r>
    </w:p>
    <w:p/>
    <w:p>
      <w:pPr>
        <w:jc w:val="left"/>
      </w:pPr>
      <w:r>
        <w:rPr>
          <w:b/>
          <w:color w:val="1B3A6B"/>
          <w:sz w:val="24"/>
          <w:u w:val="single"/>
        </w:rPr>
        <w:t>CROSS-DOCUMENT FRAUD INTELLIGENCE</w:t>
      </w:r>
    </w:p>
    <w:p/>
    <w:p>
      <w:r>
        <w:t>Single document uploaded — cross-reference skipped. Upload GST filing or bank statement alongside annual report for fraud detection.</w:t>
      </w:r>
    </w:p>
    <w:p/>
    <w:p>
      <w:pPr>
        <w:jc w:val="left"/>
      </w:pPr>
      <w:r>
        <w:rPr>
          <w:b/>
          <w:color w:val="1B3A6B"/>
          <w:sz w:val="24"/>
          <w:u w:val="single"/>
        </w:rPr>
        <w:t>FINAL RECOMMENDATION</w:t>
      </w:r>
    </w:p>
    <w:p/>
    <w:tbl>
      <w:tblPr>
        <w:tblW w:type="auto" w:w="0"/>
        <w:tblLook w:firstColumn="1" w:firstRow="1" w:lastColumn="0" w:lastRow="0" w:noHBand="0" w:noVBand="1" w:val="04A0"/>
      </w:tblPr>
      <w:tblGrid>
        <w:gridCol w:w="9972"/>
      </w:tblGrid>
      <w:tr>
        <w:tc>
          <w:tcPr>
            <w:tcW w:type="dxa" w:w="9972"/>
            <w:shd w:val="clear" w:color="auto" w:fill="1E8449"/>
          </w:tcPr>
          <w:p>
            <w:pPr>
              <w:jc w:val="center"/>
            </w:pPr>
            <w:r>
              <w:rPr>
                <w:b/>
                <w:color w:val="FFFFFF"/>
                <w:sz w:val="28"/>
              </w:rPr>
              <w:t>RECOMMENDATION: APPROVE</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E8F0FA"/>
          </w:tcPr>
          <w:p>
            <w:r>
              <w:rPr>
                <w:b/>
              </w:rPr>
              <w:t>Decision</w:t>
            </w:r>
          </w:p>
        </w:tc>
        <w:tc>
          <w:tcPr>
            <w:tcW w:type="dxa" w:w="4986"/>
          </w:tcPr>
          <w:p>
            <w:r>
              <w:t>APPROVE</w:t>
            </w:r>
          </w:p>
        </w:tc>
      </w:tr>
      <w:tr>
        <w:tc>
          <w:tcPr>
            <w:tcW w:type="dxa" w:w="4986"/>
            <w:shd w:val="clear" w:color="auto" w:fill="E8F0FA"/>
          </w:tcPr>
          <w:p>
            <w:r>
              <w:rPr>
                <w:b/>
              </w:rPr>
              <w:t>Credit Rating</w:t>
            </w:r>
          </w:p>
        </w:tc>
        <w:tc>
          <w:tcPr>
            <w:tcW w:type="dxa" w:w="4986"/>
          </w:tcPr>
          <w:p>
            <w:r>
              <w:t>AA</w:t>
            </w:r>
          </w:p>
        </w:tc>
      </w:tr>
      <w:tr>
        <w:tc>
          <w:tcPr>
            <w:tcW w:type="dxa" w:w="4986"/>
            <w:shd w:val="clear" w:color="auto" w:fill="E8F0FA"/>
          </w:tcPr>
          <w:p>
            <w:r>
              <w:rPr>
                <w:b/>
              </w:rPr>
              <w:t>Credit Score</w:t>
            </w:r>
          </w:p>
        </w:tc>
        <w:tc>
          <w:tcPr>
            <w:tcW w:type="dxa" w:w="4986"/>
          </w:tcPr>
          <w:p>
            <w:r>
              <w:t>89.94/100</w:t>
            </w:r>
          </w:p>
        </w:tc>
      </w:tr>
      <w:tr>
        <w:tc>
          <w:tcPr>
            <w:tcW w:type="dxa" w:w="4986"/>
            <w:shd w:val="clear" w:color="auto" w:fill="E8F0FA"/>
          </w:tcPr>
          <w:p>
            <w:r>
              <w:rPr>
                <w:b/>
              </w:rPr>
              <w:t>Recommended Amount</w:t>
            </w:r>
          </w:p>
        </w:tc>
        <w:tc>
          <w:tcPr>
            <w:tcW w:type="dxa" w:w="4986"/>
          </w:tcPr>
          <w:p>
            <w:r>
              <w:t>₹2000 Cr</w:t>
            </w:r>
          </w:p>
        </w:tc>
      </w:tr>
      <w:tr>
        <w:tc>
          <w:tcPr>
            <w:tcW w:type="dxa" w:w="4986"/>
            <w:shd w:val="clear" w:color="auto" w:fill="E8F0FA"/>
          </w:tcPr>
          <w:p>
            <w:r>
              <w:rPr>
                <w:b/>
              </w:rPr>
              <w:t>Interest Rate</w:t>
            </w:r>
          </w:p>
        </w:tc>
        <w:tc>
          <w:tcPr>
            <w:tcW w:type="dxa" w:w="4986"/>
          </w:tcPr>
          <w:p>
            <w:r>
              <w:t>11.5%</w:t>
            </w:r>
          </w:p>
        </w:tc>
      </w:tr>
      <w:tr>
        <w:tc>
          <w:tcPr>
            <w:tcW w:type="dxa" w:w="4986"/>
            <w:shd w:val="clear" w:color="auto" w:fill="E8F0FA"/>
          </w:tcPr>
          <w:p>
            <w:r>
              <w:rPr>
                <w:b/>
              </w:rPr>
              <w:t>Tenure</w:t>
            </w:r>
          </w:p>
        </w:tc>
        <w:tc>
          <w:tcPr>
            <w:tcW w:type="dxa" w:w="4986"/>
          </w:tcPr>
          <w:p>
            <w:r>
              <w:t>36 months</w:t>
            </w:r>
          </w:p>
        </w:tc>
      </w:tr>
    </w:tbl>
    <w:p/>
    <w:p>
      <w:r>
        <w:rPr>
          <w:b/>
        </w:rPr>
        <w:t xml:space="preserve">Rationale: </w:t>
      </w:r>
      <w:r>
        <w:t>Tata Motors Limited presents an exceptionally strong credit profile, reflected in outstanding scores across Character (90), Capacity (92), and Capital (95). The company boasts an excellent Interest Coverage Ratio of 11.53x and a negative Net Debt position (-1018.0 Cr), signifying robust liquidity and minimal leverage with a Net Debt-Equity Ratio of -0.01x. While the Conditions score is moderate at 78 due to competitive pressures, the overall financial strength, significant asset base, and strong promoter background mitigate these risks. Given the 'AA' rating and a Blended Risk Score of 89.94, this proposal aligns well with Vivriti Capital's lending criteria.</w:t>
      </w:r>
    </w:p>
    <w:p/>
    <w:p>
      <w:r>
        <w:rPr>
          <w:i/>
          <w:sz w:val="16"/>
        </w:rPr>
        <w:t>Disclaimer: This Credit Appraisal Memo has been prepared using AI-assisted analysis by Intelli-Credit (DOMINIX). All recommendations are subject to review and approval by authorized credit officers as per Vivriti Capital's credit policy.</w:t>
      </w:r>
    </w:p>
    <w:p/>
    <w:p>
      <w:pPr>
        <w:jc w:val="center"/>
      </w:pPr>
      <w:r>
        <w:rPr>
          <w:color w:val="1B3A6B"/>
          <w:sz w:val="16"/>
        </w:rPr>
        <w:t>Intelli-Credit by DOMINIX  ·  Vivriti Capital Hackathon 2026  ·  Generated: 08 Mar 2026 13:24</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