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Nova Retailmart Private Limited</w:t>
            </w:r>
          </w:p>
        </w:tc>
        <w:tc>
          <w:tcPr>
            <w:tcW w:type="dxa" w:w="3324"/>
            <w:shd w:val="clear" w:color="auto" w:fill="1B3A6B"/>
          </w:tcPr>
          <w:p>
            <w:pPr>
              <w:jc w:val="center"/>
            </w:pPr>
            <w:r>
              <w:rPr>
                <w:b/>
                <w:color w:val="C0392B"/>
                <w:sz w:val="26"/>
              </w:rPr>
              <w:t>REJECT</w:t>
              <w:br/>
            </w:r>
            <w:r>
              <w:rPr>
                <w:b/>
                <w:color w:val="FFFFFF"/>
                <w:sz w:val="22"/>
              </w:rPr>
              <w:t>Rating: 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57.1/100</w:t>
            </w:r>
          </w:p>
        </w:tc>
        <w:tc>
          <w:tcPr>
            <w:tcW w:type="dxa" w:w="1994"/>
            <w:shd w:val="clear" w:color="auto" w:fill="E8F0FA"/>
          </w:tcPr>
          <w:p>
            <w:pPr>
              <w:jc w:val="center"/>
            </w:pPr>
            <w:r>
              <w:rPr>
                <w:b/>
              </w:rPr>
              <w:t>B</w:t>
            </w:r>
          </w:p>
        </w:tc>
        <w:tc>
          <w:tcPr>
            <w:tcW w:type="dxa" w:w="1994"/>
            <w:shd w:val="clear" w:color="auto" w:fill="E8F0FA"/>
          </w:tcPr>
          <w:p>
            <w:pPr>
              <w:jc w:val="center"/>
            </w:pPr>
            <w:r>
              <w:rPr>
                <w:b/>
              </w:rPr>
              <w:t>REJECT</w:t>
            </w:r>
          </w:p>
        </w:tc>
        <w:tc>
          <w:tcPr>
            <w:tcW w:type="dxa" w:w="1994"/>
            <w:shd w:val="clear" w:color="auto" w:fill="E8F0FA"/>
          </w:tcPr>
          <w:p>
            <w:pPr>
              <w:jc w:val="center"/>
            </w:pPr>
            <w:r>
              <w:rPr>
                <w:b/>
              </w:rPr>
              <w:t>₹0 Cr</w:t>
            </w:r>
          </w:p>
        </w:tc>
        <w:tc>
          <w:tcPr>
            <w:tcW w:type="dxa" w:w="1994"/>
            <w:shd w:val="clear" w:color="auto" w:fill="E8F0FA"/>
          </w:tcPr>
          <w:p>
            <w:pPr>
              <w:jc w:val="center"/>
            </w:pPr>
            <w:r>
              <w:rPr>
                <w:b/>
              </w:rPr>
              <w:t>N/A</w:t>
            </w:r>
          </w:p>
        </w:tc>
      </w:tr>
    </w:tbl>
    <w:p/>
    <w:p>
      <w:r>
        <w:rPr>
          <w:b/>
        </w:rPr>
        <w:t xml:space="preserve">Decision Rationale: </w:t>
      </w:r>
      <w:r>
        <w:t>Blended score 57.1/100 with rating B. Five-Cs weighted score after penalties: 38.2. Entity type assessed as corporate. Recommendation is REJECT based on calibrated thresholds and policy floors.</w:t>
      </w:r>
    </w:p>
    <w:p/>
    <w:p>
      <w:r>
        <w:rPr>
          <w:b/>
        </w:rPr>
        <w:t xml:space="preserve">Date of Appraisal: </w:t>
      </w:r>
      <w:r>
        <w:t>12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Strong Top-line Growth: Consolidated revenue from operations increased by a significant 17.4% to ₹ 424.7 crore for the nine months ended December 2025, demonstrating market demand and operational expansion.</w:t>
            </w:r>
          </w:p>
          <w:p>
            <w:pPr>
              <w:pStyle w:val="ListBullet"/>
              <w:ind w:left="288"/>
            </w:pPr>
            <w:r>
              <w:t>• Positive Business Mix Evolution: Share of revenue from certain strategic businesses increased from 48% to 54% in 9M FY2026, indicating successful strategic alignment and potential for higher-value segments.</w:t>
            </w:r>
          </w:p>
          <w:p>
            <w:pPr>
              <w:pStyle w:val="ListBullet"/>
              <w:ind w:left="288"/>
            </w:pPr>
            <w:r>
              <w:t>• Clean Regulatory &amp; Legal Record (MCA): Low MCA risk with no director disqualifications, filing defaults, charge satisfaction issues, or ROC notices reported.</w:t>
            </w:r>
          </w:p>
          <w:p>
            <w:pPr>
              <w:pStyle w:val="ListBullet"/>
              <w:ind w:left="288"/>
            </w:pPr>
            <w:r>
              <w:t>• Stable Operating Environment: The company operates within a non-adverse business environment, as suggested by its moderate 'Conditions' score of 60.</w:t>
            </w:r>
          </w:p>
        </w:tc>
        <w:tc>
          <w:tcPr>
            <w:tcW w:type="dxa" w:w="4986"/>
            <w:shd w:val="clear" w:color="auto" w:fill="F5F5F5"/>
          </w:tcPr>
          <w:p>
            <w:r>
              <w:rPr>
                <w:b/>
                <w:color w:val="C0392B"/>
              </w:rPr>
              <w:t xml:space="preserve"> WEAKNESSES</w:t>
            </w:r>
          </w:p>
          <w:p>
            <w:pPr>
              <w:pStyle w:val="ListBullet"/>
              <w:ind w:left="288"/>
            </w:pPr>
            <w:r>
              <w:t>• Severe Lack of Management Transparency &amp; High Character Risk: Management's evasiveness regarding revenue projections, refusal to provide detailed bank statements, and avoidance of related-party transaction questions resulted in a very low character score of 50.</w:t>
            </w:r>
          </w:p>
          <w:p>
            <w:pPr>
              <w:pStyle w:val="ListBullet"/>
              <w:ind w:left="288"/>
            </w:pPr>
            <w:r>
              <w:t>• Critical Information Gaps in Financials: Complete absence of key financial ratios (ICR, DSCR, EBITDA margin), leverage data (Debt/Equity, Net Worth), and specific collateral details, critically hindering comprehensive financial assessment and resulting in low capacity (40), capital (40), and collateral (38) scores.</w:t>
            </w:r>
          </w:p>
          <w:p>
            <w:pPr>
              <w:pStyle w:val="ListBullet"/>
              <w:ind w:left="288"/>
            </w:pPr>
            <w:r>
              <w:t>• Very Poor Overall Credit Rating: The company has a final blended score of 38.2/100 and a 'CCC' rating, indicating a high risk of default and severely constrained access to credit.</w:t>
            </w:r>
          </w:p>
          <w:p>
            <w:pPr>
              <w:pStyle w:val="ListBullet"/>
              <w:ind w:left="288"/>
            </w:pPr>
            <w:r>
              <w:t>• Limited Promoter Information: A lack of specific information regarding promoter background or reputation was available, contributing to a 'Moderate' reputation and 'Medium' promoter risk level in the assessment.</w:t>
            </w:r>
          </w:p>
        </w:tc>
      </w:tr>
      <w:tr>
        <w:tc>
          <w:tcPr>
            <w:tcW w:type="dxa" w:w="4986"/>
            <w:shd w:val="clear" w:color="auto" w:fill="F5F5F5"/>
          </w:tcPr>
          <w:p>
            <w:r>
              <w:rPr>
                <w:b/>
                <w:color w:val="2471A3"/>
              </w:rPr>
              <w:t xml:space="preserve"> OPPORTUNITIES</w:t>
            </w:r>
          </w:p>
          <w:p>
            <w:pPr>
              <w:pStyle w:val="ListBullet"/>
              <w:ind w:left="288"/>
            </w:pPr>
            <w:r>
              <w:t>• Sustained Revenue Growth Potential: The proven 17.4% consolidated revenue growth and positive shift in business mix suggest continued opportunities to expand market share and optimize operations.</w:t>
            </w:r>
          </w:p>
          <w:p>
            <w:pPr>
              <w:pStyle w:val="ListBullet"/>
              <w:ind w:left="288"/>
            </w:pPr>
            <w:r>
              <w:t>• Leverage Strategic Business Segments: Further focus and investment in the growing strategic business segments (now 54% of revenue) can drive enhanced profitability and market positioning.</w:t>
            </w:r>
          </w:p>
          <w:p>
            <w:pPr>
              <w:pStyle w:val="ListBullet"/>
              <w:ind w:left="288"/>
            </w:pPr>
            <w:r>
              <w:t>• Improve External Perception &amp; Trust: Addressing the current transparency issues and providing comprehensive financial disclosures could significantly improve the company's credit standing and market perception.</w:t>
            </w:r>
          </w:p>
        </w:tc>
        <w:tc>
          <w:tcPr>
            <w:tcW w:type="dxa" w:w="4986"/>
            <w:shd w:val="clear" w:color="auto" w:fill="F5F5F5"/>
          </w:tcPr>
          <w:p>
            <w:r>
              <w:rPr>
                <w:b/>
                <w:color w:val="D68910"/>
              </w:rPr>
              <w:t xml:space="preserve"> THREATS</w:t>
            </w:r>
          </w:p>
          <w:p>
            <w:pPr>
              <w:pStyle w:val="ListBullet"/>
              <w:ind w:left="288"/>
            </w:pPr>
            <w:r>
              <w:t>• High Risk of Default &amp; Limited Access to Capital: The 'CCC' rating and very low blended score (38.2/100) imply significant default risk, which will severely limit access to new financing and increase funding costs, impeding growth and stability.</w:t>
            </w:r>
          </w:p>
          <w:p>
            <w:pPr>
              <w:pStyle w:val="ListBullet"/>
              <w:ind w:left="288"/>
            </w:pPr>
            <w:r>
              <w:t>• Loss of Lender/Investor Trust &amp; Reputational Damage: The severe lack of management transparency, evasiveness, and refusal to provide critical financial data poses a significant threat to lender/investor confidence and could severely damage the company's reputation.</w:t>
            </w:r>
          </w:p>
          <w:p>
            <w:pPr>
              <w:pStyle w:val="ListBullet"/>
              <w:ind w:left="288"/>
            </w:pPr>
            <w:r>
              <w:t>• Increased Scrutiny &amp; Potential Regulatory Challenges: The significant information gaps and management behavior could invite greater scrutiny from regulators and auditors, potentially leading to future compliance issues or investigations.</w:t>
            </w:r>
          </w:p>
          <w:p>
            <w:pPr>
              <w:pStyle w:val="ListBullet"/>
              <w:ind w:left="288"/>
            </w:pPr>
            <w:r>
              <w:t>• Operational Constraints Due to Lack of Financial Data: The inability to assess critical financial health metrics (capacity, capital, collateral) internally or externally can hinder strategic planning, risk management, and operational decision-making, impacting long-term viability.</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Nova Retailmart Private Limited</w:t>
            </w:r>
          </w:p>
        </w:tc>
      </w:tr>
      <w:tr>
        <w:tc>
          <w:tcPr>
            <w:tcW w:type="dxa" w:w="4986"/>
            <w:shd w:val="clear" w:color="auto" w:fill="E8F0FA"/>
          </w:tcPr>
          <w:p>
            <w:r>
              <w:rPr>
                <w:b/>
              </w:rPr>
              <w:t>CIN</w:t>
            </w:r>
          </w:p>
        </w:tc>
        <w:tc>
          <w:tcPr>
            <w:tcW w:type="dxa" w:w="4986"/>
          </w:tcPr>
          <w:p>
            <w:r>
              <w:t>Not extracted</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₹12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N/A</w:t>
            </w:r>
          </w:p>
        </w:tc>
        <w:tc>
          <w:tcPr>
            <w:tcW w:type="dxa" w:w="3324"/>
          </w:tcPr>
          <w:p>
            <w:r>
              <w:t>Direct extraction</w:t>
            </w:r>
          </w:p>
        </w:tc>
      </w:tr>
      <w:tr>
        <w:tc>
          <w:tcPr>
            <w:tcW w:type="dxa" w:w="3324"/>
          </w:tcPr>
          <w:p>
            <w:r>
              <w:t>EBITDA</w:t>
            </w:r>
          </w:p>
        </w:tc>
        <w:tc>
          <w:tcPr>
            <w:tcW w:type="dxa" w:w="3324"/>
          </w:tcPr>
          <w:p>
            <w:r>
              <w:t>N/A</w:t>
            </w:r>
          </w:p>
        </w:tc>
        <w:tc>
          <w:tcPr>
            <w:tcW w:type="dxa" w:w="3324"/>
          </w:tcPr>
          <w:p>
            <w:r>
              <w:t>Direct extraction</w:t>
            </w:r>
          </w:p>
        </w:tc>
      </w:tr>
      <w:tr>
        <w:tc>
          <w:tcPr>
            <w:tcW w:type="dxa" w:w="3324"/>
          </w:tcPr>
          <w:p>
            <w:r>
              <w:t>EBITDA Margin</w:t>
            </w:r>
          </w:p>
        </w:tc>
        <w:tc>
          <w:tcPr>
            <w:tcW w:type="dxa" w:w="3324"/>
          </w:tcPr>
          <w:p>
            <w:r>
              <w:t>N/A</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N/A</w:t>
            </w:r>
          </w:p>
        </w:tc>
        <w:tc>
          <w:tcPr>
            <w:tcW w:type="dxa" w:w="3324"/>
          </w:tcPr>
          <w:p>
            <w:r>
              <w:t>Direct extraction</w:t>
            </w:r>
          </w:p>
        </w:tc>
      </w:tr>
      <w:tr>
        <w:tc>
          <w:tcPr>
            <w:tcW w:type="dxa" w:w="3324"/>
          </w:tcPr>
          <w:p>
            <w:r>
              <w:t>Total Borrowings</w:t>
            </w:r>
          </w:p>
        </w:tc>
        <w:tc>
          <w:tcPr>
            <w:tcW w:type="dxa" w:w="3324"/>
          </w:tcPr>
          <w:p>
            <w:r>
              <w:t>N/A</w:t>
            </w:r>
          </w:p>
        </w:tc>
        <w:tc>
          <w:tcPr>
            <w:tcW w:type="dxa" w:w="3324"/>
          </w:tcPr>
          <w:p>
            <w:r>
              <w:t>Direct extraction</w:t>
            </w:r>
          </w:p>
        </w:tc>
      </w:tr>
      <w:tr>
        <w:tc>
          <w:tcPr>
            <w:tcW w:type="dxa" w:w="3324"/>
          </w:tcPr>
          <w:p>
            <w:r>
              <w:t>Debt / Equity</w:t>
            </w:r>
          </w:p>
        </w:tc>
        <w:tc>
          <w:tcPr>
            <w:tcW w:type="dxa" w:w="3324"/>
          </w:tcPr>
          <w:p>
            <w:r>
              <w:t>N/A</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50</w:t>
            </w:r>
          </w:p>
        </w:tc>
        <w:tc>
          <w:tcPr>
            <w:tcW w:type="dxa" w:w="2493"/>
          </w:tcPr>
          <w:p>
            <w:r>
              <w:t>25%</w:t>
            </w:r>
          </w:p>
        </w:tc>
        <w:tc>
          <w:tcPr>
            <w:tcW w:type="dxa" w:w="2493"/>
          </w:tcPr>
          <w:p>
            <w:r>
              <w:t>Management's evasiveness regarding revenue projections and outstanding loan repayments, the CFO's refusal to provide detailed bank statements citing 'confidentiality,' and the MD avoiding questions on related party transactions, indicate a severe lack of transparency and high character risk. While promoter background is 'Moderate' with no criminal cases or wilful defaulter status, and MCA risk is 'Low' with no disqualifications or filing defaults, these positive signals are significantly outweighed by the management's actions. The score is therefore set at the hard minimum floor of 50.</w:t>
            </w:r>
          </w:p>
        </w:tc>
      </w:tr>
      <w:tr>
        <w:tc>
          <w:tcPr>
            <w:tcW w:type="dxa" w:w="2493"/>
            <w:shd w:val="clear" w:color="auto" w:fill="E8F0FA"/>
          </w:tcPr>
          <w:p>
            <w:r>
              <w:rPr>
                <w:b/>
              </w:rPr>
              <w:t>💰 Capacity</w:t>
            </w:r>
          </w:p>
        </w:tc>
        <w:tc>
          <w:tcPr>
            <w:tcW w:type="dxa" w:w="2493"/>
            <w:shd w:val="clear" w:color="auto" w:fill="E8F0FA"/>
          </w:tcPr>
          <w:p>
            <w:r>
              <w:t>40</w:t>
            </w:r>
          </w:p>
        </w:tc>
        <w:tc>
          <w:tcPr>
            <w:tcW w:type="dxa" w:w="2493"/>
            <w:shd w:val="clear" w:color="auto" w:fill="E8F0FA"/>
          </w:tcPr>
          <w:p>
            <w:r>
              <w:t>30%</w:t>
            </w:r>
          </w:p>
        </w:tc>
        <w:tc>
          <w:tcPr>
            <w:tcW w:type="dxa" w:w="2493"/>
            <w:shd w:val="clear" w:color="auto" w:fill="E8F0FA"/>
          </w:tcPr>
          <w:p>
            <w:r>
              <w:t>While consolidated revenue from operations increased by a positive 17.4% to ₹ 424.7 crore for the nine months ended December 2025, there is a complete absence of all key financial ratios (ICR, DSCR, EBITDA margin). This, coupled with the CFO's refusal to provide detailed bank statements and management's evasiveness on revenue projections, critically hinders the assessment of cash flow and debt servicing capacity, leading to the hard minimum floor score of 40 due to 'No ratio data'.</w:t>
            </w:r>
          </w:p>
        </w:tc>
      </w:tr>
      <w:tr>
        <w:tc>
          <w:tcPr>
            <w:tcW w:type="dxa" w:w="2493"/>
          </w:tcPr>
          <w:p>
            <w:r>
              <w:rPr>
                <w:b/>
              </w:rPr>
              <w:t>🏛️ Capital</w:t>
            </w:r>
          </w:p>
        </w:tc>
        <w:tc>
          <w:tcPr>
            <w:tcW w:type="dxa" w:w="2493"/>
          </w:tcPr>
          <w:p>
            <w:r>
              <w:t>40</w:t>
            </w:r>
          </w:p>
        </w:tc>
        <w:tc>
          <w:tcPr>
            <w:tcW w:type="dxa" w:w="2493"/>
          </w:tcPr>
          <w:p>
            <w:r>
              <w:t>20%</w:t>
            </w:r>
          </w:p>
        </w:tc>
        <w:tc>
          <w:tcPr>
            <w:tcW w:type="dxa" w:w="2493"/>
          </w:tcPr>
          <w:p>
            <w:r>
              <w:t>There is a complete absence of key leverage data, including Debt/Equity ratio and Net Worth information. This prevents any meaningful assessment of the capital structure and equity buffer, leading to the hard minimum floor score of 40 due to 'No leverage data'.</w:t>
            </w:r>
          </w:p>
        </w:tc>
      </w:tr>
      <w:tr>
        <w:tc>
          <w:tcPr>
            <w:tcW w:type="dxa" w:w="2493"/>
            <w:shd w:val="clear" w:color="auto" w:fill="E8F0FA"/>
          </w:tcPr>
          <w:p>
            <w:r>
              <w:rPr>
                <w:b/>
              </w:rPr>
              <w:t>🔒 Collateral</w:t>
            </w:r>
          </w:p>
        </w:tc>
        <w:tc>
          <w:tcPr>
            <w:tcW w:type="dxa" w:w="2493"/>
            <w:shd w:val="clear" w:color="auto" w:fill="E8F0FA"/>
          </w:tcPr>
          <w:p>
            <w:r>
              <w:t>38</w:t>
            </w:r>
          </w:p>
        </w:tc>
        <w:tc>
          <w:tcPr>
            <w:tcW w:type="dxa" w:w="2493"/>
            <w:shd w:val="clear" w:color="auto" w:fill="E8F0FA"/>
          </w:tcPr>
          <w:p>
            <w:r>
              <w:t>15%</w:t>
            </w:r>
          </w:p>
        </w:tc>
        <w:tc>
          <w:tcPr>
            <w:tcW w:type="dxa" w:w="2493"/>
            <w:shd w:val="clear" w:color="auto" w:fill="E8F0FA"/>
          </w:tcPr>
          <w:p>
            <w:r>
              <w:t>No specific collateral details, such as fixed assets or security coverage, were provided. The score is assigned at the hard minimum floor of 38, as per the anchor's explicit instruction to infer asset base from the company's stated revenue of 12 Cr.</w:t>
            </w:r>
          </w:p>
        </w:tc>
      </w:tr>
      <w:tr>
        <w:tc>
          <w:tcPr>
            <w:tcW w:type="dxa" w:w="2493"/>
          </w:tcPr>
          <w:p>
            <w:r>
              <w:rPr>
                <w:b/>
              </w:rPr>
              <w:t>🌍 Conditions</w:t>
            </w:r>
          </w:p>
        </w:tc>
        <w:tc>
          <w:tcPr>
            <w:tcW w:type="dxa" w:w="2493"/>
          </w:tcPr>
          <w:p>
            <w:r>
              <w:t>60</w:t>
            </w:r>
          </w:p>
        </w:tc>
        <w:tc>
          <w:tcPr>
            <w:tcW w:type="dxa" w:w="2493"/>
          </w:tcPr>
          <w:p>
            <w:r>
              <w:t>10%</w:t>
            </w:r>
          </w:p>
        </w:tc>
        <w:tc>
          <w:tcPr>
            <w:tcW w:type="dxa" w:w="2493"/>
          </w:tcPr>
          <w:p>
            <w:r>
              <w:t>While there is no explicit data on the health of the sector, macroeconomic conditions, or relevant RBI regulations, the company's reported 17.4% increase in consolidated revenue to ₹ 424.7 crore for 9M FY2026 suggests it operates within a non-adverse business environment, supporting a moderate score in the absence of negative external signals.</w:t>
            </w:r>
          </w:p>
        </w:tc>
      </w:tr>
    </w:tbl>
    <w:p/>
    <w:p>
      <w:r>
        <w:rPr>
          <w:b/>
        </w:rPr>
        <w:t xml:space="preserve">Weighted Score: </w:t>
      </w:r>
      <w:r>
        <w:t>44.2/100</w:t>
      </w:r>
      <w:r>
        <w:t xml:space="preserve">   |   </w:t>
      </w:r>
      <w:r>
        <w:rPr>
          <w:b/>
        </w:rPr>
        <w:t xml:space="preserve">Penalty Applied: </w:t>
      </w:r>
      <w:r>
        <w:t>6.0 points</w:t>
      </w:r>
      <w:r>
        <w:t xml:space="preserve">   |   </w:t>
      </w:r>
      <w:r>
        <w:rPr>
          <w:b/>
        </w:rPr>
        <w:t xml:space="preserve">Final Score: </w:t>
      </w:r>
      <w:r>
        <w:t>38.2/100</w:t>
      </w:r>
    </w:p>
    <w:p/>
    <w:p>
      <w:pPr>
        <w:jc w:val="left"/>
      </w:pPr>
      <w:r>
        <w:rPr>
          <w:b/>
          <w:color w:val="1B3A6B"/>
          <w:sz w:val="24"/>
          <w:u w:val="single"/>
        </w:rPr>
        <w:t>SECONDARY RESEARCH INTELLIGENCE</w:t>
      </w:r>
    </w:p>
    <w:p/>
    <w:p>
      <w:r>
        <w:rPr>
          <w:b/>
        </w:rPr>
        <w:t xml:space="preserve">Company News: </w:t>
      </w:r>
      <w:r>
        <w:t>Nova Retailmart Private Limited demonstrated positive financial performance with a 17.4% increase in consolidated revenue for the nine months ended December 2025. The company also showed a positive trend in its business mix, with specific segments contributing a larger share to overall revenue.</w:t>
      </w:r>
    </w:p>
    <w:p/>
    <w:p>
      <w:r>
        <w:rPr>
          <w:b/>
        </w:rPr>
        <w:t xml:space="preserve">Promoter Background: </w:t>
      </w:r>
      <w:r>
        <w:t>No specific information regarding the promoters of Nova Retailmart Private Limited, including their background, reputation, or any links to criminal cases, wilful defaulter lists, or SFIO investigations, was available in the provided intelligence. A general public commentary about wilful defaulters was not linked to the company's promoters.</w:t>
      </w:r>
    </w:p>
    <w:p/>
    <w:p>
      <w:r>
        <w:rPr>
          <w:b/>
        </w:rPr>
        <w:t xml:space="preserve">Sector Headwinds: </w:t>
      </w:r>
      <w:r>
        <w:t>Nova Retailmart operates in the 'Other' sector, for which specific sector-level health indicators were not provided. The broader financial sector, however, is subject to new regulatory changes from the RBI concerning commercial banks, their group entities, and External Commercial Borrowings. These changes, while not directly aimed at Nova, could indirectly influence the overall lending landscape and potentially affect Nova's access to financing or its cost.</w:t>
      </w:r>
    </w:p>
    <w:p/>
    <w:p>
      <w:r>
        <w:rPr>
          <w:b/>
        </w:rPr>
        <w:t xml:space="preserve">Litigation: </w:t>
      </w:r>
      <w:r>
        <w:t>No specific legal disputes, e-courts cases, NCLT proceedings (including IBC/CIRP), DRT cases, or arbitration cases related to Nova Retailmart Private Limited were found in the intelligence gathered. Mentions of other companies' legal matters were not relevant to Nova.</w:t>
      </w:r>
    </w:p>
    <w:p/>
    <w:p>
      <w:r>
        <w:rPr>
          <w:b/>
        </w:rPr>
        <w:t xml:space="preserve">Regulatory: </w:t>
      </w:r>
      <w:r>
        <w:t>No direct regulatory issues, penalties, or enforcement actions by SEBI or RBI specifically against Nova Retailmart Private Limited were identified. The intelligence mentioned general RBI proposals and directions impacting commercial banks, group entities, and the External Commercial Borrowings (ECB) framework, which are broader financial sector regulations not directly targeting Nova.</w:t>
      </w:r>
    </w:p>
    <w:p/>
    <w:p>
      <w:r>
        <w:rPr>
          <w:b/>
        </w:rPr>
        <w:t xml:space="preserve">MCA Signals: </w:t>
      </w:r>
      <w:r>
        <w:t>The provided intelligence contained general legal explanations regarding director disqualification rules and court rulings on ROC actions. However, no specific MCA filings, director disqualifications, filing defaults, charge satisfaction issues, or ROC notices pertaining directly to Nova Retailmart Private Limited were identified.</w:t>
      </w:r>
    </w:p>
    <w:p/>
    <w:p>
      <w:r>
        <w:rPr>
          <w:b/>
        </w:rPr>
        <w:t xml:space="preserve">Overall Research Rating: </w:t>
      </w:r>
      <w:r>
        <w:t>A — Strong Proceed</w:t>
      </w:r>
    </w:p>
    <w:p>
      <w:r>
        <w:rPr>
          <w:b/>
        </w:rPr>
        <w:t xml:space="preserve">Top Risks Identified: </w:t>
      </w:r>
      <w:r>
        <w:t>Significant information asymmetry due to the complete lack of specific promoter background and detailed financial statements (profitability, leverage, liquidity).; Unclear sectoral specifics and potential indirect impacts from broader RBI financial sector regulatory changes on funding access and cost.</w:t>
      </w:r>
    </w:p>
    <w:p/>
    <w:p>
      <w:pPr>
        <w:jc w:val="left"/>
      </w:pPr>
      <w:r>
        <w:rPr>
          <w:b/>
          <w:color w:val="1B3A6B"/>
          <w:sz w:val="24"/>
          <w:u w:val="single"/>
        </w:rPr>
        <w:t>CROSS-DOCUMENT FRAUD INTELLIGENCE</w:t>
      </w:r>
    </w:p>
    <w:p/>
    <w:p>
      <w:r>
        <w:rPr>
          <w:b/>
        </w:rPr>
        <w:t xml:space="preserve">Documents Compared: </w:t>
      </w:r>
      <w:r>
        <w:t>bank_statement, structured_data</w:t>
      </w:r>
    </w:p>
    <w:p>
      <w:r>
        <w:rPr>
          <w:b/>
        </w:rPr>
        <w:t xml:space="preserve">Circular Trading Risk: </w:t>
      </w:r>
      <w:r>
        <w:t>Low</w:t>
      </w:r>
    </w:p>
    <w:p>
      <w:r>
        <w:rPr>
          <w:b/>
        </w:rPr>
        <w:t xml:space="preserve">Revenue Inflation Risk: </w:t>
      </w:r>
      <w:r>
        <w:t>Low</w:t>
      </w:r>
    </w:p>
    <w:p/>
    <w:p>
      <w:pPr>
        <w:jc w:val="left"/>
      </w:pPr>
      <w:r>
        <w:rPr>
          <w:b/>
          <w:color w:val="1B3A6B"/>
          <w:sz w:val="24"/>
          <w:u w:val="single"/>
        </w:rPr>
        <w:t>CREDIT OFFICER FIELD OBSERVATIONS</w:t>
      </w:r>
    </w:p>
    <w:p/>
    <w:p>
      <w:r>
        <w:rPr>
          <w:i/>
        </w:rPr>
        <w:t>Management was evasive when asked about revenue projections and outstanding loan</w:t>
        <w:br/>
        <w:t>repayments. CFO refused to provide detailed bank statements citing "confidentiality."</w:t>
        <w:br/>
        <w:t>MD avoided questions about related party transactions.</w:t>
        <w:br/>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C0392B"/>
          </w:tcPr>
          <w:p>
            <w:pPr>
              <w:jc w:val="center"/>
            </w:pPr>
            <w:r>
              <w:rPr>
                <w:b/>
                <w:color w:val="FFFFFF"/>
                <w:sz w:val="28"/>
              </w:rPr>
              <w:t>RECOMMENDATION: REJECT</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REJECT</w:t>
            </w:r>
          </w:p>
        </w:tc>
      </w:tr>
      <w:tr>
        <w:tc>
          <w:tcPr>
            <w:tcW w:type="dxa" w:w="4986"/>
            <w:shd w:val="clear" w:color="auto" w:fill="E8F0FA"/>
          </w:tcPr>
          <w:p>
            <w:r>
              <w:rPr>
                <w:b/>
              </w:rPr>
              <w:t>Credit Rating</w:t>
            </w:r>
          </w:p>
        </w:tc>
        <w:tc>
          <w:tcPr>
            <w:tcW w:type="dxa" w:w="4986"/>
          </w:tcPr>
          <w:p>
            <w:r>
              <w:t>B</w:t>
            </w:r>
          </w:p>
        </w:tc>
      </w:tr>
      <w:tr>
        <w:tc>
          <w:tcPr>
            <w:tcW w:type="dxa" w:w="4986"/>
            <w:shd w:val="clear" w:color="auto" w:fill="E8F0FA"/>
          </w:tcPr>
          <w:p>
            <w:r>
              <w:rPr>
                <w:b/>
              </w:rPr>
              <w:t>Credit Score</w:t>
            </w:r>
          </w:p>
        </w:tc>
        <w:tc>
          <w:tcPr>
            <w:tcW w:type="dxa" w:w="4986"/>
          </w:tcPr>
          <w:p>
            <w:r>
              <w:t>57.1/100</w:t>
            </w:r>
          </w:p>
        </w:tc>
      </w:tr>
      <w:tr>
        <w:tc>
          <w:tcPr>
            <w:tcW w:type="dxa" w:w="4986"/>
            <w:shd w:val="clear" w:color="auto" w:fill="E8F0FA"/>
          </w:tcPr>
          <w:p>
            <w:r>
              <w:rPr>
                <w:b/>
              </w:rPr>
              <w:t>Recommended Amount</w:t>
            </w:r>
          </w:p>
        </w:tc>
        <w:tc>
          <w:tcPr>
            <w:tcW w:type="dxa" w:w="4986"/>
          </w:tcPr>
          <w:p>
            <w:r>
              <w:t>₹0 Cr</w:t>
            </w:r>
          </w:p>
        </w:tc>
      </w:tr>
      <w:tr>
        <w:tc>
          <w:tcPr>
            <w:tcW w:type="dxa" w:w="4986"/>
            <w:shd w:val="clear" w:color="auto" w:fill="E8F0FA"/>
          </w:tcPr>
          <w:p>
            <w:r>
              <w:rPr>
                <w:b/>
              </w:rPr>
              <w:t>Interest Rate</w:t>
            </w:r>
          </w:p>
        </w:tc>
        <w:tc>
          <w:tcPr>
            <w:tcW w:type="dxa" w:w="4986"/>
          </w:tcPr>
          <w:p>
            <w:r>
              <w:t>None%</w:t>
            </w:r>
          </w:p>
        </w:tc>
      </w:tr>
      <w:tr>
        <w:tc>
          <w:tcPr>
            <w:tcW w:type="dxa" w:w="4986"/>
            <w:shd w:val="clear" w:color="auto" w:fill="E8F0FA"/>
          </w:tcPr>
          <w:p>
            <w:r>
              <w:rPr>
                <w:b/>
              </w:rPr>
              <w:t>Tenure</w:t>
            </w:r>
          </w:p>
        </w:tc>
        <w:tc>
          <w:tcPr>
            <w:tcW w:type="dxa" w:w="4986"/>
          </w:tcPr>
          <w:p>
            <w:r>
              <w:t>None months</w:t>
            </w:r>
          </w:p>
        </w:tc>
      </w:tr>
    </w:tbl>
    <w:p/>
    <w:p>
      <w:r>
        <w:rPr>
          <w:b/>
        </w:rPr>
        <w:t xml:space="preserve">Rationale: </w:t>
      </w:r>
      <w:r>
        <w:t>Blended score 57.1/100 with rating B. Five-Cs weighted score after penalties: 38.2. Entity type assessed as corporate. Recommendation is REJECT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12 Mar 2026 18:19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